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1FF3A" w14:textId="426EFCC1" w:rsidR="004B7D41" w:rsidRDefault="007D3884">
      <w:r>
        <w:t xml:space="preserve">Essential Genes </w:t>
      </w:r>
    </w:p>
    <w:p w14:paraId="2E20044F" w14:textId="0D2FE5A7" w:rsidR="00610A11" w:rsidRDefault="00303396">
      <w:r w:rsidRPr="00303396">
        <w:rPr>
          <w:i/>
          <w:iCs/>
        </w:rPr>
        <w:t>Saccharomyces cerevisiae</w:t>
      </w:r>
      <w:r>
        <w:rPr>
          <w:i/>
          <w:iCs/>
        </w:rPr>
        <w:t xml:space="preserve"> </w:t>
      </w:r>
      <w:r>
        <w:t xml:space="preserve">genes were determined to be essential or non-essential for spaceflight using data derived from </w:t>
      </w:r>
      <w:proofErr w:type="spellStart"/>
      <w:r>
        <w:t>Nislow</w:t>
      </w:r>
      <w:proofErr w:type="spellEnd"/>
      <w:r>
        <w:t xml:space="preserve"> et al. (2015). The experiment consisted of pooling strains from both a heterogenous and homogenous knockout library</w:t>
      </w:r>
      <w:r w:rsidR="00032B16">
        <w:t xml:space="preserve">, exposing the pooled cultures microgravity conditions at the International Space Station (ISS) in an </w:t>
      </w:r>
      <w:proofErr w:type="spellStart"/>
      <w:r w:rsidR="00032B16">
        <w:t>Opticell</w:t>
      </w:r>
      <w:proofErr w:type="spellEnd"/>
      <w:r w:rsidR="00032B16">
        <w:t xml:space="preserve"> Processing Module (OPM) and then amplifying and sequencing the barcoded regions</w:t>
      </w:r>
      <w:r w:rsidR="00DE6370">
        <w:t xml:space="preserve">. Barcodes were then mapped to a to specific knockout strain and quantified at specific time points. A linear fit was then computed for counts across time points (7-21 generations) and an F-test was performed against a null model. Significant fitness defects were </w:t>
      </w:r>
      <w:r w:rsidR="00610A11">
        <w:t>defined as a robust Z score for each time comparison as follows:</w:t>
      </w:r>
    </w:p>
    <w:p w14:paraId="36E34105" w14:textId="24D0B7D9" w:rsidR="007D3884" w:rsidRPr="009873D3" w:rsidRDefault="009873D3">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median)</m:t>
              </m:r>
            </m:num>
            <m:den>
              <m:sSub>
                <m:sSubPr>
                  <m:ctrlPr>
                    <w:rPr>
                      <w:rFonts w:ascii="Cambria Math" w:hAnsi="Cambria Math"/>
                      <w:i/>
                    </w:rPr>
                  </m:ctrlPr>
                </m:sSubPr>
                <m:e>
                  <m:r>
                    <w:rPr>
                      <w:rFonts w:ascii="Cambria Math" w:hAnsi="Cambria Math"/>
                    </w:rPr>
                    <m:t>log</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 xml:space="preserve">i </m:t>
                  </m:r>
                </m:sub>
              </m:sSub>
              <m:r>
                <w:rPr>
                  <w:rFonts w:ascii="Cambria Math" w:hAnsi="Cambria Math"/>
                </w:rPr>
                <m:t>MAD</m:t>
              </m:r>
            </m:den>
          </m:f>
        </m:oMath>
      </m:oMathPara>
    </w:p>
    <w:p w14:paraId="7629D805" w14:textId="58F6D26E" w:rsidR="009873D3" w:rsidRDefault="009873D3">
      <w:pPr>
        <w:rPr>
          <w:rFonts w:eastAsiaTheme="minorEastAsia"/>
        </w:rPr>
      </w:pPr>
      <w:r>
        <w:rPr>
          <w:rFonts w:eastAsiaTheme="minorEastAsia"/>
        </w:rPr>
        <w:t xml:space="preserve">Where </w:t>
      </w:r>
      <w:r>
        <w:rPr>
          <w:rFonts w:eastAsiaTheme="minorEastAsia"/>
          <w:i/>
          <w:iCs/>
        </w:rPr>
        <w:t>MAD</w:t>
      </w:r>
      <w:r>
        <w:t xml:space="preserve"> is the median absolute deviation and </w:t>
      </w:r>
      <w:r>
        <w:rPr>
          <w:rFonts w:eastAsiaTheme="minorEastAsia"/>
          <w:i/>
          <w:iCs/>
        </w:rPr>
        <w:t xml:space="preserve">R </w:t>
      </w:r>
      <w:r>
        <w:rPr>
          <w:rFonts w:eastAsiaTheme="minorEastAsia"/>
        </w:rPr>
        <w:t xml:space="preserve">is the ratio of abundance </w:t>
      </w:r>
      <w:r w:rsidR="00F749D1">
        <w:rPr>
          <w:rFonts w:eastAsiaTheme="minorEastAsia"/>
        </w:rPr>
        <w:t xml:space="preserve">for the </w:t>
      </w:r>
      <w:proofErr w:type="spellStart"/>
      <w:r w:rsidR="00F749D1">
        <w:rPr>
          <w:rFonts w:eastAsiaTheme="minorEastAsia"/>
          <w:i/>
          <w:iCs/>
        </w:rPr>
        <w:t>i</w:t>
      </w:r>
      <w:r w:rsidR="00F749D1">
        <w:rPr>
          <w:rFonts w:eastAsiaTheme="minorEastAsia"/>
          <w:i/>
          <w:iCs/>
          <w:vertAlign w:val="superscript"/>
        </w:rPr>
        <w:t>th</w:t>
      </w:r>
      <w:proofErr w:type="spellEnd"/>
      <w:r w:rsidR="00F749D1">
        <w:rPr>
          <w:rFonts w:eastAsiaTheme="minorEastAsia"/>
          <w:i/>
          <w:iCs/>
          <w:vertAlign w:val="superscript"/>
        </w:rPr>
        <w:t xml:space="preserve"> </w:t>
      </w:r>
      <w:r w:rsidR="00F749D1">
        <w:rPr>
          <w:rFonts w:eastAsiaTheme="minorEastAsia"/>
        </w:rPr>
        <w:t>strain across time points. It is defined as:</w:t>
      </w:r>
    </w:p>
    <w:p w14:paraId="317BF6D4" w14:textId="3376A1D9" w:rsidR="009873D3" w:rsidRDefault="009873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abundance</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abundance</m:t>
                  </m:r>
                </m:e>
                <m:sub>
                  <m:r>
                    <w:rPr>
                      <w:rFonts w:ascii="Cambria Math" w:eastAsiaTheme="minorEastAsia" w:hAnsi="Cambria Math"/>
                    </w:rPr>
                    <m:t>g</m:t>
                  </m:r>
                </m:sub>
              </m:sSub>
            </m:den>
          </m:f>
        </m:oMath>
      </m:oMathPara>
    </w:p>
    <w:p w14:paraId="17B23190" w14:textId="15AB4A94" w:rsidR="009873D3" w:rsidRPr="005666BE" w:rsidRDefault="00F749D1">
      <w:r>
        <w:rPr>
          <w:rFonts w:eastAsiaTheme="minorEastAsia"/>
        </w:rPr>
        <w:t xml:space="preserve">Where </w:t>
      </w:r>
      <w:r>
        <w:rPr>
          <w:rFonts w:eastAsiaTheme="minorEastAsia"/>
          <w:i/>
          <w:iCs/>
        </w:rPr>
        <w:t xml:space="preserve">g </w:t>
      </w:r>
      <w:r>
        <w:rPr>
          <w:rFonts w:eastAsiaTheme="minorEastAsia"/>
        </w:rPr>
        <w:t xml:space="preserve">is the generation of the sampled strain. </w:t>
      </w:r>
      <w:r w:rsidR="005666BE">
        <w:rPr>
          <w:rFonts w:eastAsiaTheme="minorEastAsia"/>
        </w:rPr>
        <w:t>A P value for each strain can then be computed using the Z score. Strains that were shown to have significant fitness defects at a specific time point are defined as having a log</w:t>
      </w:r>
      <w:r w:rsidR="005666BE">
        <w:rPr>
          <w:rFonts w:eastAsiaTheme="minorEastAsia"/>
        </w:rPr>
        <w:softHyphen/>
      </w:r>
      <w:r w:rsidR="005666BE">
        <w:rPr>
          <w:rFonts w:eastAsiaTheme="minorEastAsia"/>
          <w:vertAlign w:val="subscript"/>
        </w:rPr>
        <w:t>2</w:t>
      </w:r>
      <w:r w:rsidR="005666BE">
        <w:rPr>
          <w:rFonts w:eastAsiaTheme="minorEastAsia"/>
        </w:rPr>
        <w:t xml:space="preserve">R </w:t>
      </w:r>
      <w:r w:rsidR="005666BE">
        <w:rPr>
          <w:rFonts w:eastAsiaTheme="minorEastAsia" w:cstheme="minorHAnsi"/>
        </w:rPr>
        <w:t>≥</w:t>
      </w:r>
      <w:r w:rsidR="005666BE">
        <w:rPr>
          <w:rFonts w:eastAsiaTheme="minorEastAsia"/>
        </w:rPr>
        <w:t xml:space="preserve"> 1 and a p-value </w:t>
      </w:r>
      <w:r w:rsidR="008005D4">
        <w:rPr>
          <w:rFonts w:eastAsiaTheme="minorEastAsia" w:cstheme="minorHAnsi"/>
        </w:rPr>
        <w:t>≤</w:t>
      </w:r>
      <w:r w:rsidR="008005D4">
        <w:rPr>
          <w:rFonts w:eastAsiaTheme="minorEastAsia"/>
        </w:rPr>
        <w:t xml:space="preserve"> 0.001 and or having the count drop below background threshold. The genes associated with each knockout strain exhibiting significant fitness defects at any later time point are listed as essential for spaceflight within the database. This includes both heterogenous and homologous knockout samples.</w:t>
      </w:r>
    </w:p>
    <w:p w14:paraId="50B38E29" w14:textId="73D6B77C" w:rsidR="007D3884" w:rsidRDefault="007D3884">
      <w:r>
        <w:t>Microarray</w:t>
      </w:r>
      <w:r w:rsidR="00FE4F31">
        <w:t>s</w:t>
      </w:r>
    </w:p>
    <w:p w14:paraId="55521BA8" w14:textId="721BF9CA" w:rsidR="008005D4" w:rsidRDefault="008005D4">
      <w:r>
        <w:t>Microarray experiments were pulled from the NCBI Gene Expression Omnibus</w:t>
      </w:r>
      <w:r w:rsidR="004B2D08">
        <w:t xml:space="preserve"> (GEO)</w:t>
      </w:r>
      <w:r>
        <w:t xml:space="preserve"> database using the R package </w:t>
      </w:r>
      <w:proofErr w:type="spellStart"/>
      <w:r w:rsidR="008D6C7A">
        <w:t>GeoQuery</w:t>
      </w:r>
      <w:proofErr w:type="spellEnd"/>
      <w:r w:rsidR="008D6C7A">
        <w:t xml:space="preserve"> </w:t>
      </w:r>
      <w:r w:rsidR="00CA5E0E">
        <w:fldChar w:fldCharType="begin"/>
      </w:r>
      <w:r w:rsidR="00CA5E0E">
        <w:instrText xml:space="preserve"> ADDIN ZOTERO_ITEM CSL_CITATION {"citationID":"qBWbdtFq","properties":{"formattedCitation":"(Davis and Meltzer, 2007)","plainCitation":"(Davis and Meltzer, 2007)","noteIndex":0},"citationItems":[{"id":860,"uris":["http://zotero.org/users/6636763/items/HYZETK3R"],"uri":["http://zotero.org/users/6636763/items/HYZETK3R"],"itemData":{"id":860,"type":"article-journal","abstract":"Abstract.  Microarray technology has become a standard molecular biology tool. Experimental data have been generated on a huge number of organisms, tissue types","container-title":"Bioinformatics","DOI":"10.1093/bioinformatics/btm254","ISSN":"1367-4803","issue":"14","journalAbbreviation":"Bioinformatics","language":"en","note":"publisher: Oxford Academic","page":"1846-1847","source":"academic.oup.com","title":"GEOquery: a bridge between the Gene Expression Omnibus (GEO) and BioConductor","title-short":"GEOquery","volume":"23","author":[{"family":"Davis","given":"Sean"},{"family":"Meltzer","given":"Paul S."}],"issued":{"date-parts":[["2007",7,15]]}}}],"schema":"https://github.com/citation-style-language/schema/raw/master/csl-citation.json"} </w:instrText>
      </w:r>
      <w:r w:rsidR="00CA5E0E">
        <w:fldChar w:fldCharType="separate"/>
      </w:r>
      <w:r w:rsidR="00CA5E0E" w:rsidRPr="00CA5E0E">
        <w:rPr>
          <w:rFonts w:ascii="Calibri" w:hAnsi="Calibri" w:cs="Calibri"/>
        </w:rPr>
        <w:t>(Davis and Meltzer, 2007)</w:t>
      </w:r>
      <w:r w:rsidR="00CA5E0E">
        <w:fldChar w:fldCharType="end"/>
      </w:r>
      <w:r w:rsidR="008D6C7A">
        <w:t xml:space="preserve">. Samples were removed if they significantly differed in density distribution and or involved treatments not related to microgravity such as gene knockouts experiments. A log2 transformation and or cyclic loess normalization was applied if needed. The arrays were then fitted </w:t>
      </w:r>
      <w:r w:rsidR="00CA5E0E">
        <w:t xml:space="preserve">to a linear mixed model defined and provided by the R package </w:t>
      </w:r>
      <w:proofErr w:type="spellStart"/>
      <w:r w:rsidR="00CA5E0E">
        <w:t>Limma</w:t>
      </w:r>
      <w:proofErr w:type="spellEnd"/>
      <w:r w:rsidR="00CA5E0E">
        <w:t xml:space="preserve"> and a moderated </w:t>
      </w:r>
      <w:r w:rsidR="00CA5E0E">
        <w:rPr>
          <w:i/>
          <w:iCs/>
        </w:rPr>
        <w:t xml:space="preserve">t </w:t>
      </w:r>
      <w:r w:rsidR="00CA5E0E">
        <w:t xml:space="preserve">statistic was generated for each gene </w:t>
      </w:r>
      <w:r w:rsidR="004B2D08">
        <w:t>in addition to a log</w:t>
      </w:r>
      <w:r w:rsidR="004B2D08">
        <w:rPr>
          <w:vertAlign w:val="subscript"/>
        </w:rPr>
        <w:t>2</w:t>
      </w:r>
      <w:r w:rsidR="004B2D08">
        <w:t xml:space="preserve"> Fold – Change value after the appropriate contrasts were performed </w:t>
      </w:r>
      <w:r w:rsidR="00CA5E0E">
        <w:fldChar w:fldCharType="begin"/>
      </w:r>
      <w:r w:rsidR="00CA5E0E">
        <w:instrText xml:space="preserve"> ADDIN ZOTERO_ITEM CSL_CITATION {"citationID":"PFxrM2pp","properties":{"formattedCitation":"(Smyth et al., 2020)","plainCitation":"(Smyth et al., 2020)","noteIndex":0},"citationItems":[{"id":855,"uris":["http://zotero.org/users/6636763/items/4UFRMRTP"],"uri":["http://zotero.org/users/6636763/items/4UFRMRTP"],"itemData":{"id":855,"type":"book","abstract":"Data analysis, linear models and differential expression for microarray data.","note":"DOI: 10.18129/B9.bioc.limma","publisher":"Bioconductor version: Release (3.11)","source":"Bioconductor","title":"limma: Linear Models for Microarray Data","title-short":"limma","URL":"https://bioconductor.org/packages/limma/","version":"3.44.3","author":[{"family":"Smyth","given":"Gordon"},{"family":"Hu","given":"Yifang"},{"family":"Ritchie","given":"Matthew"},{"family":"Silver","given":"Jeremy"},{"family":"Wettenhall","given":"James"},{"family":"McCarthy","given":"Davis"},{"family":"Wu","given":"Di"},{"family":"Shi","given":"Wei"},{"family":"Phipson","given":"Belinda"},{"family":"Lun","given":"Aaron"},{"family":"Thorne","given":"Natalie"},{"family":"Oshlack","given":"Alicia"},{"family":"Graaf","given":"Carolyn","dropping-particle":"de"},{"family":"Chen","given":"Yunshun"},{"family":"Langaas","given":"Mette"},{"family":"Ferkingstad","given":"Egil"},{"family":"Davy","given":"Marcus"},{"family":"Pepin","given":"Francois"},{"family":"Choi","given":"Dongseok"}],"accessed":{"date-parts":[["2020",10,13]]},"issued":{"date-parts":[["2020"]]}}}],"schema":"https://github.com/citation-style-language/schema/raw/master/csl-citation.json"} </w:instrText>
      </w:r>
      <w:r w:rsidR="00CA5E0E">
        <w:fldChar w:fldCharType="separate"/>
      </w:r>
      <w:r w:rsidR="00CA5E0E" w:rsidRPr="00CA5E0E">
        <w:rPr>
          <w:rFonts w:ascii="Calibri" w:hAnsi="Calibri" w:cs="Calibri"/>
        </w:rPr>
        <w:t>(Smyth et al., 2020)</w:t>
      </w:r>
      <w:r w:rsidR="00CA5E0E">
        <w:fldChar w:fldCharType="end"/>
      </w:r>
      <w:r w:rsidR="00CA5E0E">
        <w:t>.</w:t>
      </w:r>
      <w:r w:rsidR="004B2D08">
        <w:t xml:space="preserve"> </w:t>
      </w:r>
    </w:p>
    <w:p w14:paraId="51490128" w14:textId="78BE3BE3" w:rsidR="007D3884" w:rsidRDefault="007D3884"/>
    <w:p w14:paraId="350C63EF" w14:textId="745CDDCA" w:rsidR="007D3884" w:rsidRDefault="007D3884">
      <w:proofErr w:type="spellStart"/>
      <w:r>
        <w:t>RNAseq</w:t>
      </w:r>
      <w:proofErr w:type="spellEnd"/>
    </w:p>
    <w:p w14:paraId="29B574A9" w14:textId="5A661016" w:rsidR="004B2D08" w:rsidRDefault="004B2D08">
      <w:r>
        <w:t>All gene expression arrays derived from high throu</w:t>
      </w:r>
      <w:r w:rsidR="00315032">
        <w:t>gh</w:t>
      </w:r>
      <w:r>
        <w:t>put sequencing were processed from raw sequence data provided by the NCBI Sequence Read Archive (SRA)</w:t>
      </w:r>
      <w:r w:rsidR="00265716">
        <w:t xml:space="preserve"> </w:t>
      </w:r>
      <w:r w:rsidR="00265716">
        <w:fldChar w:fldCharType="begin"/>
      </w:r>
      <w:r w:rsidR="00265716">
        <w:instrText xml:space="preserve"> ADDIN ZOTERO_ITEM CSL_CITATION {"citationID":"CajK7zkz","properties":{"formattedCitation":"(Leinonen et al., 2011)","plainCitation":"(Leinonen et al., 2011)","noteIndex":0},"citationItems":[{"id":873,"uris":["http://zotero.org/users/6636763/items/CC9UE4XZ"],"uri":["http://zotero.org/users/6636763/items/CC9UE4XZ"],"itemData":{"id":873,"type":"article-journal","abstract":"The combination of significantly lower cost and increased speed of sequencing has resulted in an explosive growth of data submitted into the primary next-generation sequence data archive, the Sequence Read Archive (SRA). The preservation of experimental data is an important part of the scientific record, and increasing numbers of journals and funding agencies require that next-generation sequence data are deposited into the SRA. The SRA was established as a public repository for the next-generation sequence data and is operated by the International Nucleotide Sequence Database Collaboration (INSDC). INSDC partners include the National Center for Biotechnology Information (NCBI), the European Bioinformatics Institute (EBI) and the DNA Data Bank of Japan (DDBJ). The SRA is accessible at http://www.ncbi.nlm.nih.gov/Traces/sra from NCBI, at http://www.ebi.ac.uk/ena from EBI and at http://trace.ddbj.nig.ac.jp from DDBJ. In this article, we present the content and structure of the SRA, detail our support for sequencing platforms and provide recommended data submission levels and formats. We also briefly outline our response to the challenge of data growth.","container-title":"Nucleic Acids Research","DOI":"10.1093/nar/gkq1019","ISSN":"0305-1048","issue":"Database issue","journalAbbreviation":"Nucleic Acids Res","note":"PMID: 21062823\nPMCID: PMC3013647","page":"D19-D21","source":"PubMed Central","title":"The Sequence Read Archive","volume":"39","author":[{"family":"Leinonen","given":"Rasko"},{"family":"Sugawara","given":"Hideaki"},{"family":"Shumway","given":"Martin"}],"issued":{"date-parts":[["2011",1]]}}}],"schema":"https://github.com/citation-style-language/schema/raw/master/csl-citation.json"} </w:instrText>
      </w:r>
      <w:r w:rsidR="00265716">
        <w:fldChar w:fldCharType="separate"/>
      </w:r>
      <w:r w:rsidR="00265716" w:rsidRPr="00265716">
        <w:rPr>
          <w:rFonts w:ascii="Calibri" w:hAnsi="Calibri" w:cs="Calibri"/>
        </w:rPr>
        <w:t>(Leinonen et al., 2011)</w:t>
      </w:r>
      <w:r w:rsidR="00265716">
        <w:fldChar w:fldCharType="end"/>
      </w:r>
      <w:r>
        <w:t>. The processing was performed on the cloud computing environment Galaxy</w:t>
      </w:r>
      <w:r w:rsidR="00FE4F31">
        <w:t xml:space="preserve"> </w:t>
      </w:r>
      <w:r w:rsidR="00FE4F31">
        <w:fldChar w:fldCharType="begin"/>
      </w:r>
      <w:r w:rsidR="00FE4F31">
        <w:instrText xml:space="preserve"> ADDIN ZOTERO_ITEM CSL_CITATION {"citationID":"HlhbuQOy","properties":{"formattedCitation":"(Afgan et al., 2018)","plainCitation":"(Afgan et al., 2018)","noteIndex":0},"citationItems":[{"id":870,"uris":["http://zotero.org/users/6636763/items/DRLWJALH"],"uri":["http://zotero.org/users/6636763/items/DRLWJALH"],"itemData":{"id":870,"type":"article-journal","abstract":"Galaxy (homepage: https://galaxyproject.org, main public server: https://usegalaxy.org) is a web-based scientific analysis platform used by tens of thousands of scientists across the world to analyze large biomedical datasets such as those found in genomics, proteomics, metabolomics and imaging. Started in 2005, Galaxy continues to focus on three key challenges of data-driven biomedical science: making analyses accessible to all researchers, ensuring analyses are completely reproducible, and making it simple to communicate analyses so that they can be reused and extended. During the last two years, the Galaxy team and the open-source community around Galaxy have made substantial improvements to Galaxy's core framework, user interface, tools, and training materials. Framework and user interface improvements now enable Galaxy to be used for analyzing tens of thousands of datasets, and &gt;5500 tools are now available from the Galaxy ToolShed. The Galaxy community has led an effort to create numerous high-quality tutorials focused on common types of genomic analyses. The Galaxy developer and user communities continue to grow and be integral to Galaxy's development. The number of Galaxy public servers, developers contributing to the Galaxy framework and its tools, and users of the main Galaxy server have all increased substantially.","container-title":"Nucleic Acids Research","DOI":"10.1093/nar/gky379","ISSN":"0305-1048","issue":"Web Server issue","journalAbbreviation":"Nucleic Acids Res","note":"PMID: 29790989\nPMCID: PMC6030816","page":"W537-W544","source":"PubMed Central","title":"The Galaxy platform for accessible, reproducible and collaborative biomedical analyses: 2018 update","title-short":"The Galaxy platform for accessible, reproducible and collaborative biomedical analyses","volume":"46","author":[{"family":"Afgan","given":"Enis"},{"family":"Baker","given":"Dannon"},{"family":"Batut","given":"Bérénice"},{"family":"van den Beek","given":"Marius"},{"family":"Bouvier","given":"Dave"},{"family":"Čech","given":"Martin"},{"family":"Chilton","given":"John"},{"family":"Clements","given":"Dave"},{"family":"Coraor","given":"Nate"},{"family":"Grüning","given":"Björn A"},{"family":"Guerler","given":"Aysam"},{"family":"Hillman-Jackson","given":"Jennifer"},{"family":"Hiltemann","given":"Saskia"},{"family":"Jalili","given":"Vahid"},{"family":"Rasche","given":"Helena"},{"family":"Soranzo","given":"Nicola"},{"family":"Goecks","given":"Jeremy"},{"family":"Taylor","given":"James"},{"family":"Nekrutenko","given":"Anton"},{"family":"Blankenberg","given":"Daniel"}],"issued":{"date-parts":[["2018",7,2]]}}}],"schema":"https://github.com/citation-style-language/schema/raw/master/csl-citation.json"} </w:instrText>
      </w:r>
      <w:r w:rsidR="00FE4F31">
        <w:fldChar w:fldCharType="separate"/>
      </w:r>
      <w:r w:rsidR="00FE4F31" w:rsidRPr="00FE4F31">
        <w:rPr>
          <w:rFonts w:ascii="Calibri" w:hAnsi="Calibri" w:cs="Calibri"/>
        </w:rPr>
        <w:t>(</w:t>
      </w:r>
      <w:proofErr w:type="spellStart"/>
      <w:r w:rsidR="00FE4F31" w:rsidRPr="00FE4F31">
        <w:rPr>
          <w:rFonts w:ascii="Calibri" w:hAnsi="Calibri" w:cs="Calibri"/>
        </w:rPr>
        <w:t>Afgan</w:t>
      </w:r>
      <w:proofErr w:type="spellEnd"/>
      <w:r w:rsidR="00FE4F31" w:rsidRPr="00FE4F31">
        <w:rPr>
          <w:rFonts w:ascii="Calibri" w:hAnsi="Calibri" w:cs="Calibri"/>
        </w:rPr>
        <w:t xml:space="preserve"> et al., 2018)</w:t>
      </w:r>
      <w:r w:rsidR="00FE4F31">
        <w:fldChar w:fldCharType="end"/>
      </w:r>
      <w:r>
        <w:t xml:space="preserve">. Reads were aligned to their respective reference genome using </w:t>
      </w:r>
      <w:r w:rsidR="00FC642C">
        <w:t>HISAT</w:t>
      </w:r>
      <w:r>
        <w:t xml:space="preserve"> after preprocessing and trimming the reads</w:t>
      </w:r>
      <w:r w:rsidR="00FC642C">
        <w:t xml:space="preserve"> </w:t>
      </w:r>
      <w:r w:rsidR="00FC642C">
        <w:fldChar w:fldCharType="begin"/>
      </w:r>
      <w:r w:rsidR="00FC642C">
        <w:instrText xml:space="preserve"> ADDIN ZOTERO_ITEM CSL_CITATION {"citationID":"g47pLaTd","properties":{"formattedCitation":"(Kim et al., 2015)","plainCitation":"(Kim et al., 2015)","noteIndex":0},"citationItems":[{"id":863,"uris":["http://zotero.org/users/6636763/items/3AEGDLYA"],"uri":["http://zotero.org/users/6636763/items/3AEGDLYA"],"itemData":{"id":863,"type":"article-journal","abstract":"HISAT (hierarchical indexing for spliced alignment of transcripts) uses global and local indices for fast, sensitive alignment with small memory requirements.","container-title":"Nature Methods","DOI":"10.1038/nmeth.3317","ISSN":"1548-7105","issue":"4","language":"en","note":"number: 4\npublisher: Nature Publishing Group","page":"357-360","source":"www.nature.com","title":"HISAT: a fast spliced aligner with low memory requirements","title-short":"HISAT","volume":"12","author":[{"family":"Kim","given":"Daehwan"},{"family":"Langmead","given":"Ben"},{"family":"Salzberg","given":"Steven L."}],"issued":{"date-parts":[["2015",4]]}}}],"schema":"https://github.com/citation-style-language/schema/raw/master/csl-citation.json"} </w:instrText>
      </w:r>
      <w:r w:rsidR="00FC642C">
        <w:fldChar w:fldCharType="separate"/>
      </w:r>
      <w:r w:rsidR="00FC642C" w:rsidRPr="00FC642C">
        <w:rPr>
          <w:rFonts w:ascii="Calibri" w:hAnsi="Calibri" w:cs="Calibri"/>
        </w:rPr>
        <w:t>(Kim et al., 2015)</w:t>
      </w:r>
      <w:r w:rsidR="00FC642C">
        <w:fldChar w:fldCharType="end"/>
      </w:r>
      <w:r>
        <w:t xml:space="preserve">. The tool </w:t>
      </w:r>
      <w:proofErr w:type="spellStart"/>
      <w:r>
        <w:t>featureCount</w:t>
      </w:r>
      <w:r w:rsidR="00315032">
        <w:t>s</w:t>
      </w:r>
      <w:proofErr w:type="spellEnd"/>
      <w:r>
        <w:t xml:space="preserve"> </w:t>
      </w:r>
      <w:r w:rsidR="00FC642C">
        <w:t xml:space="preserve">was then used to quantify exons using the respective organism’s </w:t>
      </w:r>
      <w:r w:rsidR="00315032">
        <w:t xml:space="preserve">annotated genome </w:t>
      </w:r>
      <w:r w:rsidR="00315032">
        <w:fldChar w:fldCharType="begin"/>
      </w:r>
      <w:r w:rsidR="00315032">
        <w:instrText xml:space="preserve"> ADDIN ZOTERO_ITEM CSL_CITATION {"citationID":"IYca0Vjw","properties":{"formattedCitation":"(Liao et al., 2014)","plainCitation":"(Liao et al., 2014)","noteIndex":0},"citationItems":[{"id":866,"uris":["http://zotero.org/users/6636763/items/LBCYH447"],"uri":["http://zotero.org/users/6636763/items/LBCYH447"],"itemData":{"id":866,"type":"article-journal","abstract":"Abstract.  Motivation: Next-generation sequencing technologies generate millions of short sequence reads, which are usually aligned to a reference genome. In ma","container-title":"Bioinformatics","DOI":"10.1093/bioinformatics/btt656","ISSN":"1367-4803","issue":"7","journalAbbreviation":"Bioinformatics","language":"en","note":"publisher: Oxford Academic","page":"923-930","source":"academic.oup.com","title":"featureCounts: an efficient general purpose program for assigning sequence reads to genomic features","title-short":"featureCounts","volume":"30","author":[{"family":"Liao","given":"Yang"},{"family":"Smyth","given":"Gordon K."},{"family":"Shi","given":"Wei"}],"issued":{"date-parts":[["2014",4,1]]}}}],"schema":"https://github.com/citation-style-language/schema/raw/master/csl-citation.json"} </w:instrText>
      </w:r>
      <w:r w:rsidR="00315032">
        <w:fldChar w:fldCharType="separate"/>
      </w:r>
      <w:r w:rsidR="00315032" w:rsidRPr="00315032">
        <w:rPr>
          <w:rFonts w:ascii="Calibri" w:hAnsi="Calibri" w:cs="Calibri"/>
        </w:rPr>
        <w:t>(Liao et al., 2014)</w:t>
      </w:r>
      <w:r w:rsidR="00315032">
        <w:fldChar w:fldCharType="end"/>
      </w:r>
      <w:r w:rsidR="00315032">
        <w:t xml:space="preserve">. Count files were then filtered of low-expressed exons and normalized using the </w:t>
      </w:r>
      <w:r w:rsidR="00FE4F31">
        <w:t xml:space="preserve">R package </w:t>
      </w:r>
      <w:proofErr w:type="spellStart"/>
      <w:r w:rsidR="00FE4F31">
        <w:t>edgeR</w:t>
      </w:r>
      <w:proofErr w:type="spellEnd"/>
      <w:r w:rsidR="00FE4F31">
        <w:t xml:space="preserve"> and then </w:t>
      </w:r>
      <w:proofErr w:type="spellStart"/>
      <w:r w:rsidR="00FE4F31">
        <w:t>voom</w:t>
      </w:r>
      <w:proofErr w:type="spellEnd"/>
      <w:r w:rsidR="00FE4F31">
        <w:t xml:space="preserve"> transformed for differential expression analysis using </w:t>
      </w:r>
      <w:proofErr w:type="spellStart"/>
      <w:r w:rsidR="00FE4F31">
        <w:t>Limma</w:t>
      </w:r>
      <w:proofErr w:type="spellEnd"/>
      <w:r w:rsidR="00FE4F31">
        <w:t xml:space="preserve"> </w:t>
      </w:r>
      <w:r w:rsidR="00FE4F31">
        <w:fldChar w:fldCharType="begin"/>
      </w:r>
      <w:r w:rsidR="00FE4F31">
        <w:instrText xml:space="preserve"> ADDIN ZOTERO_ITEM CSL_CITATION {"citationID":"Q38o0hHB","properties":{"formattedCitation":"(Chen et al., 2020; Smyth et al., 2020)","plainCitation":"(Chen et al., 2020; Smyth et al., 2020)","noteIndex":0},"citationItems":[{"id":869,"uris":["http://zotero.org/users/6636763/items/HLVWU7WW"],"uri":["http://zotero.org/users/6636763/items/HLVWU7WW"],"itemData":{"id":869,"type":"book","abstract":"Differential expression analysis of RNA-seq expression profiles with biological replication. Implements a range of statistical methodology based on the negative binomial distributions, including empirical Bayes estimation, exact tests, generalized linear models and quasi-likelihood tests. As well as RNA-seq, it be applied to differential signal analysis of other types of genomic data that produce read counts, including ChIP-seq, ATAC-seq, Bisulfite-seq, SAGE and CAGE.","note":"DOI: 10.18129/B9.bioc.edgeR","publisher":"Bioconductor version: Release (3.11)","source":"Bioconductor","title":"edgeR: Empirical Analysis of Digital Gene Expression Data in R","title-short":"edgeR","URL":"https://bioconductor.org/packages/edgeR/","version":"3.30.3","author":[{"family":"Chen","given":"Yunshun"},{"family":"Lun","given":"Aaron TL"},{"family":"McCarthy","given":"Davis J."},{"family":"Ritchie","given":"Matthew E."},{"family":"Phipson","given":"Belinda"},{"family":"Hu","given":"Yifang"},{"family":"Zhou","given":"Xiaobei"},{"family":"Robinson","given":"Mark D."},{"family":"Smyth","given":"Gordon K."}],"accessed":{"date-parts":[["2020",10,14]]},"issued":{"date-parts":[["2020"]]}}},{"id":855,"uris":["http://zotero.org/users/6636763/items/4UFRMRTP"],"uri":["http://zotero.org/users/6636763/items/4UFRMRTP"],"itemData":{"id":855,"type":"book","abstract":"Data analysis, linear models and differential expression for microarray data.","note":"DOI: 10.18129/B9.bioc.limma","publisher":"Bioconductor version: Release (3.11)","source":"Bioconductor","title":"limma: Linear Models for Microarray Data","title-short":"limma","URL":"https://bioconductor.org/packages/limma/","version":"3.44.3","author":[{"family":"Smyth","given":"Gordon"},{"family":"Hu","given":"Yifang"},{"family":"Ritchie","given":"Matthew"},{"family":"Silver","given":"Jeremy"},{"family":"Wettenhall","given":"James"},{"family":"McCarthy","given":"Davis"},{"family":"Wu","given":"Di"},{"family":"Shi","given":"Wei"},{"family":"Phipson","given":"Belinda"},{"family":"Lun","given":"Aaron"},{"family":"Thorne","given":"Natalie"},{"family":"Oshlack","given":"Alicia"},{"family":"Graaf","given":"Carolyn","dropping-particle":"de"},{"family":"Chen","given":"Yunshun"},{"family":"Langaas","given":"Mette"},{"family":"Ferkingstad","given":"Egil"},{"family":"Davy","given":"Marcus"},{"family":"Pepin","given":"Francois"},{"family":"Choi","given":"Dongseok"}],"accessed":{"date-parts":[["2020",10,13]]},"issued":{"date-parts":[["2020"]]}}}],"schema":"https://github.com/citation-style-language/schema/raw/master/csl-citation.json"} </w:instrText>
      </w:r>
      <w:r w:rsidR="00FE4F31">
        <w:fldChar w:fldCharType="separate"/>
      </w:r>
      <w:r w:rsidR="00FE4F31" w:rsidRPr="00FE4F31">
        <w:rPr>
          <w:rFonts w:ascii="Calibri" w:hAnsi="Calibri" w:cs="Calibri"/>
        </w:rPr>
        <w:t>(Chen et al., 2020; Smyth et al., 2020)</w:t>
      </w:r>
      <w:r w:rsidR="00FE4F31">
        <w:fldChar w:fldCharType="end"/>
      </w:r>
      <w:r w:rsidR="00FE4F31">
        <w:t xml:space="preserve">. </w:t>
      </w:r>
      <w:r w:rsidR="00265716">
        <w:t>All metadata was fetched from NCBI GEO.</w:t>
      </w:r>
    </w:p>
    <w:p w14:paraId="2489D997" w14:textId="26B7CCB5" w:rsidR="00FE4F31" w:rsidRDefault="00FE4F31">
      <w:r>
        <w:lastRenderedPageBreak/>
        <w:t>Citations</w:t>
      </w:r>
    </w:p>
    <w:p w14:paraId="3BA5083A" w14:textId="77777777" w:rsidR="00265716" w:rsidRPr="00265716" w:rsidRDefault="00265716" w:rsidP="00265716">
      <w:pPr>
        <w:pStyle w:val="Bibliography"/>
        <w:rPr>
          <w:rFonts w:ascii="Calibri" w:hAnsi="Calibri" w:cs="Calibri"/>
        </w:rPr>
      </w:pPr>
      <w:r>
        <w:fldChar w:fldCharType="begin"/>
      </w:r>
      <w:r>
        <w:instrText xml:space="preserve"> ADDIN ZOTERO_BIBL {"uncited":[],"omitted":[],"custom":[]} CSL_BIBLIOGRAPHY </w:instrText>
      </w:r>
      <w:r>
        <w:fldChar w:fldCharType="separate"/>
      </w:r>
      <w:proofErr w:type="spellStart"/>
      <w:r w:rsidRPr="00265716">
        <w:rPr>
          <w:rFonts w:ascii="Calibri" w:hAnsi="Calibri" w:cs="Calibri"/>
        </w:rPr>
        <w:t>Afgan</w:t>
      </w:r>
      <w:proofErr w:type="spellEnd"/>
      <w:r w:rsidRPr="00265716">
        <w:rPr>
          <w:rFonts w:ascii="Calibri" w:hAnsi="Calibri" w:cs="Calibri"/>
        </w:rPr>
        <w:t xml:space="preserve">, E., D. Baker, B. </w:t>
      </w:r>
      <w:proofErr w:type="spellStart"/>
      <w:r w:rsidRPr="00265716">
        <w:rPr>
          <w:rFonts w:ascii="Calibri" w:hAnsi="Calibri" w:cs="Calibri"/>
        </w:rPr>
        <w:t>Batut</w:t>
      </w:r>
      <w:proofErr w:type="spellEnd"/>
      <w:r w:rsidRPr="00265716">
        <w:rPr>
          <w:rFonts w:ascii="Calibri" w:hAnsi="Calibri" w:cs="Calibri"/>
        </w:rPr>
        <w:t xml:space="preserve">, M. van den Beek, D. Bouvier, M. </w:t>
      </w:r>
      <w:proofErr w:type="spellStart"/>
      <w:r w:rsidRPr="00265716">
        <w:rPr>
          <w:rFonts w:ascii="Calibri" w:hAnsi="Calibri" w:cs="Calibri"/>
        </w:rPr>
        <w:t>Čech</w:t>
      </w:r>
      <w:proofErr w:type="spellEnd"/>
      <w:r w:rsidRPr="00265716">
        <w:rPr>
          <w:rFonts w:ascii="Calibri" w:hAnsi="Calibri" w:cs="Calibri"/>
        </w:rPr>
        <w:t xml:space="preserve">, J. Chilton, D. Clements, N. </w:t>
      </w:r>
      <w:proofErr w:type="spellStart"/>
      <w:r w:rsidRPr="00265716">
        <w:rPr>
          <w:rFonts w:ascii="Calibri" w:hAnsi="Calibri" w:cs="Calibri"/>
        </w:rPr>
        <w:t>Coraor</w:t>
      </w:r>
      <w:proofErr w:type="spellEnd"/>
      <w:r w:rsidRPr="00265716">
        <w:rPr>
          <w:rFonts w:ascii="Calibri" w:hAnsi="Calibri" w:cs="Calibri"/>
        </w:rPr>
        <w:t xml:space="preserve">, B.A. </w:t>
      </w:r>
      <w:proofErr w:type="spellStart"/>
      <w:r w:rsidRPr="00265716">
        <w:rPr>
          <w:rFonts w:ascii="Calibri" w:hAnsi="Calibri" w:cs="Calibri"/>
        </w:rPr>
        <w:t>Grüning</w:t>
      </w:r>
      <w:proofErr w:type="spellEnd"/>
      <w:r w:rsidRPr="00265716">
        <w:rPr>
          <w:rFonts w:ascii="Calibri" w:hAnsi="Calibri" w:cs="Calibri"/>
        </w:rPr>
        <w:t xml:space="preserve">, A. </w:t>
      </w:r>
      <w:proofErr w:type="spellStart"/>
      <w:r w:rsidRPr="00265716">
        <w:rPr>
          <w:rFonts w:ascii="Calibri" w:hAnsi="Calibri" w:cs="Calibri"/>
        </w:rPr>
        <w:t>Guerler</w:t>
      </w:r>
      <w:proofErr w:type="spellEnd"/>
      <w:r w:rsidRPr="00265716">
        <w:rPr>
          <w:rFonts w:ascii="Calibri" w:hAnsi="Calibri" w:cs="Calibri"/>
        </w:rPr>
        <w:t xml:space="preserve">, J. Hillman-Jackson, S. </w:t>
      </w:r>
      <w:proofErr w:type="spellStart"/>
      <w:r w:rsidRPr="00265716">
        <w:rPr>
          <w:rFonts w:ascii="Calibri" w:hAnsi="Calibri" w:cs="Calibri"/>
        </w:rPr>
        <w:t>Hiltemann</w:t>
      </w:r>
      <w:proofErr w:type="spellEnd"/>
      <w:r w:rsidRPr="00265716">
        <w:rPr>
          <w:rFonts w:ascii="Calibri" w:hAnsi="Calibri" w:cs="Calibri"/>
        </w:rPr>
        <w:t xml:space="preserve">, V. Jalili, H. </w:t>
      </w:r>
      <w:proofErr w:type="spellStart"/>
      <w:r w:rsidRPr="00265716">
        <w:rPr>
          <w:rFonts w:ascii="Calibri" w:hAnsi="Calibri" w:cs="Calibri"/>
        </w:rPr>
        <w:t>Rasche</w:t>
      </w:r>
      <w:proofErr w:type="spellEnd"/>
      <w:r w:rsidRPr="00265716">
        <w:rPr>
          <w:rFonts w:ascii="Calibri" w:hAnsi="Calibri" w:cs="Calibri"/>
        </w:rPr>
        <w:t xml:space="preserve">, N. </w:t>
      </w:r>
      <w:proofErr w:type="spellStart"/>
      <w:r w:rsidRPr="00265716">
        <w:rPr>
          <w:rFonts w:ascii="Calibri" w:hAnsi="Calibri" w:cs="Calibri"/>
        </w:rPr>
        <w:t>Soranzo</w:t>
      </w:r>
      <w:proofErr w:type="spellEnd"/>
      <w:r w:rsidRPr="00265716">
        <w:rPr>
          <w:rFonts w:ascii="Calibri" w:hAnsi="Calibri" w:cs="Calibri"/>
        </w:rPr>
        <w:t xml:space="preserve">, J. </w:t>
      </w:r>
      <w:proofErr w:type="spellStart"/>
      <w:r w:rsidRPr="00265716">
        <w:rPr>
          <w:rFonts w:ascii="Calibri" w:hAnsi="Calibri" w:cs="Calibri"/>
        </w:rPr>
        <w:t>Goecks</w:t>
      </w:r>
      <w:proofErr w:type="spellEnd"/>
      <w:r w:rsidRPr="00265716">
        <w:rPr>
          <w:rFonts w:ascii="Calibri" w:hAnsi="Calibri" w:cs="Calibri"/>
        </w:rPr>
        <w:t xml:space="preserve">, J. Taylor, A. </w:t>
      </w:r>
      <w:proofErr w:type="spellStart"/>
      <w:r w:rsidRPr="00265716">
        <w:rPr>
          <w:rFonts w:ascii="Calibri" w:hAnsi="Calibri" w:cs="Calibri"/>
        </w:rPr>
        <w:t>Nekrutenko</w:t>
      </w:r>
      <w:proofErr w:type="spellEnd"/>
      <w:r w:rsidRPr="00265716">
        <w:rPr>
          <w:rFonts w:ascii="Calibri" w:hAnsi="Calibri" w:cs="Calibri"/>
        </w:rPr>
        <w:t xml:space="preserve">, and D. </w:t>
      </w:r>
      <w:proofErr w:type="spellStart"/>
      <w:r w:rsidRPr="00265716">
        <w:rPr>
          <w:rFonts w:ascii="Calibri" w:hAnsi="Calibri" w:cs="Calibri"/>
        </w:rPr>
        <w:t>Blankenberg</w:t>
      </w:r>
      <w:proofErr w:type="spellEnd"/>
      <w:r w:rsidRPr="00265716">
        <w:rPr>
          <w:rFonts w:ascii="Calibri" w:hAnsi="Calibri" w:cs="Calibri"/>
        </w:rPr>
        <w:t xml:space="preserve">. 2018. The Galaxy platform for accessible, </w:t>
      </w:r>
      <w:proofErr w:type="gramStart"/>
      <w:r w:rsidRPr="00265716">
        <w:rPr>
          <w:rFonts w:ascii="Calibri" w:hAnsi="Calibri" w:cs="Calibri"/>
        </w:rPr>
        <w:t>reproducible</w:t>
      </w:r>
      <w:proofErr w:type="gramEnd"/>
      <w:r w:rsidRPr="00265716">
        <w:rPr>
          <w:rFonts w:ascii="Calibri" w:hAnsi="Calibri" w:cs="Calibri"/>
        </w:rPr>
        <w:t xml:space="preserve"> and collaborative biomedical analyses: 2018 update. </w:t>
      </w:r>
      <w:r w:rsidRPr="00265716">
        <w:rPr>
          <w:rFonts w:ascii="Calibri" w:hAnsi="Calibri" w:cs="Calibri"/>
          <w:i/>
          <w:iCs/>
        </w:rPr>
        <w:t>Nucleic Acids Res.</w:t>
      </w:r>
      <w:r w:rsidRPr="00265716">
        <w:rPr>
          <w:rFonts w:ascii="Calibri" w:hAnsi="Calibri" w:cs="Calibri"/>
        </w:rPr>
        <w:t xml:space="preserve"> </w:t>
      </w:r>
      <w:proofErr w:type="gramStart"/>
      <w:r w:rsidRPr="00265716">
        <w:rPr>
          <w:rFonts w:ascii="Calibri" w:hAnsi="Calibri" w:cs="Calibri"/>
        </w:rPr>
        <w:t>46:W</w:t>
      </w:r>
      <w:proofErr w:type="gramEnd"/>
      <w:r w:rsidRPr="00265716">
        <w:rPr>
          <w:rFonts w:ascii="Calibri" w:hAnsi="Calibri" w:cs="Calibri"/>
        </w:rPr>
        <w:t>537–W544. doi:10.1093/</w:t>
      </w:r>
      <w:proofErr w:type="spellStart"/>
      <w:r w:rsidRPr="00265716">
        <w:rPr>
          <w:rFonts w:ascii="Calibri" w:hAnsi="Calibri" w:cs="Calibri"/>
        </w:rPr>
        <w:t>nar</w:t>
      </w:r>
      <w:proofErr w:type="spellEnd"/>
      <w:r w:rsidRPr="00265716">
        <w:rPr>
          <w:rFonts w:ascii="Calibri" w:hAnsi="Calibri" w:cs="Calibri"/>
        </w:rPr>
        <w:t>/gky379.</w:t>
      </w:r>
    </w:p>
    <w:p w14:paraId="45397D2D" w14:textId="77777777" w:rsidR="00265716" w:rsidRPr="00265716" w:rsidRDefault="00265716" w:rsidP="00265716">
      <w:pPr>
        <w:pStyle w:val="Bibliography"/>
        <w:rPr>
          <w:rFonts w:ascii="Calibri" w:hAnsi="Calibri" w:cs="Calibri"/>
        </w:rPr>
      </w:pPr>
      <w:r w:rsidRPr="00265716">
        <w:rPr>
          <w:rFonts w:ascii="Calibri" w:hAnsi="Calibri" w:cs="Calibri"/>
        </w:rPr>
        <w:t xml:space="preserve">Chen, Y., A.T. </w:t>
      </w:r>
      <w:proofErr w:type="spellStart"/>
      <w:r w:rsidRPr="00265716">
        <w:rPr>
          <w:rFonts w:ascii="Calibri" w:hAnsi="Calibri" w:cs="Calibri"/>
        </w:rPr>
        <w:t>Lun</w:t>
      </w:r>
      <w:proofErr w:type="spellEnd"/>
      <w:r w:rsidRPr="00265716">
        <w:rPr>
          <w:rFonts w:ascii="Calibri" w:hAnsi="Calibri" w:cs="Calibri"/>
        </w:rPr>
        <w:t xml:space="preserve">, D.J. McCarthy, M.E. Ritchie, B. </w:t>
      </w:r>
      <w:proofErr w:type="spellStart"/>
      <w:r w:rsidRPr="00265716">
        <w:rPr>
          <w:rFonts w:ascii="Calibri" w:hAnsi="Calibri" w:cs="Calibri"/>
        </w:rPr>
        <w:t>Phipson</w:t>
      </w:r>
      <w:proofErr w:type="spellEnd"/>
      <w:r w:rsidRPr="00265716">
        <w:rPr>
          <w:rFonts w:ascii="Calibri" w:hAnsi="Calibri" w:cs="Calibri"/>
        </w:rPr>
        <w:t xml:space="preserve">, Y. Hu, X. Zhou, M.D. Robinson, and G.K. Smyth. 2020. </w:t>
      </w:r>
      <w:proofErr w:type="spellStart"/>
      <w:r w:rsidRPr="00265716">
        <w:rPr>
          <w:rFonts w:ascii="Calibri" w:hAnsi="Calibri" w:cs="Calibri"/>
        </w:rPr>
        <w:t>edgeR</w:t>
      </w:r>
      <w:proofErr w:type="spellEnd"/>
      <w:r w:rsidRPr="00265716">
        <w:rPr>
          <w:rFonts w:ascii="Calibri" w:hAnsi="Calibri" w:cs="Calibri"/>
        </w:rPr>
        <w:t>: Empirical Analysis of Digital Gene Expression Data in R. Bioconductor version: Release (3.11).</w:t>
      </w:r>
    </w:p>
    <w:p w14:paraId="4983F499" w14:textId="77777777" w:rsidR="00265716" w:rsidRPr="00265716" w:rsidRDefault="00265716" w:rsidP="00265716">
      <w:pPr>
        <w:pStyle w:val="Bibliography"/>
        <w:rPr>
          <w:rFonts w:ascii="Calibri" w:hAnsi="Calibri" w:cs="Calibri"/>
        </w:rPr>
      </w:pPr>
      <w:r w:rsidRPr="00265716">
        <w:rPr>
          <w:rFonts w:ascii="Calibri" w:hAnsi="Calibri" w:cs="Calibri"/>
        </w:rPr>
        <w:t xml:space="preserve">Davis, S., and P.S. Meltzer. 2007. </w:t>
      </w:r>
      <w:proofErr w:type="spellStart"/>
      <w:r w:rsidRPr="00265716">
        <w:rPr>
          <w:rFonts w:ascii="Calibri" w:hAnsi="Calibri" w:cs="Calibri"/>
        </w:rPr>
        <w:t>GEOquery</w:t>
      </w:r>
      <w:proofErr w:type="spellEnd"/>
      <w:r w:rsidRPr="00265716">
        <w:rPr>
          <w:rFonts w:ascii="Calibri" w:hAnsi="Calibri" w:cs="Calibri"/>
        </w:rPr>
        <w:t xml:space="preserve">: a bridge between the Gene Expression Omnibus (GEO) and </w:t>
      </w:r>
      <w:proofErr w:type="spellStart"/>
      <w:r w:rsidRPr="00265716">
        <w:rPr>
          <w:rFonts w:ascii="Calibri" w:hAnsi="Calibri" w:cs="Calibri"/>
        </w:rPr>
        <w:t>BioConductor</w:t>
      </w:r>
      <w:proofErr w:type="spellEnd"/>
      <w:r w:rsidRPr="00265716">
        <w:rPr>
          <w:rFonts w:ascii="Calibri" w:hAnsi="Calibri" w:cs="Calibri"/>
        </w:rPr>
        <w:t xml:space="preserve">. </w:t>
      </w:r>
      <w:r w:rsidRPr="00265716">
        <w:rPr>
          <w:rFonts w:ascii="Calibri" w:hAnsi="Calibri" w:cs="Calibri"/>
          <w:i/>
          <w:iCs/>
        </w:rPr>
        <w:t>Bioinformatics</w:t>
      </w:r>
      <w:r w:rsidRPr="00265716">
        <w:rPr>
          <w:rFonts w:ascii="Calibri" w:hAnsi="Calibri" w:cs="Calibri"/>
        </w:rPr>
        <w:t>. 23:1846–1847. doi:10.1093/bioinformatics/btm254.</w:t>
      </w:r>
    </w:p>
    <w:p w14:paraId="664B75D6" w14:textId="77777777" w:rsidR="00265716" w:rsidRPr="00265716" w:rsidRDefault="00265716" w:rsidP="00265716">
      <w:pPr>
        <w:pStyle w:val="Bibliography"/>
        <w:rPr>
          <w:rFonts w:ascii="Calibri" w:hAnsi="Calibri" w:cs="Calibri"/>
        </w:rPr>
      </w:pPr>
      <w:r w:rsidRPr="00265716">
        <w:rPr>
          <w:rFonts w:ascii="Calibri" w:hAnsi="Calibri" w:cs="Calibri"/>
        </w:rPr>
        <w:t xml:space="preserve">Kim, D., B. Langmead, and S.L. </w:t>
      </w:r>
      <w:proofErr w:type="spellStart"/>
      <w:r w:rsidRPr="00265716">
        <w:rPr>
          <w:rFonts w:ascii="Calibri" w:hAnsi="Calibri" w:cs="Calibri"/>
        </w:rPr>
        <w:t>Salzberg</w:t>
      </w:r>
      <w:proofErr w:type="spellEnd"/>
      <w:r w:rsidRPr="00265716">
        <w:rPr>
          <w:rFonts w:ascii="Calibri" w:hAnsi="Calibri" w:cs="Calibri"/>
        </w:rPr>
        <w:t xml:space="preserve">. 2015. HISAT: a </w:t>
      </w:r>
      <w:proofErr w:type="gramStart"/>
      <w:r w:rsidRPr="00265716">
        <w:rPr>
          <w:rFonts w:ascii="Calibri" w:hAnsi="Calibri" w:cs="Calibri"/>
        </w:rPr>
        <w:t>fast spliced</w:t>
      </w:r>
      <w:proofErr w:type="gramEnd"/>
      <w:r w:rsidRPr="00265716">
        <w:rPr>
          <w:rFonts w:ascii="Calibri" w:hAnsi="Calibri" w:cs="Calibri"/>
        </w:rPr>
        <w:t xml:space="preserve"> aligner with low memory requirements. </w:t>
      </w:r>
      <w:r w:rsidRPr="00265716">
        <w:rPr>
          <w:rFonts w:ascii="Calibri" w:hAnsi="Calibri" w:cs="Calibri"/>
          <w:i/>
          <w:iCs/>
        </w:rPr>
        <w:t>Nat. Methods</w:t>
      </w:r>
      <w:r w:rsidRPr="00265716">
        <w:rPr>
          <w:rFonts w:ascii="Calibri" w:hAnsi="Calibri" w:cs="Calibri"/>
        </w:rPr>
        <w:t>. 12:357–360. doi:10.1038/nmeth.3317.</w:t>
      </w:r>
    </w:p>
    <w:p w14:paraId="77F46DED" w14:textId="77777777" w:rsidR="00265716" w:rsidRPr="00265716" w:rsidRDefault="00265716" w:rsidP="00265716">
      <w:pPr>
        <w:pStyle w:val="Bibliography"/>
        <w:rPr>
          <w:rFonts w:ascii="Calibri" w:hAnsi="Calibri" w:cs="Calibri"/>
        </w:rPr>
      </w:pPr>
      <w:r w:rsidRPr="00265716">
        <w:rPr>
          <w:rFonts w:ascii="Calibri" w:hAnsi="Calibri" w:cs="Calibri"/>
        </w:rPr>
        <w:t xml:space="preserve">Leinonen, R., H. Sugawara, and M. Shumway. 2011. The Sequence Read Archive. </w:t>
      </w:r>
      <w:r w:rsidRPr="00265716">
        <w:rPr>
          <w:rFonts w:ascii="Calibri" w:hAnsi="Calibri" w:cs="Calibri"/>
          <w:i/>
          <w:iCs/>
        </w:rPr>
        <w:t>Nucleic Acids Res.</w:t>
      </w:r>
      <w:r w:rsidRPr="00265716">
        <w:rPr>
          <w:rFonts w:ascii="Calibri" w:hAnsi="Calibri" w:cs="Calibri"/>
        </w:rPr>
        <w:t xml:space="preserve"> </w:t>
      </w:r>
      <w:proofErr w:type="gramStart"/>
      <w:r w:rsidRPr="00265716">
        <w:rPr>
          <w:rFonts w:ascii="Calibri" w:hAnsi="Calibri" w:cs="Calibri"/>
        </w:rPr>
        <w:t>39:D</w:t>
      </w:r>
      <w:proofErr w:type="gramEnd"/>
      <w:r w:rsidRPr="00265716">
        <w:rPr>
          <w:rFonts w:ascii="Calibri" w:hAnsi="Calibri" w:cs="Calibri"/>
        </w:rPr>
        <w:t>19–D21. doi:10.1093/</w:t>
      </w:r>
      <w:proofErr w:type="spellStart"/>
      <w:r w:rsidRPr="00265716">
        <w:rPr>
          <w:rFonts w:ascii="Calibri" w:hAnsi="Calibri" w:cs="Calibri"/>
        </w:rPr>
        <w:t>nar</w:t>
      </w:r>
      <w:proofErr w:type="spellEnd"/>
      <w:r w:rsidRPr="00265716">
        <w:rPr>
          <w:rFonts w:ascii="Calibri" w:hAnsi="Calibri" w:cs="Calibri"/>
        </w:rPr>
        <w:t>/gkq1019.</w:t>
      </w:r>
    </w:p>
    <w:p w14:paraId="772A1F78" w14:textId="77777777" w:rsidR="00265716" w:rsidRPr="00265716" w:rsidRDefault="00265716" w:rsidP="00265716">
      <w:pPr>
        <w:pStyle w:val="Bibliography"/>
        <w:rPr>
          <w:rFonts w:ascii="Calibri" w:hAnsi="Calibri" w:cs="Calibri"/>
        </w:rPr>
      </w:pPr>
      <w:r w:rsidRPr="00265716">
        <w:rPr>
          <w:rFonts w:ascii="Calibri" w:hAnsi="Calibri" w:cs="Calibri"/>
        </w:rPr>
        <w:t xml:space="preserve">Liao, Y., G.K. Smyth, and W. Shi. 2014. </w:t>
      </w:r>
      <w:proofErr w:type="spellStart"/>
      <w:r w:rsidRPr="00265716">
        <w:rPr>
          <w:rFonts w:ascii="Calibri" w:hAnsi="Calibri" w:cs="Calibri"/>
        </w:rPr>
        <w:t>featureCounts</w:t>
      </w:r>
      <w:proofErr w:type="spellEnd"/>
      <w:r w:rsidRPr="00265716">
        <w:rPr>
          <w:rFonts w:ascii="Calibri" w:hAnsi="Calibri" w:cs="Calibri"/>
        </w:rPr>
        <w:t xml:space="preserve">: an efficient </w:t>
      </w:r>
      <w:proofErr w:type="gramStart"/>
      <w:r w:rsidRPr="00265716">
        <w:rPr>
          <w:rFonts w:ascii="Calibri" w:hAnsi="Calibri" w:cs="Calibri"/>
        </w:rPr>
        <w:t>general purpose</w:t>
      </w:r>
      <w:proofErr w:type="gramEnd"/>
      <w:r w:rsidRPr="00265716">
        <w:rPr>
          <w:rFonts w:ascii="Calibri" w:hAnsi="Calibri" w:cs="Calibri"/>
        </w:rPr>
        <w:t xml:space="preserve"> program for assigning sequence reads to genomic features. </w:t>
      </w:r>
      <w:r w:rsidRPr="00265716">
        <w:rPr>
          <w:rFonts w:ascii="Calibri" w:hAnsi="Calibri" w:cs="Calibri"/>
          <w:i/>
          <w:iCs/>
        </w:rPr>
        <w:t>Bioinformatics</w:t>
      </w:r>
      <w:r w:rsidRPr="00265716">
        <w:rPr>
          <w:rFonts w:ascii="Calibri" w:hAnsi="Calibri" w:cs="Calibri"/>
        </w:rPr>
        <w:t>. 30:923–930. doi:10.1093/bioinformatics/btt656.</w:t>
      </w:r>
    </w:p>
    <w:p w14:paraId="72E2389A" w14:textId="77777777" w:rsidR="00265716" w:rsidRDefault="00265716" w:rsidP="00265716">
      <w:pPr>
        <w:pStyle w:val="Bibliography"/>
        <w:rPr>
          <w:rFonts w:ascii="Calibri" w:hAnsi="Calibri" w:cs="Calibri"/>
        </w:rPr>
      </w:pPr>
      <w:proofErr w:type="spellStart"/>
      <w:r w:rsidRPr="00265716">
        <w:rPr>
          <w:rFonts w:ascii="Calibri" w:hAnsi="Calibri" w:cs="Calibri"/>
        </w:rPr>
        <w:t>Nislow</w:t>
      </w:r>
      <w:proofErr w:type="spellEnd"/>
      <w:r w:rsidRPr="00265716">
        <w:rPr>
          <w:rFonts w:ascii="Calibri" w:hAnsi="Calibri" w:cs="Calibri"/>
        </w:rPr>
        <w:t xml:space="preserve">, C., A.Y. Lee, P.L. Allen, G. Giaever, A. Smith, M. </w:t>
      </w:r>
      <w:proofErr w:type="spellStart"/>
      <w:r w:rsidRPr="00265716">
        <w:rPr>
          <w:rFonts w:ascii="Calibri" w:hAnsi="Calibri" w:cs="Calibri"/>
        </w:rPr>
        <w:t>Gebbia</w:t>
      </w:r>
      <w:proofErr w:type="spellEnd"/>
      <w:r w:rsidRPr="00265716">
        <w:rPr>
          <w:rFonts w:ascii="Calibri" w:hAnsi="Calibri" w:cs="Calibri"/>
        </w:rPr>
        <w:t xml:space="preserve">, L.S. </w:t>
      </w:r>
      <w:proofErr w:type="spellStart"/>
      <w:r w:rsidRPr="00265716">
        <w:rPr>
          <w:rFonts w:ascii="Calibri" w:hAnsi="Calibri" w:cs="Calibri"/>
        </w:rPr>
        <w:t>Stodieck</w:t>
      </w:r>
      <w:proofErr w:type="spellEnd"/>
      <w:r w:rsidRPr="00265716">
        <w:rPr>
          <w:rFonts w:ascii="Calibri" w:hAnsi="Calibri" w:cs="Calibri"/>
        </w:rPr>
        <w:t xml:space="preserve">, J.S. Hammond, H.H. Birdsall, and T.G. Hammond. 2015. Genes Required for Survival in Microgravity Revealed by Genome-Wide Yeast Deletion Collections Cultured during Spaceflight. </w:t>
      </w:r>
      <w:r w:rsidRPr="00265716">
        <w:rPr>
          <w:rFonts w:ascii="Calibri" w:hAnsi="Calibri" w:cs="Calibri"/>
          <w:i/>
          <w:iCs/>
        </w:rPr>
        <w:t>BioMed Research International</w:t>
      </w:r>
      <w:r w:rsidRPr="00265716">
        <w:rPr>
          <w:rFonts w:ascii="Calibri" w:hAnsi="Calibri" w:cs="Calibri"/>
        </w:rPr>
        <w:t xml:space="preserve">. </w:t>
      </w:r>
      <w:proofErr w:type="gramStart"/>
      <w:r w:rsidRPr="00265716">
        <w:rPr>
          <w:rFonts w:ascii="Calibri" w:hAnsi="Calibri" w:cs="Calibri"/>
        </w:rPr>
        <w:t>2015:e</w:t>
      </w:r>
      <w:proofErr w:type="gramEnd"/>
      <w:r w:rsidRPr="00265716">
        <w:rPr>
          <w:rFonts w:ascii="Calibri" w:hAnsi="Calibri" w:cs="Calibri"/>
        </w:rPr>
        <w:t xml:space="preserve">976458. </w:t>
      </w:r>
      <w:proofErr w:type="spellStart"/>
      <w:r w:rsidRPr="00265716">
        <w:rPr>
          <w:rFonts w:ascii="Calibri" w:hAnsi="Calibri" w:cs="Calibri"/>
        </w:rPr>
        <w:t>doi</w:t>
      </w:r>
      <w:proofErr w:type="spellEnd"/>
      <w:r w:rsidRPr="00265716">
        <w:rPr>
          <w:rFonts w:ascii="Calibri" w:hAnsi="Calibri" w:cs="Calibri"/>
        </w:rPr>
        <w:t>:</w:t>
      </w:r>
      <w:hyperlink r:id="rId4" w:history="1">
        <w:r w:rsidRPr="00265716">
          <w:rPr>
            <w:rStyle w:val="Hyperlink"/>
            <w:rFonts w:ascii="Calibri" w:hAnsi="Calibri" w:cs="Calibri"/>
          </w:rPr>
          <w:t>https://doi.org/10.1155/2015/976458</w:t>
        </w:r>
      </w:hyperlink>
      <w:r w:rsidRPr="00265716">
        <w:rPr>
          <w:rFonts w:ascii="Calibri" w:hAnsi="Calibri" w:cs="Calibri"/>
        </w:rPr>
        <w:t>.</w:t>
      </w:r>
    </w:p>
    <w:p w14:paraId="260640E5" w14:textId="4DF95FEF" w:rsidR="00265716" w:rsidRPr="00265716" w:rsidRDefault="00265716" w:rsidP="00265716">
      <w:pPr>
        <w:pStyle w:val="Bibliography"/>
        <w:rPr>
          <w:rFonts w:ascii="Calibri" w:hAnsi="Calibri" w:cs="Calibri"/>
        </w:rPr>
      </w:pPr>
      <w:r w:rsidRPr="00265716">
        <w:rPr>
          <w:rFonts w:ascii="Calibri" w:hAnsi="Calibri" w:cs="Calibri"/>
        </w:rPr>
        <w:t xml:space="preserve">Smyth, G., Y. Hu, M. Ritchie, J. Silver, J. </w:t>
      </w:r>
      <w:proofErr w:type="spellStart"/>
      <w:r w:rsidRPr="00265716">
        <w:rPr>
          <w:rFonts w:ascii="Calibri" w:hAnsi="Calibri" w:cs="Calibri"/>
        </w:rPr>
        <w:t>Wettenhall</w:t>
      </w:r>
      <w:proofErr w:type="spellEnd"/>
      <w:r w:rsidRPr="00265716">
        <w:rPr>
          <w:rFonts w:ascii="Calibri" w:hAnsi="Calibri" w:cs="Calibri"/>
        </w:rPr>
        <w:t xml:space="preserve">, D. McCarthy, D. Wu, W. Shi, B. </w:t>
      </w:r>
      <w:proofErr w:type="spellStart"/>
      <w:r w:rsidRPr="00265716">
        <w:rPr>
          <w:rFonts w:ascii="Calibri" w:hAnsi="Calibri" w:cs="Calibri"/>
        </w:rPr>
        <w:t>Phipson</w:t>
      </w:r>
      <w:proofErr w:type="spellEnd"/>
      <w:r w:rsidRPr="00265716">
        <w:rPr>
          <w:rFonts w:ascii="Calibri" w:hAnsi="Calibri" w:cs="Calibri"/>
        </w:rPr>
        <w:t xml:space="preserve">, A. </w:t>
      </w:r>
      <w:proofErr w:type="spellStart"/>
      <w:r w:rsidRPr="00265716">
        <w:rPr>
          <w:rFonts w:ascii="Calibri" w:hAnsi="Calibri" w:cs="Calibri"/>
        </w:rPr>
        <w:t>Lun</w:t>
      </w:r>
      <w:proofErr w:type="spellEnd"/>
      <w:r w:rsidRPr="00265716">
        <w:rPr>
          <w:rFonts w:ascii="Calibri" w:hAnsi="Calibri" w:cs="Calibri"/>
        </w:rPr>
        <w:t xml:space="preserve">, N. Thorne, A. </w:t>
      </w:r>
      <w:proofErr w:type="spellStart"/>
      <w:r w:rsidRPr="00265716">
        <w:rPr>
          <w:rFonts w:ascii="Calibri" w:hAnsi="Calibri" w:cs="Calibri"/>
        </w:rPr>
        <w:t>Oshlack</w:t>
      </w:r>
      <w:proofErr w:type="spellEnd"/>
      <w:r w:rsidRPr="00265716">
        <w:rPr>
          <w:rFonts w:ascii="Calibri" w:hAnsi="Calibri" w:cs="Calibri"/>
        </w:rPr>
        <w:t xml:space="preserve">, C. de Graaf, Y. Chen, M. </w:t>
      </w:r>
      <w:proofErr w:type="spellStart"/>
      <w:r w:rsidRPr="00265716">
        <w:rPr>
          <w:rFonts w:ascii="Calibri" w:hAnsi="Calibri" w:cs="Calibri"/>
        </w:rPr>
        <w:t>Langaas</w:t>
      </w:r>
      <w:proofErr w:type="spellEnd"/>
      <w:r w:rsidRPr="00265716">
        <w:rPr>
          <w:rFonts w:ascii="Calibri" w:hAnsi="Calibri" w:cs="Calibri"/>
        </w:rPr>
        <w:t xml:space="preserve">, E. </w:t>
      </w:r>
      <w:proofErr w:type="spellStart"/>
      <w:r w:rsidRPr="00265716">
        <w:rPr>
          <w:rFonts w:ascii="Calibri" w:hAnsi="Calibri" w:cs="Calibri"/>
        </w:rPr>
        <w:t>Ferkingstad</w:t>
      </w:r>
      <w:proofErr w:type="spellEnd"/>
      <w:r w:rsidRPr="00265716">
        <w:rPr>
          <w:rFonts w:ascii="Calibri" w:hAnsi="Calibri" w:cs="Calibri"/>
        </w:rPr>
        <w:t xml:space="preserve">, M. Davy, F. Pepin, and D. Choi. 2020. </w:t>
      </w:r>
      <w:proofErr w:type="spellStart"/>
      <w:r w:rsidRPr="00265716">
        <w:rPr>
          <w:rFonts w:ascii="Calibri" w:hAnsi="Calibri" w:cs="Calibri"/>
        </w:rPr>
        <w:t>limma</w:t>
      </w:r>
      <w:proofErr w:type="spellEnd"/>
      <w:r w:rsidRPr="00265716">
        <w:rPr>
          <w:rFonts w:ascii="Calibri" w:hAnsi="Calibri" w:cs="Calibri"/>
        </w:rPr>
        <w:t>: Linear Models for Microarray Data. Bioconductor version: Release (3.11).</w:t>
      </w:r>
    </w:p>
    <w:p w14:paraId="743512D1" w14:textId="3302EBDB" w:rsidR="00FE4F31" w:rsidRDefault="00265716">
      <w:r>
        <w:fldChar w:fldCharType="end"/>
      </w:r>
    </w:p>
    <w:p w14:paraId="133903A6" w14:textId="77777777" w:rsidR="00FE4F31" w:rsidRDefault="00FE4F31"/>
    <w:sectPr w:rsidR="00FE4F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84"/>
    <w:rsid w:val="00032B16"/>
    <w:rsid w:val="0025281C"/>
    <w:rsid w:val="00265716"/>
    <w:rsid w:val="00303396"/>
    <w:rsid w:val="00315032"/>
    <w:rsid w:val="004B2D08"/>
    <w:rsid w:val="004B7D41"/>
    <w:rsid w:val="005666BE"/>
    <w:rsid w:val="00610A11"/>
    <w:rsid w:val="007D3884"/>
    <w:rsid w:val="007F6E18"/>
    <w:rsid w:val="008005D4"/>
    <w:rsid w:val="008D6C7A"/>
    <w:rsid w:val="009873D3"/>
    <w:rsid w:val="00BF6D07"/>
    <w:rsid w:val="00CA5E0E"/>
    <w:rsid w:val="00DE6370"/>
    <w:rsid w:val="00F749D1"/>
    <w:rsid w:val="00FC642C"/>
    <w:rsid w:val="00FE4F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58AF"/>
  <w15:chartTrackingRefBased/>
  <w15:docId w15:val="{993C21F9-E02A-4253-B08B-BA0BC101D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0A11"/>
    <w:rPr>
      <w:color w:val="808080"/>
    </w:rPr>
  </w:style>
  <w:style w:type="paragraph" w:styleId="Bibliography">
    <w:name w:val="Bibliography"/>
    <w:basedOn w:val="Normal"/>
    <w:next w:val="Normal"/>
    <w:uiPriority w:val="37"/>
    <w:unhideWhenUsed/>
    <w:rsid w:val="00265716"/>
    <w:pPr>
      <w:spacing w:after="240" w:line="240" w:lineRule="auto"/>
      <w:ind w:left="720" w:hanging="720"/>
    </w:pPr>
  </w:style>
  <w:style w:type="character" w:styleId="Hyperlink">
    <w:name w:val="Hyperlink"/>
    <w:basedOn w:val="DefaultParagraphFont"/>
    <w:uiPriority w:val="99"/>
    <w:unhideWhenUsed/>
    <w:rsid w:val="00265716"/>
    <w:rPr>
      <w:color w:val="0563C1" w:themeColor="hyperlink"/>
      <w:u w:val="single"/>
    </w:rPr>
  </w:style>
  <w:style w:type="character" w:styleId="UnresolvedMention">
    <w:name w:val="Unresolved Mention"/>
    <w:basedOn w:val="DefaultParagraphFont"/>
    <w:uiPriority w:val="99"/>
    <w:semiHidden/>
    <w:unhideWhenUsed/>
    <w:rsid w:val="00265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230459">
      <w:bodyDiv w:val="1"/>
      <w:marLeft w:val="0"/>
      <w:marRight w:val="0"/>
      <w:marTop w:val="0"/>
      <w:marBottom w:val="0"/>
      <w:divBdr>
        <w:top w:val="none" w:sz="0" w:space="0" w:color="auto"/>
        <w:left w:val="none" w:sz="0" w:space="0" w:color="auto"/>
        <w:bottom w:val="none" w:sz="0" w:space="0" w:color="auto"/>
        <w:right w:val="none" w:sz="0" w:space="0" w:color="auto"/>
      </w:divBdr>
      <w:divsChild>
        <w:div w:id="1130511071">
          <w:marLeft w:val="480"/>
          <w:marRight w:val="0"/>
          <w:marTop w:val="0"/>
          <w:marBottom w:val="0"/>
          <w:divBdr>
            <w:top w:val="none" w:sz="0" w:space="0" w:color="auto"/>
            <w:left w:val="none" w:sz="0" w:space="0" w:color="auto"/>
            <w:bottom w:val="none" w:sz="0" w:space="0" w:color="auto"/>
            <w:right w:val="none" w:sz="0" w:space="0" w:color="auto"/>
          </w:divBdr>
          <w:divsChild>
            <w:div w:id="7500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7027">
      <w:bodyDiv w:val="1"/>
      <w:marLeft w:val="0"/>
      <w:marRight w:val="0"/>
      <w:marTop w:val="0"/>
      <w:marBottom w:val="0"/>
      <w:divBdr>
        <w:top w:val="none" w:sz="0" w:space="0" w:color="auto"/>
        <w:left w:val="none" w:sz="0" w:space="0" w:color="auto"/>
        <w:bottom w:val="none" w:sz="0" w:space="0" w:color="auto"/>
        <w:right w:val="none" w:sz="0" w:space="0" w:color="auto"/>
      </w:divBdr>
      <w:divsChild>
        <w:div w:id="1382292539">
          <w:marLeft w:val="480"/>
          <w:marRight w:val="0"/>
          <w:marTop w:val="0"/>
          <w:marBottom w:val="0"/>
          <w:divBdr>
            <w:top w:val="none" w:sz="0" w:space="0" w:color="auto"/>
            <w:left w:val="none" w:sz="0" w:space="0" w:color="auto"/>
            <w:bottom w:val="none" w:sz="0" w:space="0" w:color="auto"/>
            <w:right w:val="none" w:sz="0" w:space="0" w:color="auto"/>
          </w:divBdr>
          <w:divsChild>
            <w:div w:id="8157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687">
      <w:bodyDiv w:val="1"/>
      <w:marLeft w:val="0"/>
      <w:marRight w:val="0"/>
      <w:marTop w:val="0"/>
      <w:marBottom w:val="0"/>
      <w:divBdr>
        <w:top w:val="none" w:sz="0" w:space="0" w:color="auto"/>
        <w:left w:val="none" w:sz="0" w:space="0" w:color="auto"/>
        <w:bottom w:val="none" w:sz="0" w:space="0" w:color="auto"/>
        <w:right w:val="none" w:sz="0" w:space="0" w:color="auto"/>
      </w:divBdr>
      <w:divsChild>
        <w:div w:id="1360664292">
          <w:marLeft w:val="480"/>
          <w:marRight w:val="0"/>
          <w:marTop w:val="0"/>
          <w:marBottom w:val="0"/>
          <w:divBdr>
            <w:top w:val="none" w:sz="0" w:space="0" w:color="auto"/>
            <w:left w:val="none" w:sz="0" w:space="0" w:color="auto"/>
            <w:bottom w:val="none" w:sz="0" w:space="0" w:color="auto"/>
            <w:right w:val="none" w:sz="0" w:space="0" w:color="auto"/>
          </w:divBdr>
          <w:divsChild>
            <w:div w:id="9524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4143">
      <w:bodyDiv w:val="1"/>
      <w:marLeft w:val="0"/>
      <w:marRight w:val="0"/>
      <w:marTop w:val="0"/>
      <w:marBottom w:val="0"/>
      <w:divBdr>
        <w:top w:val="none" w:sz="0" w:space="0" w:color="auto"/>
        <w:left w:val="none" w:sz="0" w:space="0" w:color="auto"/>
        <w:bottom w:val="none" w:sz="0" w:space="0" w:color="auto"/>
        <w:right w:val="none" w:sz="0" w:space="0" w:color="auto"/>
      </w:divBdr>
      <w:divsChild>
        <w:div w:id="890769852">
          <w:marLeft w:val="480"/>
          <w:marRight w:val="0"/>
          <w:marTop w:val="0"/>
          <w:marBottom w:val="0"/>
          <w:divBdr>
            <w:top w:val="none" w:sz="0" w:space="0" w:color="auto"/>
            <w:left w:val="none" w:sz="0" w:space="0" w:color="auto"/>
            <w:bottom w:val="none" w:sz="0" w:space="0" w:color="auto"/>
            <w:right w:val="none" w:sz="0" w:space="0" w:color="auto"/>
          </w:divBdr>
          <w:divsChild>
            <w:div w:id="8620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55/2015/976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2733</Words>
  <Characters>15582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Clark</dc:creator>
  <cp:keywords/>
  <dc:description/>
  <cp:lastModifiedBy>Benjamin Clark</cp:lastModifiedBy>
  <cp:revision>1</cp:revision>
  <dcterms:created xsi:type="dcterms:W3CDTF">2020-10-14T16:51:00Z</dcterms:created>
  <dcterms:modified xsi:type="dcterms:W3CDTF">2020-10-14T21:02:00Z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zotero-version="5.0.91"&gt;&lt;session id="lLbSrDLh"/&gt;&lt;style id="http://www.zotero.org/styles/the-journal-of-cell-biology"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ies>
</file>