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DA1757">
        <w:rPr>
          <w:rFonts w:ascii="Arial" w:eastAsia="Times New Roman" w:hAnsi="Arial" w:cs="Arial"/>
          <w:b/>
          <w:color w:val="222222"/>
          <w:sz w:val="24"/>
          <w:szCs w:val="24"/>
        </w:rPr>
        <w:t>Risk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DA1757">
        <w:rPr>
          <w:rFonts w:ascii="Arial" w:eastAsia="Times New Roman" w:hAnsi="Arial" w:cs="Arial"/>
          <w:b/>
          <w:color w:val="222222"/>
          <w:sz w:val="24"/>
          <w:szCs w:val="24"/>
        </w:rPr>
        <w:t>The Bacharach Group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DA175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DA175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4C10E7"/>
    <w:rsid w:val="005E148E"/>
    <w:rsid w:val="005E4ED1"/>
    <w:rsid w:val="007366E3"/>
    <w:rsid w:val="0091484B"/>
    <w:rsid w:val="00A06725"/>
    <w:rsid w:val="00AE2838"/>
    <w:rsid w:val="00B341C7"/>
    <w:rsid w:val="00BA3A4A"/>
    <w:rsid w:val="00DA1757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2020-11-04T20:25:00Z</dcterms:created>
  <dcterms:modified xsi:type="dcterms:W3CDTF">2020-11-04T20:26:00Z</dcterms:modified>
</cp:coreProperties>
</file>