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DC4B47">
        <w:rPr>
          <w:rFonts w:ascii="Arial" w:eastAsia="Times New Roman" w:hAnsi="Arial" w:cs="Arial"/>
          <w:b/>
          <w:color w:val="222222"/>
          <w:sz w:val="24"/>
          <w:szCs w:val="24"/>
        </w:rPr>
        <w:t>Quality Assurance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DC4B47">
        <w:rPr>
          <w:rFonts w:ascii="Arial" w:eastAsia="Times New Roman" w:hAnsi="Arial" w:cs="Arial"/>
          <w:b/>
          <w:color w:val="222222"/>
          <w:sz w:val="24"/>
          <w:szCs w:val="24"/>
        </w:rPr>
        <w:t>Expert Institute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DC4B47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DC4B47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340A7"/>
    <w:rsid w:val="00AE2838"/>
    <w:rsid w:val="00B341C7"/>
    <w:rsid w:val="00BA3A4A"/>
    <w:rsid w:val="00DC01FD"/>
    <w:rsid w:val="00DC4B47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2021-02-01T21:15:00Z</dcterms:created>
  <dcterms:modified xsi:type="dcterms:W3CDTF">2021-02-01T21:15:00Z</dcterms:modified>
</cp:coreProperties>
</file>