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  <w:bookmarkStart w:id="0" w:name="_GoBack"/>
      <w:bookmarkEnd w:id="0"/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</w:t>
      </w:r>
      <w:r w:rsidR="009172C7">
        <w:t>use a dictionary as one level of indirection for writeable tables</w:t>
      </w:r>
      <w:r w:rsidR="009172C7">
        <w:t xml:space="preserve">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lastRenderedPageBreak/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lastRenderedPageBreak/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3324CA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3324CA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1D2985"/>
    <w:rsid w:val="00237754"/>
    <w:rsid w:val="00245963"/>
    <w:rsid w:val="00251DDE"/>
    <w:rsid w:val="003324CA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F0180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59</cp:revision>
  <dcterms:created xsi:type="dcterms:W3CDTF">2020-01-16T16:01:00Z</dcterms:created>
  <dcterms:modified xsi:type="dcterms:W3CDTF">2020-02-02T10:25:00Z</dcterms:modified>
</cp:coreProperties>
</file>