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95E" w:rsidRDefault="00B56998" w:rsidP="00B5699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Estructuras de Datos Avanzadas</w:t>
      </w:r>
    </w:p>
    <w:p w:rsidR="00964952" w:rsidRPr="00B56998" w:rsidRDefault="00B56998" w:rsidP="0096495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Tarea Tries – José Luis Gutiérrez Es</w:t>
      </w:r>
      <w:r w:rsidR="00964952">
        <w:rPr>
          <w:rFonts w:ascii="Times New Roman" w:hAnsi="Times New Roman" w:cs="Times New Roman"/>
          <w:sz w:val="40"/>
          <w:szCs w:val="40"/>
        </w:rPr>
        <w:t>pinosa (179888)</w:t>
      </w:r>
    </w:p>
    <w:p w:rsidR="00BF3281" w:rsidRDefault="0083777E" w:rsidP="00BF32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este trabajo se </w:t>
      </w:r>
      <w:r w:rsidR="00BF3281">
        <w:rPr>
          <w:rFonts w:ascii="Times New Roman" w:hAnsi="Times New Roman" w:cs="Times New Roman"/>
          <w:sz w:val="24"/>
          <w:szCs w:val="24"/>
        </w:rPr>
        <w:t xml:space="preserve">implementó un algoritmo de ordenamiento de arreglos utilizando la estructura de datos </w:t>
      </w:r>
      <w:proofErr w:type="spellStart"/>
      <w:r w:rsidR="00BF3281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="00BF3281">
        <w:rPr>
          <w:rFonts w:ascii="Times New Roman" w:hAnsi="Times New Roman" w:cs="Times New Roman"/>
          <w:sz w:val="24"/>
          <w:szCs w:val="24"/>
        </w:rPr>
        <w:t xml:space="preserve">, la cual se elaboró con un arreglo de </w:t>
      </w:r>
      <w:proofErr w:type="spellStart"/>
      <w:r w:rsidR="00BF32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F3281">
        <w:rPr>
          <w:rFonts w:ascii="Times New Roman" w:hAnsi="Times New Roman" w:cs="Times New Roman"/>
          <w:sz w:val="24"/>
          <w:szCs w:val="24"/>
        </w:rPr>
        <w:t xml:space="preserve">. Para los experimentos se utilizó el mismo banco de palabras que para las pruebas del Trie </w:t>
      </w:r>
      <w:proofErr w:type="spellStart"/>
      <w:r w:rsidR="00BF328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BF3281">
        <w:rPr>
          <w:rFonts w:ascii="Times New Roman" w:hAnsi="Times New Roman" w:cs="Times New Roman"/>
          <w:sz w:val="24"/>
          <w:szCs w:val="24"/>
        </w:rPr>
        <w:t xml:space="preserve"> y se obtuvieron dichos resultados desde 10,000 hasta 100,000 palabras en periodos de 10,000 palabras. Los resultados son los siguientes:</w:t>
      </w:r>
    </w:p>
    <w:p w:rsidR="00BF3281" w:rsidRDefault="00BF3281" w:rsidP="00BF32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Sort:</w:t>
      </w:r>
    </w:p>
    <w:p w:rsidR="00BF3281" w:rsidRDefault="00CF3F8D" w:rsidP="00BF32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09FA5D">
            <wp:extent cx="4584700" cy="27559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3F8D" w:rsidRDefault="00CF3F8D" w:rsidP="00BF32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Sort:</w:t>
      </w:r>
    </w:p>
    <w:p w:rsidR="00CF3F8D" w:rsidRDefault="00CF3F8D" w:rsidP="00BF32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1B5708">
            <wp:extent cx="4584700" cy="27559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3F8D" w:rsidRDefault="00CF3F8D" w:rsidP="00BF32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Heap Sort:</w:t>
      </w:r>
    </w:p>
    <w:p w:rsidR="00CF3F8D" w:rsidRDefault="00CF3F8D" w:rsidP="00BF32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C508D2" wp14:editId="58F02273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27C77FB-9122-4B8F-A46A-E545E6B0A4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F3F8D" w:rsidRDefault="00CF3F8D" w:rsidP="00BF32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F3F8D" w:rsidRDefault="00CF3F8D" w:rsidP="00BF3281">
      <w:pPr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LINK Excel.Sheet.12 "Libro1" "Hoja1!F3C3:F13C6" \a \f 5 \h  \* MERGEFORMAT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</w:p>
    <w:tbl>
      <w:tblPr>
        <w:tblStyle w:val="Tablaconcuadrcula"/>
        <w:tblW w:w="5360" w:type="dxa"/>
        <w:tblLook w:val="04A0" w:firstRow="1" w:lastRow="0" w:firstColumn="1" w:lastColumn="0" w:noHBand="0" w:noVBand="1"/>
      </w:tblPr>
      <w:tblGrid>
        <w:gridCol w:w="1200"/>
        <w:gridCol w:w="1683"/>
        <w:gridCol w:w="1456"/>
        <w:gridCol w:w="1563"/>
      </w:tblGrid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Palabras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MergeSort</w:t>
            </w:r>
            <w:proofErr w:type="spellEnd"/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(ms)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TrieSort</w:t>
            </w:r>
            <w:proofErr w:type="spellEnd"/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(ms)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HeapSort</w:t>
            </w:r>
            <w:proofErr w:type="spellEnd"/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(ms)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81.8266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376.7628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1220.7856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29.9856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230.7049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4960.8882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40.3737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184.8581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1028.11195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61.0673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321.1301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18387.1421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164.1382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183.6604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30812.6601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73.4547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143.1389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105147.2551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88.5841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165.1304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61780.4257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74.2394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174.5003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8175.14199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85.0156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169.8536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250020.72</w:t>
            </w:r>
          </w:p>
        </w:tc>
      </w:tr>
      <w:tr w:rsidR="00CF3F8D" w:rsidRPr="00CF3F8D" w:rsidTr="00CF3F8D">
        <w:trPr>
          <w:trHeight w:val="290"/>
        </w:trPr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95.9362</w:t>
            </w:r>
          </w:p>
        </w:tc>
        <w:tc>
          <w:tcPr>
            <w:tcW w:w="120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166.4327</w:t>
            </w:r>
          </w:p>
        </w:tc>
        <w:tc>
          <w:tcPr>
            <w:tcW w:w="1480" w:type="dxa"/>
            <w:noWrap/>
            <w:hideMark/>
          </w:tcPr>
          <w:p w:rsidR="00CF3F8D" w:rsidRPr="00CF3F8D" w:rsidRDefault="00CF3F8D" w:rsidP="00CF3F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F8D">
              <w:rPr>
                <w:rFonts w:ascii="Times New Roman" w:hAnsi="Times New Roman" w:cs="Times New Roman"/>
                <w:sz w:val="24"/>
                <w:szCs w:val="24"/>
              </w:rPr>
              <w:t>129369.8545</w:t>
            </w:r>
          </w:p>
        </w:tc>
      </w:tr>
    </w:tbl>
    <w:p w:rsidR="00CF3F8D" w:rsidRDefault="00CF3F8D" w:rsidP="00BF328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CF3F8D" w:rsidRPr="00CF3F8D" w:rsidRDefault="00CF3F8D" w:rsidP="00BF3281">
      <w:pPr>
        <w:jc w:val="both"/>
        <w:rPr>
          <w:rFonts w:ascii="Times New Roman" w:hAnsi="Times New Roman" w:cs="Times New Roman"/>
          <w:sz w:val="24"/>
          <w:szCs w:val="24"/>
        </w:rPr>
      </w:pPr>
      <w:r w:rsidRPr="00CF3F8D">
        <w:rPr>
          <w:rFonts w:ascii="Times New Roman" w:hAnsi="Times New Roman" w:cs="Times New Roman"/>
          <w:sz w:val="24"/>
          <w:szCs w:val="24"/>
        </w:rPr>
        <w:t>Analizando las gr</w:t>
      </w:r>
      <w:r>
        <w:rPr>
          <w:rFonts w:ascii="Times New Roman" w:hAnsi="Times New Roman" w:cs="Times New Roman"/>
          <w:sz w:val="24"/>
          <w:szCs w:val="24"/>
        </w:rPr>
        <w:t xml:space="preserve">áficas y los datos resultantes, podemos concluir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un algoritmo eficiente comparado con los otros dos debido a su mucho mayor tiempo de ejecución además de su irregular comportamiento según el número de entradas.</w:t>
      </w:r>
      <w:bookmarkStart w:id="0" w:name="_GoBack"/>
      <w:bookmarkEnd w:id="0"/>
    </w:p>
    <w:sectPr w:rsidR="00CF3F8D" w:rsidRPr="00CF3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8"/>
    <w:rsid w:val="00167179"/>
    <w:rsid w:val="00303455"/>
    <w:rsid w:val="00553B8E"/>
    <w:rsid w:val="0080495E"/>
    <w:rsid w:val="0083777E"/>
    <w:rsid w:val="00964952"/>
    <w:rsid w:val="00B56998"/>
    <w:rsid w:val="00BF3281"/>
    <w:rsid w:val="00CF3F8D"/>
    <w:rsid w:val="00D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31D5"/>
  <w15:chartTrackingRefBased/>
  <w15:docId w15:val="{AB1D4B4F-953F-4E9F-BD57-F4888CBB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49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95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F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Hoja1!$F$3</c:f>
              <c:strCache>
                <c:ptCount val="1"/>
                <c:pt idx="0">
                  <c:v>HeapSort(ms)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Hoja1!$C$4:$C$13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Hoja1!$F$4:$F$13</c:f>
              <c:numCache>
                <c:formatCode>General</c:formatCode>
                <c:ptCount val="10"/>
                <c:pt idx="0">
                  <c:v>1220.7855999999999</c:v>
                </c:pt>
                <c:pt idx="1">
                  <c:v>4960.8882000000003</c:v>
                </c:pt>
                <c:pt idx="2">
                  <c:v>1028.11195</c:v>
                </c:pt>
                <c:pt idx="3">
                  <c:v>18387.142100000001</c:v>
                </c:pt>
                <c:pt idx="4">
                  <c:v>30812.660100000001</c:v>
                </c:pt>
                <c:pt idx="5">
                  <c:v>105147.25509999999</c:v>
                </c:pt>
                <c:pt idx="6">
                  <c:v>61780.4257</c:v>
                </c:pt>
                <c:pt idx="7">
                  <c:v>8175.1419900000001</c:v>
                </c:pt>
                <c:pt idx="8">
                  <c:v>250020.72</c:v>
                </c:pt>
                <c:pt idx="9">
                  <c:v>129369.8545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86-4BED-A0EF-0D24EA5D8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5959840"/>
        <c:axId val="572997616"/>
      </c:lineChart>
      <c:catAx>
        <c:axId val="62595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72997616"/>
        <c:crosses val="autoZero"/>
        <c:auto val="1"/>
        <c:lblAlgn val="ctr"/>
        <c:lblOffset val="100"/>
        <c:noMultiLvlLbl val="0"/>
      </c:catAx>
      <c:valAx>
        <c:axId val="57299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2595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GUTIERREZ ESPINOSA</dc:creator>
  <cp:keywords/>
  <dc:description/>
  <cp:lastModifiedBy>JOSE LUIS GUTIERREZ ESPINOSA</cp:lastModifiedBy>
  <cp:revision>2</cp:revision>
  <dcterms:created xsi:type="dcterms:W3CDTF">2019-12-13T00:52:00Z</dcterms:created>
  <dcterms:modified xsi:type="dcterms:W3CDTF">2019-12-13T00:52:00Z</dcterms:modified>
</cp:coreProperties>
</file>