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124F" w14:textId="77777777" w:rsidR="00E84EC8" w:rsidRP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>Árboles Trie</w:t>
      </w:r>
    </w:p>
    <w:p w14:paraId="146F31AA" w14:textId="77777777" w:rsidR="00DB3422" w:rsidRP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>Fonseca Zárate Israel 183708</w:t>
      </w:r>
    </w:p>
    <w:p w14:paraId="08D0F122" w14:textId="77777777" w:rsidR="00DB3422" w:rsidRP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 xml:space="preserve">Se comprobó la eficiencia de la estructura de datos llamada árboles trie, para ordenar conjuntos de palabras, comparándolo con el algoritmo de ordenamiento </w:t>
      </w:r>
      <w:proofErr w:type="spellStart"/>
      <w:r w:rsidRPr="00DB3422">
        <w:rPr>
          <w:rFonts w:ascii="Arial" w:hAnsi="Arial" w:cs="Arial"/>
          <w:sz w:val="24"/>
          <w:szCs w:val="24"/>
        </w:rPr>
        <w:t>merge</w:t>
      </w:r>
      <w:proofErr w:type="spellEnd"/>
      <w:r w:rsidRPr="00DB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3422">
        <w:rPr>
          <w:rFonts w:ascii="Arial" w:hAnsi="Arial" w:cs="Arial"/>
          <w:sz w:val="24"/>
          <w:szCs w:val="24"/>
        </w:rPr>
        <w:t>sort</w:t>
      </w:r>
      <w:proofErr w:type="spellEnd"/>
      <w:r w:rsidRPr="00DB3422">
        <w:rPr>
          <w:rFonts w:ascii="Arial" w:hAnsi="Arial" w:cs="Arial"/>
          <w:sz w:val="24"/>
          <w:szCs w:val="24"/>
        </w:rPr>
        <w:t xml:space="preserve">, el cual tiene una eficiencia de </w:t>
      </w:r>
      <w:proofErr w:type="gramStart"/>
      <w:r w:rsidRPr="00DB3422">
        <w:rPr>
          <w:rFonts w:ascii="Arial" w:hAnsi="Arial" w:cs="Arial"/>
          <w:sz w:val="24"/>
          <w:szCs w:val="24"/>
        </w:rPr>
        <w:t>O(</w:t>
      </w:r>
      <w:proofErr w:type="gramEnd"/>
      <w:r w:rsidRPr="00DB3422">
        <w:rPr>
          <w:rFonts w:ascii="Arial" w:hAnsi="Arial" w:cs="Arial"/>
          <w:sz w:val="24"/>
          <w:szCs w:val="24"/>
        </w:rPr>
        <w:t xml:space="preserve">n log n), siendo de los algoritmos más eficientes de su tipo. </w:t>
      </w:r>
    </w:p>
    <w:p w14:paraId="52BF612E" w14:textId="77777777" w:rsidR="00DB3422" w:rsidRDefault="00DB3422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422">
        <w:rPr>
          <w:rFonts w:ascii="Arial" w:hAnsi="Arial" w:cs="Arial"/>
          <w:sz w:val="24"/>
          <w:szCs w:val="24"/>
        </w:rPr>
        <w:t xml:space="preserve">Para ello se implementó </w:t>
      </w:r>
      <w:r>
        <w:rPr>
          <w:rFonts w:ascii="Arial" w:hAnsi="Arial" w:cs="Arial"/>
          <w:sz w:val="24"/>
          <w:szCs w:val="24"/>
        </w:rPr>
        <w:t>un método que recorre el árbol de manera recursiva</w:t>
      </w:r>
      <w:r w:rsidR="00DF564E">
        <w:rPr>
          <w:rFonts w:ascii="Arial" w:hAnsi="Arial" w:cs="Arial"/>
          <w:sz w:val="24"/>
          <w:szCs w:val="24"/>
        </w:rPr>
        <w:t xml:space="preserve">, de manera similar al recorrido </w:t>
      </w:r>
      <w:proofErr w:type="spellStart"/>
      <w:r w:rsidR="00DF564E">
        <w:rPr>
          <w:rFonts w:ascii="Arial" w:hAnsi="Arial" w:cs="Arial"/>
          <w:sz w:val="24"/>
          <w:szCs w:val="24"/>
        </w:rPr>
        <w:t>pre-orden</w:t>
      </w:r>
      <w:proofErr w:type="spellEnd"/>
      <w:r w:rsidR="00DF564E">
        <w:rPr>
          <w:rFonts w:ascii="Arial" w:hAnsi="Arial" w:cs="Arial"/>
          <w:sz w:val="24"/>
          <w:szCs w:val="24"/>
        </w:rPr>
        <w:t xml:space="preserve">, pues visita primero la raíz, y va pasando por todos los hijos del menor al mayor. Conforme los recorre, va formando la palabra, la cual es guardada en una lista al comprobar que sea fin de palabra. </w:t>
      </w:r>
    </w:p>
    <w:p w14:paraId="13001045" w14:textId="0F907D3B" w:rsidR="00DF564E" w:rsidRDefault="00DF564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primeras diferencias, el algoritmo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requiere que se le </w:t>
      </w:r>
      <w:proofErr w:type="gramStart"/>
      <w:r>
        <w:rPr>
          <w:rFonts w:ascii="Arial" w:hAnsi="Arial" w:cs="Arial"/>
          <w:sz w:val="24"/>
          <w:szCs w:val="24"/>
        </w:rPr>
        <w:t>pase</w:t>
      </w:r>
      <w:proofErr w:type="gramEnd"/>
      <w:r>
        <w:rPr>
          <w:rFonts w:ascii="Arial" w:hAnsi="Arial" w:cs="Arial"/>
          <w:sz w:val="24"/>
          <w:szCs w:val="24"/>
        </w:rPr>
        <w:t xml:space="preserve"> un arreglo con las palabras a ordenar, por otro lado el árbol trie, requiere insertar de una por una las n palabras, es en el proceso de inserción donde son ordenadas en la estructura,</w:t>
      </w:r>
      <w:r w:rsidR="000803B7">
        <w:rPr>
          <w:rFonts w:ascii="Arial" w:hAnsi="Arial" w:cs="Arial"/>
          <w:sz w:val="24"/>
          <w:szCs w:val="24"/>
        </w:rPr>
        <w:t xml:space="preserve"> a continuación se debe </w:t>
      </w:r>
      <w:r>
        <w:rPr>
          <w:rFonts w:ascii="Arial" w:hAnsi="Arial" w:cs="Arial"/>
          <w:sz w:val="24"/>
          <w:szCs w:val="24"/>
        </w:rPr>
        <w:t xml:space="preserve">recorrer la estructura, tomando todas las palabras y las </w:t>
      </w:r>
      <w:r w:rsidR="000803B7">
        <w:rPr>
          <w:rFonts w:ascii="Arial" w:hAnsi="Arial" w:cs="Arial"/>
          <w:sz w:val="24"/>
          <w:szCs w:val="24"/>
        </w:rPr>
        <w:t>va sobrescribiendo sobre el arreglo, de manera similar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803B7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regresa el mismo arreglo pero ordenado</w:t>
      </w:r>
      <w:r w:rsidR="000803B7">
        <w:rPr>
          <w:rFonts w:ascii="Arial" w:hAnsi="Arial" w:cs="Arial"/>
          <w:sz w:val="24"/>
          <w:szCs w:val="24"/>
        </w:rPr>
        <w:t>.</w:t>
      </w:r>
    </w:p>
    <w:p w14:paraId="047CEE1A" w14:textId="77777777" w:rsidR="00DF564E" w:rsidRDefault="00DF564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experimentos se probó con 1000 palabras, luego con 5000 y a partir de ahí se fue aumentando de 5 mil en 5 mil palabras, hasta llegar a 50 mil, en cada uno se midió el tiempo de ejecución obtenido por el algoritmo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y por el árbol trie.</w:t>
      </w:r>
    </w:p>
    <w:tbl>
      <w:tblPr>
        <w:tblW w:w="11774" w:type="dxa"/>
        <w:tblInd w:w="-1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963"/>
        <w:gridCol w:w="964"/>
        <w:gridCol w:w="963"/>
        <w:gridCol w:w="964"/>
        <w:gridCol w:w="963"/>
        <w:gridCol w:w="977"/>
        <w:gridCol w:w="977"/>
        <w:gridCol w:w="977"/>
        <w:gridCol w:w="977"/>
        <w:gridCol w:w="977"/>
        <w:gridCol w:w="977"/>
      </w:tblGrid>
      <w:tr w:rsidR="000803B7" w:rsidRPr="000803B7" w14:paraId="625293D4" w14:textId="77777777" w:rsidTr="000803B7">
        <w:trPr>
          <w:trHeight w:val="31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A8B4E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EBA" w14:textId="77777777" w:rsidR="000803B7" w:rsidRPr="000803B7" w:rsidRDefault="000803B7" w:rsidP="0008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Tiempo de ejecución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22AC" w14:textId="77777777" w:rsidR="000803B7" w:rsidRPr="000803B7" w:rsidRDefault="000803B7" w:rsidP="0008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milisegundos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F6CD" w14:textId="77777777" w:rsidR="000803B7" w:rsidRPr="000803B7" w:rsidRDefault="000803B7" w:rsidP="0008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9E7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EE2F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3DB2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871F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5F3E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A318" w14:textId="77777777" w:rsidR="000803B7" w:rsidRPr="000803B7" w:rsidRDefault="000803B7" w:rsidP="0008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803B7" w:rsidRPr="000803B7" w14:paraId="58A77CCA" w14:textId="77777777" w:rsidTr="000803B7">
        <w:trPr>
          <w:trHeight w:val="31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0A21" w14:textId="77777777" w:rsidR="000803B7" w:rsidRPr="000803B7" w:rsidRDefault="000803B7" w:rsidP="0008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#Palabras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4CDB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6898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4C97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E744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15000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E32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20000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F3D8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25000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6CBA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30000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EB73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35000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4005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40000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BDDB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45000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7AB0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50000</w:t>
            </w:r>
          </w:p>
        </w:tc>
      </w:tr>
      <w:tr w:rsidR="000803B7" w:rsidRPr="000803B7" w14:paraId="270447B0" w14:textId="77777777" w:rsidTr="000803B7">
        <w:trPr>
          <w:trHeight w:val="31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3CD5" w14:textId="77777777" w:rsidR="000803B7" w:rsidRPr="000803B7" w:rsidRDefault="000803B7" w:rsidP="0008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MergeSort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7CFD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4.5792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C5EE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19.4531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3B5D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24.9126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B05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37.4316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1FA8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46.1528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5F26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54.82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1D08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58.7293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88C8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76.0523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486F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81.7741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3D4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99.2453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0D20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119.2791</w:t>
            </w:r>
          </w:p>
        </w:tc>
      </w:tr>
      <w:tr w:rsidR="000803B7" w:rsidRPr="000803B7" w14:paraId="453A61CF" w14:textId="77777777" w:rsidTr="000803B7">
        <w:trPr>
          <w:trHeight w:val="31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F437" w14:textId="77777777" w:rsidR="000803B7" w:rsidRPr="000803B7" w:rsidRDefault="000803B7" w:rsidP="00080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Árbol Trie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D48D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12.9401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CE49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32.2472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8EAE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57.8784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599E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83.1701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C2E9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86.4542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4D8C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123.8654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B2B9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132.9448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4C42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121.0809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4CEE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111.5955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0ED9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115.4321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39C7" w14:textId="77777777" w:rsidR="000803B7" w:rsidRPr="000803B7" w:rsidRDefault="000803B7" w:rsidP="00080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03B7">
              <w:rPr>
                <w:rFonts w:ascii="Calibri" w:eastAsia="Times New Roman" w:hAnsi="Calibri" w:cs="Calibri"/>
                <w:color w:val="000000"/>
                <w:lang w:eastAsia="es-MX"/>
              </w:rPr>
              <w:t>118.5631</w:t>
            </w:r>
          </w:p>
        </w:tc>
      </w:tr>
    </w:tbl>
    <w:p w14:paraId="2C551FB7" w14:textId="77777777" w:rsidR="00DF564E" w:rsidRDefault="00DF564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E6F9E" w14:textId="671DDCAB" w:rsidR="00DF564E" w:rsidRDefault="000803B7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78307" wp14:editId="585AADDC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0DA2204-9FB6-4D33-ACAF-2C601BA0D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FCECD2" w14:textId="32FC7188" w:rsidR="004E1DCC" w:rsidRDefault="007E1C2E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un principio es</w:t>
      </w:r>
      <w:r w:rsidR="004E1DCC">
        <w:rPr>
          <w:rFonts w:ascii="Arial" w:hAnsi="Arial" w:cs="Arial"/>
          <w:sz w:val="24"/>
          <w:szCs w:val="24"/>
        </w:rPr>
        <w:t xml:space="preserve"> más eficiente el algoritmo </w:t>
      </w:r>
      <w:proofErr w:type="spellStart"/>
      <w:r w:rsidR="004E1DCC">
        <w:rPr>
          <w:rFonts w:ascii="Arial" w:hAnsi="Arial" w:cs="Arial"/>
          <w:sz w:val="24"/>
          <w:szCs w:val="24"/>
        </w:rPr>
        <w:t>merge</w:t>
      </w:r>
      <w:proofErr w:type="spellEnd"/>
      <w:r w:rsidR="004E1D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1DCC">
        <w:rPr>
          <w:rFonts w:ascii="Arial" w:hAnsi="Arial" w:cs="Arial"/>
          <w:sz w:val="24"/>
          <w:szCs w:val="24"/>
        </w:rPr>
        <w:t>sort</w:t>
      </w:r>
      <w:proofErr w:type="spellEnd"/>
      <w:r w:rsidR="004E1DC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solamente con 50 mil palabras llega a rebasar en tiempo de ejecución a los árboles trie, los cuales,</w:t>
      </w:r>
      <w:r w:rsidR="004E1DCC">
        <w:rPr>
          <w:rFonts w:ascii="Arial" w:hAnsi="Arial" w:cs="Arial"/>
          <w:sz w:val="24"/>
          <w:szCs w:val="24"/>
        </w:rPr>
        <w:t xml:space="preserve"> a mayor número de palabras, </w:t>
      </w:r>
      <w:r>
        <w:rPr>
          <w:rFonts w:ascii="Arial" w:hAnsi="Arial" w:cs="Arial"/>
          <w:sz w:val="24"/>
          <w:szCs w:val="24"/>
        </w:rPr>
        <w:t xml:space="preserve">tiende en cierto punto a mantenerse estable. Esto quizá es debido a que </w:t>
      </w:r>
      <w:r w:rsidR="004E1DCC">
        <w:rPr>
          <w:rFonts w:ascii="Arial" w:hAnsi="Arial" w:cs="Arial"/>
          <w:sz w:val="24"/>
          <w:szCs w:val="24"/>
        </w:rPr>
        <w:t xml:space="preserve">el árbol trie se va haciendo más frondoso y en parte también por el tamaño de las palabras, deja aumentar niveles, lo que lo va haciendo más eficiente, </w:t>
      </w:r>
      <w:r>
        <w:rPr>
          <w:rFonts w:ascii="Arial" w:hAnsi="Arial" w:cs="Arial"/>
          <w:sz w:val="24"/>
          <w:szCs w:val="24"/>
        </w:rPr>
        <w:t>en este caso, el tiempo de ejecución deja de aumentar al llegar a las 30 mil palabras.</w:t>
      </w:r>
      <w:bookmarkStart w:id="0" w:name="_GoBack"/>
      <w:bookmarkEnd w:id="0"/>
    </w:p>
    <w:p w14:paraId="201607C3" w14:textId="4F98E93E" w:rsidR="004E1DCC" w:rsidRPr="00DB3422" w:rsidRDefault="004E1DCC" w:rsidP="00DB3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Esté método </w:t>
      </w:r>
      <w:r w:rsidR="007E1C2E">
        <w:rPr>
          <w:rFonts w:ascii="Arial" w:hAnsi="Arial" w:cs="Arial"/>
          <w:sz w:val="24"/>
          <w:szCs w:val="24"/>
        </w:rPr>
        <w:t xml:space="preserve">difícilmente </w:t>
      </w:r>
      <w:r>
        <w:rPr>
          <w:rFonts w:ascii="Arial" w:hAnsi="Arial" w:cs="Arial"/>
          <w:sz w:val="24"/>
          <w:szCs w:val="24"/>
        </w:rPr>
        <w:t>es más eficiente que los algoritmos de ordenamiento,</w:t>
      </w:r>
      <w:r w:rsidR="007E1C2E">
        <w:rPr>
          <w:rFonts w:ascii="Arial" w:hAnsi="Arial" w:cs="Arial"/>
          <w:sz w:val="24"/>
          <w:szCs w:val="24"/>
        </w:rPr>
        <w:t xml:space="preserve"> requeriría quizá que se trate de un gran número de palabras. Además,</w:t>
      </w:r>
      <w:r>
        <w:rPr>
          <w:rFonts w:ascii="Arial" w:hAnsi="Arial" w:cs="Arial"/>
          <w:sz w:val="24"/>
          <w:szCs w:val="24"/>
        </w:rPr>
        <w:t xml:space="preserve"> sus usos son más limitados, pues se basa en el uso de llaves, por lo general palabras u otros símbolos que fueron previamente definidos, y no de objetos comparables, de modo que no puede guardar cualquier tipo de dato, además por la implementación hecha en clase, solo puede guardar palabras.</w:t>
      </w:r>
    </w:p>
    <w:sectPr w:rsidR="004E1DCC" w:rsidRPr="00DB3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22"/>
    <w:rsid w:val="000803B7"/>
    <w:rsid w:val="00222C49"/>
    <w:rsid w:val="004E1DCC"/>
    <w:rsid w:val="007E1C2E"/>
    <w:rsid w:val="00DB3422"/>
    <w:rsid w:val="00DF564E"/>
    <w:rsid w:val="00E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35E"/>
  <w15:chartTrackingRefBased/>
  <w15:docId w15:val="{AA77359D-51C9-4209-9735-71CC502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MergeSort vs Tries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Hoja1!$A$3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Hoja1!$B$2:$L$2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Hoja1!$B$3:$L$3</c:f>
              <c:numCache>
                <c:formatCode>General</c:formatCode>
                <c:ptCount val="11"/>
                <c:pt idx="0">
                  <c:v>4.5792000000000002</c:v>
                </c:pt>
                <c:pt idx="1">
                  <c:v>19.453099999999999</c:v>
                </c:pt>
                <c:pt idx="2">
                  <c:v>24.912600000000001</c:v>
                </c:pt>
                <c:pt idx="3">
                  <c:v>37.431600000000003</c:v>
                </c:pt>
                <c:pt idx="4">
                  <c:v>46.152799999999999</c:v>
                </c:pt>
                <c:pt idx="5">
                  <c:v>54.82</c:v>
                </c:pt>
                <c:pt idx="6">
                  <c:v>58.729300000000002</c:v>
                </c:pt>
                <c:pt idx="7">
                  <c:v>76.052300000000002</c:v>
                </c:pt>
                <c:pt idx="8">
                  <c:v>81.774100000000004</c:v>
                </c:pt>
                <c:pt idx="9">
                  <c:v>99.2453</c:v>
                </c:pt>
                <c:pt idx="10">
                  <c:v>119.2791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3C-4A00-BA89-880D5B5710B4}"/>
            </c:ext>
          </c:extLst>
        </c:ser>
        <c:ser>
          <c:idx val="2"/>
          <c:order val="1"/>
          <c:tx>
            <c:strRef>
              <c:f>Hoja1!$A$4</c:f>
              <c:strCache>
                <c:ptCount val="1"/>
                <c:pt idx="0">
                  <c:v>Árbol Trie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Hoja1!$B$2:$L$2</c:f>
              <c:numCache>
                <c:formatCode>General</c:formatCode>
                <c:ptCount val="1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cat>
          <c:val>
            <c:numRef>
              <c:f>Hoja1!$B$4:$L$4</c:f>
              <c:numCache>
                <c:formatCode>General</c:formatCode>
                <c:ptCount val="11"/>
                <c:pt idx="0">
                  <c:v>12.940099999999999</c:v>
                </c:pt>
                <c:pt idx="1">
                  <c:v>32.247199999999999</c:v>
                </c:pt>
                <c:pt idx="2">
                  <c:v>57.878399999999999</c:v>
                </c:pt>
                <c:pt idx="3">
                  <c:v>83.170100000000005</c:v>
                </c:pt>
                <c:pt idx="4">
                  <c:v>86.4542</c:v>
                </c:pt>
                <c:pt idx="5">
                  <c:v>123.86539999999999</c:v>
                </c:pt>
                <c:pt idx="6">
                  <c:v>132.94479999999999</c:v>
                </c:pt>
                <c:pt idx="7">
                  <c:v>121.0809</c:v>
                </c:pt>
                <c:pt idx="8">
                  <c:v>111.5955</c:v>
                </c:pt>
                <c:pt idx="9">
                  <c:v>115.43210000000001</c:v>
                </c:pt>
                <c:pt idx="10">
                  <c:v>118.56310000000001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3C-4A00-BA89-880D5B571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429600"/>
        <c:axId val="439631200"/>
      </c:lineChart>
      <c:catAx>
        <c:axId val="44142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</a:t>
                </a:r>
                <a:r>
                  <a:rPr lang="es-MX" baseline="0"/>
                  <a:t> de palabras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39631200"/>
        <c:crosses val="autoZero"/>
        <c:auto val="1"/>
        <c:lblAlgn val="ctr"/>
        <c:lblOffset val="100"/>
        <c:noMultiLvlLbl val="0"/>
      </c:catAx>
      <c:valAx>
        <c:axId val="43963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142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FONSECA ZARATE</dc:creator>
  <cp:keywords/>
  <dc:description/>
  <cp:lastModifiedBy>ISRAEL FONSECA ZARATE</cp:lastModifiedBy>
  <cp:revision>2</cp:revision>
  <dcterms:created xsi:type="dcterms:W3CDTF">2019-11-18T02:42:00Z</dcterms:created>
  <dcterms:modified xsi:type="dcterms:W3CDTF">2019-11-21T01:30:00Z</dcterms:modified>
</cp:coreProperties>
</file>