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DBD5C" w14:textId="0992CFD4" w:rsidR="003B22A5" w:rsidRPr="00E34882" w:rsidRDefault="00E34882" w:rsidP="00CB16D2">
      <w:pPr>
        <w:pStyle w:val="Titre"/>
        <w:jc w:val="both"/>
        <w:rPr>
          <w:b/>
          <w:bCs/>
        </w:rPr>
      </w:pPr>
      <w:r w:rsidRPr="00E34882">
        <w:rPr>
          <w:b/>
          <w:bCs/>
        </w:rPr>
        <w:t>Icosaèdre</w:t>
      </w:r>
      <w:r w:rsidR="00246EEA">
        <w:rPr>
          <w:b/>
          <w:bCs/>
        </w:rPr>
        <w:t xml:space="preserve"> </w:t>
      </w:r>
      <w:bookmarkStart w:id="0" w:name="_Hlk122352204"/>
      <w:r w:rsidR="00246EEA">
        <w:rPr>
          <w:b/>
          <w:bCs/>
        </w:rPr>
        <w:t>(solide de Platon)</w:t>
      </w:r>
      <w:bookmarkEnd w:id="0"/>
    </w:p>
    <w:sdt>
      <w:sdtPr>
        <w:id w:val="-68506851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b/>
          <w:bCs/>
          <w:color w:val="auto"/>
          <w:sz w:val="22"/>
          <w:szCs w:val="22"/>
          <w:lang w:eastAsia="en-US"/>
        </w:rPr>
      </w:sdtEndPr>
      <w:sdtContent>
        <w:p w14:paraId="20753536" w14:textId="06BA1E28" w:rsidR="008602F1" w:rsidRDefault="008602F1">
          <w:pPr>
            <w:pStyle w:val="En-ttedetabledesmatires"/>
          </w:pPr>
          <w:r>
            <w:t>Table des matières</w:t>
          </w:r>
        </w:p>
        <w:p w14:paraId="73C38D58" w14:textId="41A61E5C" w:rsidR="008602F1" w:rsidRDefault="008602F1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67680" w:history="1">
            <w:r w:rsidRPr="00547CB9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26A25" w14:textId="3FE498A2" w:rsidR="008602F1" w:rsidRDefault="008602F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7681" w:history="1">
            <w:r w:rsidRPr="00547CB9">
              <w:rPr>
                <w:rStyle w:val="Lienhypertexte"/>
                <w:b/>
                <w:bCs/>
                <w:noProof/>
              </w:rPr>
              <w:t>Propriétés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EECF9" w14:textId="0C94FD78" w:rsidR="008602F1" w:rsidRDefault="008602F1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133067682" w:history="1">
            <w:r w:rsidRPr="00547CB9">
              <w:rPr>
                <w:rStyle w:val="Lienhypertexte"/>
                <w:b/>
                <w:bCs/>
                <w:noProof/>
              </w:rPr>
              <w:t>Sommets, arêtes et 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FD01" w14:textId="60265316" w:rsidR="008602F1" w:rsidRDefault="008602F1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133067683" w:history="1">
            <w:r w:rsidRPr="00547CB9">
              <w:rPr>
                <w:rStyle w:val="Lienhypertexte"/>
                <w:b/>
                <w:bCs/>
                <w:noProof/>
              </w:rPr>
              <w:t>Sphères circonscrite et inscrite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7BC19" w14:textId="1E387279" w:rsidR="008602F1" w:rsidRDefault="008602F1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133067684" w:history="1">
            <w:r w:rsidRPr="00547CB9">
              <w:rPr>
                <w:rStyle w:val="Lienhypertexte"/>
                <w:b/>
                <w:bCs/>
                <w:noProof/>
              </w:rPr>
              <w:t>Cube circonscrit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7CF6A" w14:textId="04D56FC9" w:rsidR="008602F1" w:rsidRDefault="008602F1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7685" w:history="1">
            <w:r w:rsidRPr="00547CB9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Grandeurs caractéristiques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46B43" w14:textId="2D318280" w:rsidR="00294B15" w:rsidRDefault="008602F1" w:rsidP="008602F1">
          <w:r>
            <w:rPr>
              <w:b/>
              <w:bCs/>
            </w:rPr>
            <w:fldChar w:fldCharType="end"/>
          </w:r>
        </w:p>
      </w:sdtContent>
    </w:sdt>
    <w:p w14:paraId="134124BB" w14:textId="32699869" w:rsidR="00294B15" w:rsidRPr="00CB16D2" w:rsidRDefault="00294B15" w:rsidP="00CB16D2">
      <w:pPr>
        <w:pStyle w:val="Titre1"/>
        <w:jc w:val="both"/>
        <w:rPr>
          <w:b/>
          <w:bCs/>
        </w:rPr>
      </w:pPr>
      <w:bookmarkStart w:id="1" w:name="_Toc133067680"/>
      <w:r w:rsidRPr="00CB16D2">
        <w:rPr>
          <w:b/>
          <w:bCs/>
        </w:rPr>
        <w:t>Introduction</w:t>
      </w:r>
      <w:bookmarkEnd w:id="1"/>
    </w:p>
    <w:p w14:paraId="24B2FAA0" w14:textId="450F9CF8" w:rsidR="00294B15" w:rsidRPr="00CB16D2" w:rsidRDefault="00CB16D2" w:rsidP="00CB16D2">
      <w:pPr>
        <w:jc w:val="both"/>
      </w:pPr>
      <w:r w:rsidRPr="00CB16D2">
        <w:rPr>
          <w:noProof/>
        </w:rPr>
        <w:drawing>
          <wp:anchor distT="0" distB="0" distL="114300" distR="114300" simplePos="0" relativeHeight="251659264" behindDoc="0" locked="0" layoutInCell="1" allowOverlap="1" wp14:anchorId="5FB5F061" wp14:editId="2FA1D89B">
            <wp:simplePos x="0" y="0"/>
            <wp:positionH relativeFrom="column">
              <wp:posOffset>465455</wp:posOffset>
            </wp:positionH>
            <wp:positionV relativeFrom="paragraph">
              <wp:posOffset>488950</wp:posOffset>
            </wp:positionV>
            <wp:extent cx="1974850" cy="1579880"/>
            <wp:effectExtent l="0" t="0" r="6350" b="127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4882" w:rsidRPr="00CB16D2">
        <w:t>En géométrie, un icosaèdre est un solide de dimension 3, de la famille des polyèdres, contenant exactement vingt faces.</w:t>
      </w:r>
    </w:p>
    <w:p w14:paraId="35C3F183" w14:textId="38237455" w:rsidR="00E34882" w:rsidRDefault="00CB16D2" w:rsidP="00CB16D2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32A33F" wp14:editId="39BF8AC2">
            <wp:simplePos x="0" y="0"/>
            <wp:positionH relativeFrom="column">
              <wp:posOffset>3735705</wp:posOffset>
            </wp:positionH>
            <wp:positionV relativeFrom="paragraph">
              <wp:posOffset>7620</wp:posOffset>
            </wp:positionV>
            <wp:extent cx="1695450" cy="1569720"/>
            <wp:effectExtent l="0" t="0" r="0" b="0"/>
            <wp:wrapNone/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qu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87610" w14:textId="6A2325C4" w:rsidR="00E34882" w:rsidRPr="00CB16D2" w:rsidRDefault="00E34882" w:rsidP="00CB16D2">
      <w:pPr>
        <w:pStyle w:val="Titre1"/>
        <w:jc w:val="both"/>
        <w:rPr>
          <w:b/>
          <w:bCs/>
        </w:rPr>
      </w:pPr>
      <w:bookmarkStart w:id="2" w:name="_Toc133067681"/>
      <w:r w:rsidRPr="00CB16D2">
        <w:rPr>
          <w:b/>
          <w:bCs/>
        </w:rPr>
        <w:t>Propriétés</w:t>
      </w:r>
      <w:bookmarkEnd w:id="2"/>
    </w:p>
    <w:p w14:paraId="7D720DAB" w14:textId="5B6E4E03" w:rsidR="00CB16D2" w:rsidRDefault="00E34882" w:rsidP="00CB16D2">
      <w:pPr>
        <w:jc w:val="both"/>
        <w:rPr>
          <w:rStyle w:val="theoreme-tiret"/>
        </w:rPr>
      </w:pPr>
      <w:bookmarkStart w:id="3" w:name="_Toc133067682"/>
      <w:r w:rsidRPr="00CB16D2">
        <w:rPr>
          <w:rStyle w:val="Titre3Car"/>
          <w:b/>
          <w:bCs/>
          <w:u w:val="single"/>
        </w:rPr>
        <w:t>Sommets, arêtes et faces</w:t>
      </w:r>
      <w:bookmarkEnd w:id="3"/>
      <w:r w:rsidR="00CB16D2">
        <w:rPr>
          <w:rStyle w:val="Titre3Car"/>
          <w:b/>
          <w:bCs/>
          <w:u w:val="single"/>
        </w:rPr>
        <w:t> </w:t>
      </w:r>
      <w:r w:rsidR="00CB16D2">
        <w:rPr>
          <w:rStyle w:val="theoreme-tiret"/>
        </w:rPr>
        <w:t>:</w:t>
      </w:r>
    </w:p>
    <w:p w14:paraId="616CB056" w14:textId="77867CE3" w:rsidR="00E34882" w:rsidRDefault="00E34882" w:rsidP="00CB16D2">
      <w:pPr>
        <w:jc w:val="both"/>
      </w:pPr>
      <w:r>
        <w:t>Un icosaèdre régulier convexe contient 12 sommets, 30 arêtes et 20 faces. L'angle diédral (angle formé par deux faces adjacentes) est de 138,19°.</w:t>
      </w:r>
    </w:p>
    <w:p w14:paraId="672730F4" w14:textId="6DC7FBF4" w:rsidR="00CB16D2" w:rsidRDefault="00CB16D2" w:rsidP="00CB16D2">
      <w:pPr>
        <w:jc w:val="both"/>
        <w:rPr>
          <w:rStyle w:val="Titre3Car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440C55" wp14:editId="2C19B834">
            <wp:simplePos x="0" y="0"/>
            <wp:positionH relativeFrom="margin">
              <wp:align>right</wp:align>
            </wp:positionH>
            <wp:positionV relativeFrom="paragraph">
              <wp:posOffset>45085</wp:posOffset>
            </wp:positionV>
            <wp:extent cx="1554139" cy="1422400"/>
            <wp:effectExtent l="0" t="0" r="8255" b="635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13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_Toc133067683"/>
      <w:r w:rsidR="00E34882" w:rsidRPr="00CB16D2">
        <w:rPr>
          <w:rStyle w:val="Titre3Car"/>
          <w:b/>
          <w:bCs/>
          <w:u w:val="single"/>
        </w:rPr>
        <w:t>Sphères circonscrite et inscrite</w:t>
      </w:r>
      <w:r>
        <w:rPr>
          <w:rStyle w:val="Titre3Car"/>
          <w:b/>
          <w:bCs/>
          <w:u w:val="single"/>
        </w:rPr>
        <w:t> :</w:t>
      </w:r>
      <w:bookmarkEnd w:id="4"/>
    </w:p>
    <w:p w14:paraId="3719579B" w14:textId="3A5DB60C" w:rsidR="00E34882" w:rsidRDefault="00E34882" w:rsidP="00CB16D2">
      <w:pPr>
        <w:jc w:val="both"/>
      </w:pPr>
      <w:r>
        <w:t>La sphère circonscrite à l'icosaèdre est de même centre que le solide et contient tous les sommets du polyèdre. La sphère inscrite dans l'icosaèdre a le même centre et contient le centre de chaque face de ce polyèdre.</w:t>
      </w:r>
    </w:p>
    <w:p w14:paraId="29AC4FA7" w14:textId="71BC6067" w:rsidR="00E34882" w:rsidRDefault="00E34882" w:rsidP="00CB16D2">
      <w:pPr>
        <w:jc w:val="both"/>
      </w:pPr>
    </w:p>
    <w:p w14:paraId="62CB547D" w14:textId="662806BE" w:rsidR="00CB16D2" w:rsidRDefault="00CB16D2" w:rsidP="00CB16D2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EC17DE4" wp14:editId="3A1C1158">
            <wp:simplePos x="0" y="0"/>
            <wp:positionH relativeFrom="column">
              <wp:posOffset>4154805</wp:posOffset>
            </wp:positionH>
            <wp:positionV relativeFrom="paragraph">
              <wp:posOffset>257810</wp:posOffset>
            </wp:positionV>
            <wp:extent cx="1443151" cy="1619250"/>
            <wp:effectExtent l="0" t="0" r="508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151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EDAB4" w14:textId="5257741F" w:rsidR="00CB16D2" w:rsidRPr="00CB16D2" w:rsidRDefault="00E34882" w:rsidP="00CB16D2">
      <w:pPr>
        <w:jc w:val="both"/>
        <w:rPr>
          <w:rStyle w:val="theoreme-tiret"/>
          <w:b/>
          <w:bCs/>
        </w:rPr>
      </w:pPr>
      <w:bookmarkStart w:id="5" w:name="_Toc133067684"/>
      <w:r w:rsidRPr="00CB16D2">
        <w:rPr>
          <w:rStyle w:val="Titre3Car"/>
          <w:b/>
          <w:bCs/>
          <w:u w:val="single"/>
        </w:rPr>
        <w:t>Cube circonscrit</w:t>
      </w:r>
      <w:bookmarkEnd w:id="5"/>
      <w:r w:rsidR="00CB16D2" w:rsidRPr="00CB16D2">
        <w:rPr>
          <w:rStyle w:val="Titre3Car"/>
          <w:b/>
          <w:bCs/>
          <w:u w:val="single"/>
        </w:rPr>
        <w:t> </w:t>
      </w:r>
      <w:r w:rsidR="00CB16D2" w:rsidRPr="00CB16D2">
        <w:rPr>
          <w:rStyle w:val="theoreme-tiret"/>
          <w:b/>
          <w:bCs/>
        </w:rPr>
        <w:t>:</w:t>
      </w:r>
    </w:p>
    <w:p w14:paraId="32D515C3" w14:textId="4D930B2F" w:rsidR="00E34882" w:rsidRDefault="00E34882" w:rsidP="00CB16D2">
      <w:pPr>
        <w:jc w:val="both"/>
      </w:pPr>
      <w:r>
        <w:t>Le plus petit cube contenant l'icosaèdre est de même centre que le solide, sa surface contient tous les sommets du polyèdre.</w:t>
      </w:r>
    </w:p>
    <w:p w14:paraId="188C2DAA" w14:textId="36C607DA" w:rsidR="00E34882" w:rsidRDefault="00E34882" w:rsidP="00CB16D2">
      <w:pPr>
        <w:jc w:val="both"/>
      </w:pPr>
    </w:p>
    <w:p w14:paraId="70629D25" w14:textId="77777777" w:rsidR="00CB16D2" w:rsidRPr="00CB16D2" w:rsidRDefault="00CB16D2" w:rsidP="00CB16D2">
      <w:pPr>
        <w:pStyle w:val="Titre1"/>
        <w:jc w:val="both"/>
        <w:rPr>
          <w:rFonts w:eastAsia="Times New Roman"/>
          <w:b/>
          <w:bCs/>
          <w:lang w:eastAsia="fr-FR"/>
        </w:rPr>
      </w:pPr>
      <w:bookmarkStart w:id="6" w:name="_Toc133067685"/>
      <w:r w:rsidRPr="00CB16D2">
        <w:rPr>
          <w:rFonts w:eastAsia="Times New Roman"/>
          <w:b/>
          <w:bCs/>
          <w:lang w:eastAsia="fr-FR"/>
        </w:rPr>
        <w:t>Grandeurs caractéristiques</w:t>
      </w:r>
      <w:bookmarkEnd w:id="6"/>
    </w:p>
    <w:p w14:paraId="3F0D354A" w14:textId="39A78554" w:rsidR="00E34882" w:rsidRDefault="00CB16D2" w:rsidP="00CB16D2">
      <w:pPr>
        <w:jc w:val="both"/>
      </w:pPr>
      <w:r>
        <w:rPr>
          <w:noProof/>
        </w:rPr>
        <w:drawing>
          <wp:inline distT="0" distB="0" distL="0" distR="0" wp14:anchorId="087A6E16" wp14:editId="74C35F46">
            <wp:extent cx="5384800" cy="3879850"/>
            <wp:effectExtent l="0" t="0" r="635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B2E4" w14:textId="77777777" w:rsidR="00CB16D2" w:rsidRDefault="00CB16D2" w:rsidP="00CB16D2">
      <w:pPr>
        <w:jc w:val="both"/>
      </w:pPr>
    </w:p>
    <w:sectPr w:rsidR="00CB16D2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2B25D" w14:textId="77777777" w:rsidR="004E6106" w:rsidRDefault="004E6106" w:rsidP="00294B15">
      <w:pPr>
        <w:spacing w:after="0" w:line="240" w:lineRule="auto"/>
      </w:pPr>
      <w:r>
        <w:separator/>
      </w:r>
    </w:p>
  </w:endnote>
  <w:endnote w:type="continuationSeparator" w:id="0">
    <w:p w14:paraId="3B568347" w14:textId="77777777" w:rsidR="004E6106" w:rsidRDefault="004E6106" w:rsidP="00294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1081585"/>
      <w:docPartObj>
        <w:docPartGallery w:val="Page Numbers (Bottom of Page)"/>
        <w:docPartUnique/>
      </w:docPartObj>
    </w:sdtPr>
    <w:sdtContent>
      <w:p w14:paraId="5BC64DD1" w14:textId="74B55BBF" w:rsidR="00294B15" w:rsidRDefault="00294B1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891617" w14:textId="77777777" w:rsidR="00294B15" w:rsidRDefault="00294B1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25767" w14:textId="77777777" w:rsidR="004E6106" w:rsidRDefault="004E6106" w:rsidP="00294B15">
      <w:pPr>
        <w:spacing w:after="0" w:line="240" w:lineRule="auto"/>
      </w:pPr>
      <w:r>
        <w:separator/>
      </w:r>
    </w:p>
  </w:footnote>
  <w:footnote w:type="continuationSeparator" w:id="0">
    <w:p w14:paraId="29C1EA18" w14:textId="77777777" w:rsidR="004E6106" w:rsidRDefault="004E6106" w:rsidP="00294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2D6A5" w14:textId="3A02CA9E" w:rsidR="00294B15" w:rsidRDefault="00294B15">
    <w:pPr>
      <w:pStyle w:val="En-tte"/>
    </w:pPr>
    <w:r>
      <w:t xml:space="preserve">MATHS – </w:t>
    </w:r>
    <w:r w:rsidR="00E34882">
      <w:t>Icosaèdre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78"/>
    <w:rsid w:val="00246EEA"/>
    <w:rsid w:val="00294B15"/>
    <w:rsid w:val="003B22A5"/>
    <w:rsid w:val="004E6106"/>
    <w:rsid w:val="005A7BDC"/>
    <w:rsid w:val="008602F1"/>
    <w:rsid w:val="00975931"/>
    <w:rsid w:val="00C71278"/>
    <w:rsid w:val="00CB16D2"/>
    <w:rsid w:val="00CB1D6D"/>
    <w:rsid w:val="00E34882"/>
    <w:rsid w:val="00FE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DEBD"/>
  <w15:chartTrackingRefBased/>
  <w15:docId w15:val="{5C90F0EF-0D41-48DC-85E2-351EADBB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B16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CB16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B16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94B15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294B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B1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94B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B15"/>
    <w:rPr>
      <w:sz w:val="22"/>
      <w:szCs w:val="22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294B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4B1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lev">
    <w:name w:val="Strong"/>
    <w:basedOn w:val="Policepardfaut"/>
    <w:uiPriority w:val="22"/>
    <w:qFormat/>
    <w:rsid w:val="00E34882"/>
    <w:rPr>
      <w:b/>
      <w:bCs/>
    </w:rPr>
  </w:style>
  <w:style w:type="character" w:customStyle="1" w:styleId="theoreme-tiret">
    <w:name w:val="theoreme-tiret"/>
    <w:basedOn w:val="Policepardfaut"/>
    <w:rsid w:val="00E34882"/>
  </w:style>
  <w:style w:type="character" w:customStyle="1" w:styleId="Titre2Car">
    <w:name w:val="Titre 2 Car"/>
    <w:basedOn w:val="Policepardfaut"/>
    <w:link w:val="Titre2"/>
    <w:uiPriority w:val="9"/>
    <w:rsid w:val="00CB16D2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mw-headline">
    <w:name w:val="mw-headline"/>
    <w:basedOn w:val="Policepardfaut"/>
    <w:rsid w:val="00CB16D2"/>
  </w:style>
  <w:style w:type="character" w:customStyle="1" w:styleId="Titre1Car">
    <w:name w:val="Titre 1 Car"/>
    <w:basedOn w:val="Policepardfaut"/>
    <w:link w:val="Titre1"/>
    <w:uiPriority w:val="9"/>
    <w:rsid w:val="00CB16D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CB16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602F1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602F1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8602F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1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6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5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4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1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0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2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208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7</cp:revision>
  <dcterms:created xsi:type="dcterms:W3CDTF">2022-12-19T07:15:00Z</dcterms:created>
  <dcterms:modified xsi:type="dcterms:W3CDTF">2023-04-22T12:54:00Z</dcterms:modified>
</cp:coreProperties>
</file>