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DF2EE" w14:textId="60470C95" w:rsidR="003B22A5" w:rsidRDefault="002E2190" w:rsidP="002E2190">
      <w:pPr>
        <w:pStyle w:val="Titre"/>
        <w:rPr>
          <w:b/>
          <w:bCs/>
        </w:rPr>
      </w:pPr>
      <w:r w:rsidRPr="002E2190">
        <w:rPr>
          <w:b/>
          <w:bCs/>
        </w:rPr>
        <w:t>Ruban de Möbius</w:t>
      </w:r>
    </w:p>
    <w:p w14:paraId="20BA93A3" w14:textId="30BE9015" w:rsidR="002E2190" w:rsidRDefault="002E2190" w:rsidP="002E2190"/>
    <w:p w14:paraId="19AA547E" w14:textId="36FD9474" w:rsidR="002E2190" w:rsidRDefault="00595E5A" w:rsidP="002E2190">
      <w:pPr>
        <w:pStyle w:val="Titre1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2CFB41" wp14:editId="3F9545A5">
            <wp:simplePos x="0" y="0"/>
            <wp:positionH relativeFrom="margin">
              <wp:posOffset>3587750</wp:posOffset>
            </wp:positionH>
            <wp:positionV relativeFrom="paragraph">
              <wp:posOffset>57150</wp:posOffset>
            </wp:positionV>
            <wp:extent cx="2667000" cy="141097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190" w:rsidRPr="002E2190">
        <w:rPr>
          <w:b/>
          <w:bCs/>
        </w:rPr>
        <w:t>Introduction</w:t>
      </w:r>
    </w:p>
    <w:p w14:paraId="7D17F98B" w14:textId="746F8690" w:rsidR="00595E5A" w:rsidRPr="00FB46C0" w:rsidRDefault="00595E5A" w:rsidP="00FB46C0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B46C0">
        <w:rPr>
          <w:rFonts w:ascii="Times New Roman" w:eastAsia="Times New Roman" w:hAnsi="Times New Roman" w:cs="Times New Roman"/>
          <w:sz w:val="24"/>
          <w:szCs w:val="24"/>
          <w:lang w:eastAsia="fr-FR"/>
        </w:rPr>
        <w:t>En topologie, le ruban de Möbius (aussi appelé bande de Möbius ou boucle de Möbius) est une surface compacte dont le bord est homéomorphe à un cercle. Autrement dit, il ne possède qu'une seule face (et un seul bord) contrairement à un ruban classique qui en possède deux. La surface a la particularité d'être réglée et non orientable.</w:t>
      </w:r>
    </w:p>
    <w:p w14:paraId="1BCD50BF" w14:textId="77777777" w:rsidR="00595E5A" w:rsidRPr="00595E5A" w:rsidRDefault="00595E5A" w:rsidP="00595E5A">
      <w:pPr>
        <w:pStyle w:val="Titre1"/>
        <w:rPr>
          <w:b/>
          <w:bCs/>
        </w:rPr>
      </w:pPr>
      <w:r w:rsidRPr="00595E5A">
        <w:rPr>
          <w:rStyle w:val="mw-headline"/>
          <w:b/>
          <w:bCs/>
        </w:rPr>
        <w:t>Ruban de Möbius classique</w:t>
      </w:r>
    </w:p>
    <w:p w14:paraId="7C06302B" w14:textId="1DF47E9D" w:rsidR="002E2190" w:rsidRPr="00FB46C0" w:rsidRDefault="00595E5A" w:rsidP="00FB46C0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B46C0">
        <w:rPr>
          <w:rFonts w:ascii="Times New Roman" w:eastAsia="Times New Roman" w:hAnsi="Times New Roman" w:cs="Times New Roman"/>
          <w:sz w:val="24"/>
          <w:szCs w:val="24"/>
          <w:lang w:eastAsia="fr-FR"/>
        </w:rPr>
        <w:t>Le ruban de Möbius peut être engendré par un segment pivotant dont le centre décrit un cercle fixe. Un paramétrage correspondant est</w:t>
      </w:r>
      <w:r w:rsidRPr="00FB46C0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14:paraId="320FC815" w14:textId="6A80368B" w:rsidR="00595E5A" w:rsidRDefault="00595E5A" w:rsidP="00FB46C0">
      <w:pPr>
        <w:jc w:val="both"/>
      </w:pPr>
      <w:r>
        <w:rPr>
          <w:noProof/>
        </w:rPr>
        <w:drawing>
          <wp:inline distT="0" distB="0" distL="0" distR="0" wp14:anchorId="12527F93" wp14:editId="77CF65C5">
            <wp:extent cx="3543300" cy="1429669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933" cy="143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58DF" w14:textId="31E9A954" w:rsidR="00595E5A" w:rsidRDefault="00595E5A" w:rsidP="00FB46C0">
      <w:pPr>
        <w:pStyle w:val="NormalWeb"/>
        <w:jc w:val="both"/>
      </w:pPr>
      <w:r>
        <w:t xml:space="preserve">Les courbes </w:t>
      </w:r>
      <w:r>
        <w:rPr>
          <w:i/>
          <w:iCs/>
        </w:rPr>
        <w:t>v = v</w:t>
      </w:r>
      <w:r>
        <w:rPr>
          <w:vertAlign w:val="subscript"/>
        </w:rPr>
        <w:t>0</w:t>
      </w:r>
      <w:r>
        <w:t xml:space="preserve">, </w:t>
      </w:r>
      <w:r>
        <w:rPr>
          <w:i/>
          <w:iCs/>
        </w:rPr>
        <w:t>t</w:t>
      </w:r>
      <w:r>
        <w:t xml:space="preserve"> variant seul, sont bien des segments, reliant à vitesse uniforme le point </w:t>
      </w:r>
      <w:r>
        <w:rPr>
          <w:i/>
          <w:iCs/>
        </w:rPr>
        <w:t>v = v</w:t>
      </w:r>
      <w:r>
        <w:rPr>
          <w:vertAlign w:val="subscript"/>
        </w:rPr>
        <w:t>0</w:t>
      </w:r>
      <w:r>
        <w:t xml:space="preserve">, </w:t>
      </w:r>
      <w:r>
        <w:rPr>
          <w:i/>
          <w:iCs/>
        </w:rPr>
        <w:t>t</w:t>
      </w:r>
      <w:r>
        <w:t xml:space="preserve"> = –1 et le point </w:t>
      </w:r>
      <w:r>
        <w:rPr>
          <w:i/>
          <w:iCs/>
        </w:rPr>
        <w:t>v = v</w:t>
      </w:r>
      <w:r>
        <w:rPr>
          <w:vertAlign w:val="subscript"/>
        </w:rPr>
        <w:t>0</w:t>
      </w:r>
      <w:r>
        <w:t xml:space="preserve">, </w:t>
      </w:r>
      <w:r>
        <w:rPr>
          <w:i/>
          <w:iCs/>
        </w:rPr>
        <w:t>t</w:t>
      </w:r>
      <w:r>
        <w:t xml:space="preserve"> = 1. Ce segment est donc de longueur 2. </w:t>
      </w:r>
    </w:p>
    <w:p w14:paraId="18464120" w14:textId="4FBF1724" w:rsidR="00595E5A" w:rsidRDefault="00595E5A" w:rsidP="00FB46C0">
      <w:pPr>
        <w:pStyle w:val="NormalWeb"/>
        <w:jc w:val="both"/>
      </w:pPr>
      <w:r>
        <w:t xml:space="preserve">La courbe </w:t>
      </w:r>
      <w:r>
        <w:rPr>
          <w:i/>
          <w:iCs/>
        </w:rPr>
        <w:t>t</w:t>
      </w:r>
      <w:r>
        <w:t xml:space="preserve"> = 0 est un cercle de diamètre 2 dans le plan horizontal ; elle représente la trajectoire du centre des segments. L'angle que fait le segment avec la direction horizontale est </w:t>
      </w:r>
      <w:r>
        <w:rPr>
          <w:i/>
          <w:iCs/>
        </w:rPr>
        <w:t>v</w:t>
      </w:r>
      <w:r>
        <w:rPr>
          <w:vertAlign w:val="subscript"/>
        </w:rPr>
        <w:t>0</w:t>
      </w:r>
      <w:r>
        <w:t xml:space="preserve">. Lorsque le centre a fait un tour complet sur le cercle horizontal (ajout de π à la variable </w:t>
      </w:r>
      <w:r>
        <w:rPr>
          <w:i/>
          <w:iCs/>
        </w:rPr>
        <w:t>v</w:t>
      </w:r>
      <w:r>
        <w:t xml:space="preserve">), le segment a fait un demi-tour seulement. Ce qui provoque le raccordement par exemple du point </w:t>
      </w:r>
      <w:r>
        <w:rPr>
          <w:i/>
          <w:iCs/>
        </w:rPr>
        <w:t>t</w:t>
      </w:r>
      <w:r>
        <w:t xml:space="preserve"> = 1, </w:t>
      </w:r>
      <w:r>
        <w:rPr>
          <w:i/>
          <w:iCs/>
        </w:rPr>
        <w:t>v</w:t>
      </w:r>
      <w:r>
        <w:t xml:space="preserve"> = π avec </w:t>
      </w:r>
      <w:r>
        <w:rPr>
          <w:i/>
          <w:iCs/>
        </w:rPr>
        <w:t>t</w:t>
      </w:r>
      <w:r>
        <w:t xml:space="preserve"> = –1, </w:t>
      </w:r>
      <w:r>
        <w:rPr>
          <w:i/>
          <w:iCs/>
        </w:rPr>
        <w:t>v</w:t>
      </w:r>
      <w:r>
        <w:t xml:space="preserve"> = 0. </w:t>
      </w:r>
    </w:p>
    <w:p w14:paraId="5A3D217F" w14:textId="54BAF9F7" w:rsidR="00595E5A" w:rsidRDefault="00595E5A" w:rsidP="00FB46C0">
      <w:pPr>
        <w:pStyle w:val="NormalWeb"/>
        <w:jc w:val="both"/>
      </w:pPr>
      <w:r>
        <w:t xml:space="preserve">Le bord du ruban est donné par la courbe </w:t>
      </w:r>
      <w:r>
        <w:rPr>
          <w:i/>
          <w:iCs/>
        </w:rPr>
        <w:t>t</w:t>
      </w:r>
      <w:r>
        <w:t xml:space="preserve"> = 1 ou </w:t>
      </w:r>
      <w:r>
        <w:rPr>
          <w:i/>
          <w:iCs/>
        </w:rPr>
        <w:t>t</w:t>
      </w:r>
      <w:r>
        <w:t xml:space="preserve"> = –1. Mais c'est la même courbe : le bord du ruban de Möbius est en un seul morceau</w:t>
      </w:r>
      <w:r>
        <w:t>.</w:t>
      </w:r>
    </w:p>
    <w:p w14:paraId="6A3DFDBF" w14:textId="7F415250" w:rsidR="00FB46C0" w:rsidRPr="00FB46C0" w:rsidRDefault="00FB46C0" w:rsidP="00FB46C0">
      <w:pPr>
        <w:pStyle w:val="Titre1"/>
        <w:rPr>
          <w:b/>
          <w:bCs/>
        </w:rPr>
      </w:pPr>
      <w:r>
        <w:rPr>
          <w:noProof/>
          <w:color w:val="0000FF"/>
        </w:rPr>
        <w:drawing>
          <wp:anchor distT="0" distB="0" distL="114300" distR="114300" simplePos="0" relativeHeight="251659264" behindDoc="0" locked="0" layoutInCell="1" allowOverlap="1" wp14:anchorId="75557387" wp14:editId="07FFB12A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095500" cy="1377950"/>
            <wp:effectExtent l="0" t="0" r="0" b="0"/>
            <wp:wrapSquare wrapText="bothSides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B46C0">
        <w:rPr>
          <w:rStyle w:val="mw-headline"/>
          <w:b/>
          <w:bCs/>
        </w:rPr>
        <w:t>Autres figures obtenues par torsion</w:t>
      </w:r>
    </w:p>
    <w:p w14:paraId="673C8464" w14:textId="77777777" w:rsidR="00FB46C0" w:rsidRDefault="00FB46C0" w:rsidP="00FB46C0">
      <w:pPr>
        <w:pStyle w:val="NormalWeb"/>
        <w:jc w:val="both"/>
      </w:pPr>
      <w:r>
        <w:t xml:space="preserve">Des variantes du ruban classique peuvent s'obtenir en faisant subir à la bande de papier un nombre impair de demi-tours de sens direct ou rétrograde. Il suffit d'ajuster le paramétrage précédent : </w:t>
      </w:r>
    </w:p>
    <w:p w14:paraId="17AFE1C6" w14:textId="51394BF0" w:rsidR="00FB46C0" w:rsidRDefault="00FB46C0" w:rsidP="00FB46C0">
      <w:r>
        <w:rPr>
          <w:noProof/>
        </w:rPr>
        <w:drawing>
          <wp:inline distT="0" distB="0" distL="0" distR="0" wp14:anchorId="6FA1437D" wp14:editId="01D3C164">
            <wp:extent cx="2990850" cy="67945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7DAD" w14:textId="77777777" w:rsidR="00FB46C0" w:rsidRPr="00FB46C0" w:rsidRDefault="00FB46C0" w:rsidP="00FB46C0">
      <w:pPr>
        <w:pStyle w:val="Titre1"/>
        <w:rPr>
          <w:b/>
          <w:bCs/>
        </w:rPr>
      </w:pPr>
      <w:r w:rsidRPr="00FB46C0">
        <w:rPr>
          <w:rStyle w:val="mw-headline"/>
          <w:b/>
          <w:bCs/>
        </w:rPr>
        <w:lastRenderedPageBreak/>
        <w:t>Représentations</w:t>
      </w:r>
    </w:p>
    <w:p w14:paraId="1E230431" w14:textId="2F7E2C1C" w:rsidR="00FB46C0" w:rsidRPr="00FB46C0" w:rsidRDefault="00FB46C0" w:rsidP="00FB46C0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B46C0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très utilisé comme logo :</w:t>
      </w:r>
    </w:p>
    <w:p w14:paraId="166EF881" w14:textId="4BB282F3" w:rsidR="00FB46C0" w:rsidRPr="00FB46C0" w:rsidRDefault="00FB46C0" w:rsidP="00FB46C0">
      <w:pPr>
        <w:pStyle w:val="Paragraphedeliste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B46C0">
        <w:rPr>
          <w:rFonts w:ascii="Times New Roman" w:eastAsia="Times New Roman" w:hAnsi="Times New Roman" w:cs="Times New Roman"/>
          <w:sz w:val="24"/>
          <w:szCs w:val="24"/>
          <w:lang w:eastAsia="fr-FR"/>
        </w:rPr>
        <w:t>symbole</w:t>
      </w:r>
      <w:proofErr w:type="gramEnd"/>
      <w:r w:rsidRPr="00FB46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recyclage</w:t>
      </w:r>
    </w:p>
    <w:p w14:paraId="44B1CA58" w14:textId="3FDA2534" w:rsidR="00FB46C0" w:rsidRPr="00FB46C0" w:rsidRDefault="00FB46C0" w:rsidP="00FB46C0">
      <w:pPr>
        <w:pStyle w:val="Paragraphedeliste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B46C0">
        <w:rPr>
          <w:rFonts w:ascii="Times New Roman" w:eastAsia="Times New Roman" w:hAnsi="Times New Roman" w:cs="Times New Roman"/>
          <w:sz w:val="24"/>
          <w:szCs w:val="24"/>
          <w:lang w:eastAsia="fr-FR"/>
        </w:rPr>
        <w:t>Google Drive</w:t>
      </w:r>
    </w:p>
    <w:p w14:paraId="42CCF467" w14:textId="4C286F78" w:rsidR="00FB46C0" w:rsidRPr="00FB46C0" w:rsidRDefault="00FB46C0" w:rsidP="00FB46C0">
      <w:pPr>
        <w:pStyle w:val="Paragraphedeliste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B46C0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 studio</w:t>
      </w:r>
    </w:p>
    <w:p w14:paraId="464936E5" w14:textId="61E55A74" w:rsidR="00FB46C0" w:rsidRPr="00FB46C0" w:rsidRDefault="00FB46C0" w:rsidP="00FB46C0">
      <w:pPr>
        <w:pStyle w:val="Paragraphedeliste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B46C0"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</w:p>
    <w:p w14:paraId="53B955A0" w14:textId="77777777" w:rsidR="00595E5A" w:rsidRPr="002E2190" w:rsidRDefault="00595E5A" w:rsidP="002E2190"/>
    <w:sectPr w:rsidR="00595E5A" w:rsidRPr="002E2190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8269B" w14:textId="77777777" w:rsidR="00A045B6" w:rsidRDefault="00A045B6" w:rsidP="002E2190">
      <w:pPr>
        <w:spacing w:after="0" w:line="240" w:lineRule="auto"/>
      </w:pPr>
      <w:r>
        <w:separator/>
      </w:r>
    </w:p>
  </w:endnote>
  <w:endnote w:type="continuationSeparator" w:id="0">
    <w:p w14:paraId="30010845" w14:textId="77777777" w:rsidR="00A045B6" w:rsidRDefault="00A045B6" w:rsidP="002E2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8840456"/>
      <w:docPartObj>
        <w:docPartGallery w:val="Page Numbers (Bottom of Page)"/>
        <w:docPartUnique/>
      </w:docPartObj>
    </w:sdtPr>
    <w:sdtContent>
      <w:p w14:paraId="46FC630C" w14:textId="07999E3E" w:rsidR="002E2190" w:rsidRDefault="002E219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BAE0EA" w14:textId="77777777" w:rsidR="002E2190" w:rsidRDefault="002E21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8BAD3" w14:textId="77777777" w:rsidR="00A045B6" w:rsidRDefault="00A045B6" w:rsidP="002E2190">
      <w:pPr>
        <w:spacing w:after="0" w:line="240" w:lineRule="auto"/>
      </w:pPr>
      <w:r>
        <w:separator/>
      </w:r>
    </w:p>
  </w:footnote>
  <w:footnote w:type="continuationSeparator" w:id="0">
    <w:p w14:paraId="75FFE463" w14:textId="77777777" w:rsidR="00A045B6" w:rsidRDefault="00A045B6" w:rsidP="002E2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77115" w14:textId="6F18F877" w:rsidR="002E2190" w:rsidRDefault="002E2190">
    <w:pPr>
      <w:pStyle w:val="En-tte"/>
    </w:pPr>
    <w:r>
      <w:t>MATHS – Ruban de Möbius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9E1B77"/>
    <w:multiLevelType w:val="hybridMultilevel"/>
    <w:tmpl w:val="8FAC4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08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D5"/>
    <w:rsid w:val="002E2190"/>
    <w:rsid w:val="003B22A5"/>
    <w:rsid w:val="00595E5A"/>
    <w:rsid w:val="005C64D5"/>
    <w:rsid w:val="00975931"/>
    <w:rsid w:val="00A045B6"/>
    <w:rsid w:val="00FB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E915"/>
  <w15:chartTrackingRefBased/>
  <w15:docId w15:val="{6056B19B-F876-4A6B-BD9E-C176B7A2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21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46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5E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E21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2190"/>
  </w:style>
  <w:style w:type="paragraph" w:styleId="Pieddepage">
    <w:name w:val="footer"/>
    <w:basedOn w:val="Normal"/>
    <w:link w:val="PieddepageCar"/>
    <w:uiPriority w:val="99"/>
    <w:unhideWhenUsed/>
    <w:rsid w:val="002E21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2190"/>
  </w:style>
  <w:style w:type="paragraph" w:styleId="Titre">
    <w:name w:val="Title"/>
    <w:basedOn w:val="Normal"/>
    <w:next w:val="Normal"/>
    <w:link w:val="TitreCar"/>
    <w:uiPriority w:val="10"/>
    <w:qFormat/>
    <w:rsid w:val="002E21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E2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5E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595E5A"/>
    <w:rPr>
      <w:color w:val="0000FF"/>
      <w:u w:val="single"/>
    </w:rPr>
  </w:style>
  <w:style w:type="character" w:customStyle="1" w:styleId="mw-headline">
    <w:name w:val="mw-headline"/>
    <w:basedOn w:val="Policepardfaut"/>
    <w:rsid w:val="00595E5A"/>
  </w:style>
  <w:style w:type="paragraph" w:styleId="NormalWeb">
    <w:name w:val="Normal (Web)"/>
    <w:basedOn w:val="Normal"/>
    <w:uiPriority w:val="99"/>
    <w:semiHidden/>
    <w:unhideWhenUsed/>
    <w:rsid w:val="00595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B46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B4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Mobius2.png?uselang=f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245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4</cp:revision>
  <dcterms:created xsi:type="dcterms:W3CDTF">2022-12-21T07:36:00Z</dcterms:created>
  <dcterms:modified xsi:type="dcterms:W3CDTF">2022-12-21T07:42:00Z</dcterms:modified>
</cp:coreProperties>
</file>