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12E3A605" w:rsidR="0040036F" w:rsidRDefault="00207B1E">
      <w:pPr>
        <w:pStyle w:val="En-ttedetabledesmatires"/>
        <w:rPr>
          <w:bCs/>
          <w:color w:val="auto"/>
          <w:spacing w:val="-10"/>
          <w:kern w:val="28"/>
          <w:sz w:val="56"/>
          <w:szCs w:val="56"/>
          <w:lang w:eastAsia="en-US"/>
        </w:rPr>
      </w:pPr>
      <w:r w:rsidRPr="00207B1E">
        <w:rPr>
          <w:bCs/>
          <w:color w:val="auto"/>
          <w:spacing w:val="-10"/>
          <w:kern w:val="28"/>
          <w:sz w:val="56"/>
          <w:szCs w:val="56"/>
          <w:lang w:eastAsia="en-US"/>
        </w:rPr>
        <w:t>Lois de Snell-Descartes</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6EF8F6AD" w14:textId="2363F05A" w:rsidR="00207B1E"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8505" w:history="1">
            <w:r w:rsidR="00207B1E" w:rsidRPr="00FC08A7">
              <w:rPr>
                <w:rStyle w:val="Lienhypertexte"/>
                <w:bCs/>
                <w:noProof/>
              </w:rPr>
              <w:t>Introduction</w:t>
            </w:r>
            <w:r w:rsidR="00207B1E">
              <w:rPr>
                <w:noProof/>
                <w:webHidden/>
              </w:rPr>
              <w:tab/>
            </w:r>
            <w:r w:rsidR="00207B1E">
              <w:rPr>
                <w:noProof/>
                <w:webHidden/>
              </w:rPr>
              <w:fldChar w:fldCharType="begin"/>
            </w:r>
            <w:r w:rsidR="00207B1E">
              <w:rPr>
                <w:noProof/>
                <w:webHidden/>
              </w:rPr>
              <w:instrText xml:space="preserve"> PAGEREF _Toc212918505 \h </w:instrText>
            </w:r>
            <w:r w:rsidR="00207B1E">
              <w:rPr>
                <w:noProof/>
                <w:webHidden/>
              </w:rPr>
            </w:r>
            <w:r w:rsidR="00207B1E">
              <w:rPr>
                <w:noProof/>
                <w:webHidden/>
              </w:rPr>
              <w:fldChar w:fldCharType="separate"/>
            </w:r>
            <w:r w:rsidR="00207B1E">
              <w:rPr>
                <w:noProof/>
                <w:webHidden/>
              </w:rPr>
              <w:t>2</w:t>
            </w:r>
            <w:r w:rsidR="00207B1E">
              <w:rPr>
                <w:noProof/>
                <w:webHidden/>
              </w:rPr>
              <w:fldChar w:fldCharType="end"/>
            </w:r>
          </w:hyperlink>
        </w:p>
        <w:p w14:paraId="601C2EE0" w14:textId="785889E9" w:rsidR="00207B1E" w:rsidRDefault="00207B1E">
          <w:pPr>
            <w:pStyle w:val="TM1"/>
            <w:tabs>
              <w:tab w:val="right" w:leader="dot" w:pos="9062"/>
            </w:tabs>
            <w:rPr>
              <w:rFonts w:eastAsiaTheme="minorEastAsia"/>
              <w:noProof/>
              <w:kern w:val="2"/>
              <w:sz w:val="24"/>
              <w:szCs w:val="24"/>
              <w:lang w:eastAsia="fr-FR"/>
              <w14:ligatures w14:val="standardContextual"/>
            </w:rPr>
          </w:pPr>
          <w:hyperlink w:anchor="_Toc212918506" w:history="1">
            <w:r w:rsidRPr="00FC08A7">
              <w:rPr>
                <w:rStyle w:val="Lienhypertexte"/>
                <w:noProof/>
              </w:rPr>
              <w:t>Lois de Snell-Descartes pour la réflexion</w:t>
            </w:r>
            <w:r>
              <w:rPr>
                <w:noProof/>
                <w:webHidden/>
              </w:rPr>
              <w:tab/>
            </w:r>
            <w:r>
              <w:rPr>
                <w:noProof/>
                <w:webHidden/>
              </w:rPr>
              <w:fldChar w:fldCharType="begin"/>
            </w:r>
            <w:r>
              <w:rPr>
                <w:noProof/>
                <w:webHidden/>
              </w:rPr>
              <w:instrText xml:space="preserve"> PAGEREF _Toc212918506 \h </w:instrText>
            </w:r>
            <w:r>
              <w:rPr>
                <w:noProof/>
                <w:webHidden/>
              </w:rPr>
            </w:r>
            <w:r>
              <w:rPr>
                <w:noProof/>
                <w:webHidden/>
              </w:rPr>
              <w:fldChar w:fldCharType="separate"/>
            </w:r>
            <w:r>
              <w:rPr>
                <w:noProof/>
                <w:webHidden/>
              </w:rPr>
              <w:t>2</w:t>
            </w:r>
            <w:r>
              <w:rPr>
                <w:noProof/>
                <w:webHidden/>
              </w:rPr>
              <w:fldChar w:fldCharType="end"/>
            </w:r>
          </w:hyperlink>
        </w:p>
        <w:p w14:paraId="343F3419" w14:textId="2B24DC21" w:rsidR="00207B1E" w:rsidRDefault="00207B1E">
          <w:pPr>
            <w:pStyle w:val="TM1"/>
            <w:tabs>
              <w:tab w:val="right" w:leader="dot" w:pos="9062"/>
            </w:tabs>
            <w:rPr>
              <w:rFonts w:eastAsiaTheme="minorEastAsia"/>
              <w:noProof/>
              <w:kern w:val="2"/>
              <w:sz w:val="24"/>
              <w:szCs w:val="24"/>
              <w:lang w:eastAsia="fr-FR"/>
              <w14:ligatures w14:val="standardContextual"/>
            </w:rPr>
          </w:pPr>
          <w:hyperlink w:anchor="_Toc212918507" w:history="1">
            <w:r w:rsidRPr="00FC08A7">
              <w:rPr>
                <w:rStyle w:val="Lienhypertexte"/>
                <w:noProof/>
              </w:rPr>
              <w:t>Lois de Snell-Descartes pour la réfraction</w:t>
            </w:r>
            <w:r>
              <w:rPr>
                <w:noProof/>
                <w:webHidden/>
              </w:rPr>
              <w:tab/>
            </w:r>
            <w:r>
              <w:rPr>
                <w:noProof/>
                <w:webHidden/>
              </w:rPr>
              <w:fldChar w:fldCharType="begin"/>
            </w:r>
            <w:r>
              <w:rPr>
                <w:noProof/>
                <w:webHidden/>
              </w:rPr>
              <w:instrText xml:space="preserve"> PAGEREF _Toc212918507 \h </w:instrText>
            </w:r>
            <w:r>
              <w:rPr>
                <w:noProof/>
                <w:webHidden/>
              </w:rPr>
            </w:r>
            <w:r>
              <w:rPr>
                <w:noProof/>
                <w:webHidden/>
              </w:rPr>
              <w:fldChar w:fldCharType="separate"/>
            </w:r>
            <w:r>
              <w:rPr>
                <w:noProof/>
                <w:webHidden/>
              </w:rPr>
              <w:t>3</w:t>
            </w:r>
            <w:r>
              <w:rPr>
                <w:noProof/>
                <w:webHidden/>
              </w:rPr>
              <w:fldChar w:fldCharType="end"/>
            </w:r>
          </w:hyperlink>
        </w:p>
        <w:p w14:paraId="77BE6C0F" w14:textId="4F2211B0" w:rsidR="00207B1E" w:rsidRDefault="00207B1E">
          <w:pPr>
            <w:pStyle w:val="TM1"/>
            <w:tabs>
              <w:tab w:val="right" w:leader="dot" w:pos="9062"/>
            </w:tabs>
            <w:rPr>
              <w:rFonts w:eastAsiaTheme="minorEastAsia"/>
              <w:noProof/>
              <w:kern w:val="2"/>
              <w:sz w:val="24"/>
              <w:szCs w:val="24"/>
              <w:lang w:eastAsia="fr-FR"/>
              <w14:ligatures w14:val="standardContextual"/>
            </w:rPr>
          </w:pPr>
          <w:hyperlink w:anchor="_Toc212918508" w:history="1">
            <w:r w:rsidRPr="00FC08A7">
              <w:rPr>
                <w:rStyle w:val="Lienhypertexte"/>
                <w:noProof/>
              </w:rPr>
              <w:t>Forme vectorielle des lois de Snell-Descartes</w:t>
            </w:r>
            <w:r>
              <w:rPr>
                <w:noProof/>
                <w:webHidden/>
              </w:rPr>
              <w:tab/>
            </w:r>
            <w:r>
              <w:rPr>
                <w:noProof/>
                <w:webHidden/>
              </w:rPr>
              <w:fldChar w:fldCharType="begin"/>
            </w:r>
            <w:r>
              <w:rPr>
                <w:noProof/>
                <w:webHidden/>
              </w:rPr>
              <w:instrText xml:space="preserve"> PAGEREF _Toc212918508 \h </w:instrText>
            </w:r>
            <w:r>
              <w:rPr>
                <w:noProof/>
                <w:webHidden/>
              </w:rPr>
            </w:r>
            <w:r>
              <w:rPr>
                <w:noProof/>
                <w:webHidden/>
              </w:rPr>
              <w:fldChar w:fldCharType="separate"/>
            </w:r>
            <w:r>
              <w:rPr>
                <w:noProof/>
                <w:webHidden/>
              </w:rPr>
              <w:t>4</w:t>
            </w:r>
            <w:r>
              <w:rPr>
                <w:noProof/>
                <w:webHidden/>
              </w:rPr>
              <w:fldChar w:fldCharType="end"/>
            </w:r>
          </w:hyperlink>
        </w:p>
        <w:p w14:paraId="5F447881" w14:textId="421B72BE" w:rsidR="00207B1E" w:rsidRDefault="00207B1E">
          <w:pPr>
            <w:pStyle w:val="TM1"/>
            <w:tabs>
              <w:tab w:val="right" w:leader="dot" w:pos="9062"/>
            </w:tabs>
            <w:rPr>
              <w:rFonts w:eastAsiaTheme="minorEastAsia"/>
              <w:noProof/>
              <w:kern w:val="2"/>
              <w:sz w:val="24"/>
              <w:szCs w:val="24"/>
              <w:lang w:eastAsia="fr-FR"/>
              <w14:ligatures w14:val="standardContextual"/>
            </w:rPr>
          </w:pPr>
          <w:hyperlink w:anchor="_Toc212918509" w:history="1">
            <w:r w:rsidRPr="00FC08A7">
              <w:rPr>
                <w:rStyle w:val="Lienhypertexte"/>
                <w:noProof/>
              </w:rPr>
              <w:t>Généralisation des lois de la réflexion et de la réfraction</w:t>
            </w:r>
            <w:r>
              <w:rPr>
                <w:noProof/>
                <w:webHidden/>
              </w:rPr>
              <w:tab/>
            </w:r>
            <w:r>
              <w:rPr>
                <w:noProof/>
                <w:webHidden/>
              </w:rPr>
              <w:fldChar w:fldCharType="begin"/>
            </w:r>
            <w:r>
              <w:rPr>
                <w:noProof/>
                <w:webHidden/>
              </w:rPr>
              <w:instrText xml:space="preserve"> PAGEREF _Toc212918509 \h </w:instrText>
            </w:r>
            <w:r>
              <w:rPr>
                <w:noProof/>
                <w:webHidden/>
              </w:rPr>
            </w:r>
            <w:r>
              <w:rPr>
                <w:noProof/>
                <w:webHidden/>
              </w:rPr>
              <w:fldChar w:fldCharType="separate"/>
            </w:r>
            <w:r>
              <w:rPr>
                <w:noProof/>
                <w:webHidden/>
              </w:rPr>
              <w:t>4</w:t>
            </w:r>
            <w:r>
              <w:rPr>
                <w:noProof/>
                <w:webHidden/>
              </w:rPr>
              <w:fldChar w:fldCharType="end"/>
            </w:r>
          </w:hyperlink>
        </w:p>
        <w:p w14:paraId="60CFCCD8" w14:textId="51F6D445" w:rsidR="00207B1E" w:rsidRDefault="00207B1E">
          <w:pPr>
            <w:pStyle w:val="TM1"/>
            <w:tabs>
              <w:tab w:val="right" w:leader="dot" w:pos="9062"/>
            </w:tabs>
            <w:rPr>
              <w:rFonts w:eastAsiaTheme="minorEastAsia"/>
              <w:noProof/>
              <w:kern w:val="2"/>
              <w:sz w:val="24"/>
              <w:szCs w:val="24"/>
              <w:lang w:eastAsia="fr-FR"/>
              <w14:ligatures w14:val="standardContextual"/>
            </w:rPr>
          </w:pPr>
          <w:hyperlink w:anchor="_Toc212918510" w:history="1">
            <w:r w:rsidRPr="00FC08A7">
              <w:rPr>
                <w:rStyle w:val="Lienhypertexte"/>
                <w:noProof/>
              </w:rPr>
              <w:t>Visualisation de la loi de Snell-Descartes : surface des lenteurs</w:t>
            </w:r>
            <w:r>
              <w:rPr>
                <w:noProof/>
                <w:webHidden/>
              </w:rPr>
              <w:tab/>
            </w:r>
            <w:r>
              <w:rPr>
                <w:noProof/>
                <w:webHidden/>
              </w:rPr>
              <w:fldChar w:fldCharType="begin"/>
            </w:r>
            <w:r>
              <w:rPr>
                <w:noProof/>
                <w:webHidden/>
              </w:rPr>
              <w:instrText xml:space="preserve"> PAGEREF _Toc212918510 \h </w:instrText>
            </w:r>
            <w:r>
              <w:rPr>
                <w:noProof/>
                <w:webHidden/>
              </w:rPr>
            </w:r>
            <w:r>
              <w:rPr>
                <w:noProof/>
                <w:webHidden/>
              </w:rPr>
              <w:fldChar w:fldCharType="separate"/>
            </w:r>
            <w:r>
              <w:rPr>
                <w:noProof/>
                <w:webHidden/>
              </w:rPr>
              <w:t>5</w:t>
            </w:r>
            <w:r>
              <w:rPr>
                <w:noProof/>
                <w:webHidden/>
              </w:rPr>
              <w:fldChar w:fldCharType="end"/>
            </w:r>
          </w:hyperlink>
        </w:p>
        <w:p w14:paraId="1EF26E76" w14:textId="261AADCC" w:rsidR="00207B1E" w:rsidRDefault="00207B1E">
          <w:pPr>
            <w:pStyle w:val="TM1"/>
            <w:tabs>
              <w:tab w:val="right" w:leader="dot" w:pos="9062"/>
            </w:tabs>
            <w:rPr>
              <w:rFonts w:eastAsiaTheme="minorEastAsia"/>
              <w:noProof/>
              <w:kern w:val="2"/>
              <w:sz w:val="24"/>
              <w:szCs w:val="24"/>
              <w:lang w:eastAsia="fr-FR"/>
              <w14:ligatures w14:val="standardContextual"/>
            </w:rPr>
          </w:pPr>
          <w:hyperlink w:anchor="_Toc212918511" w:history="1">
            <w:r w:rsidRPr="00FC08A7">
              <w:rPr>
                <w:rStyle w:val="Lienhypertexte"/>
                <w:noProof/>
              </w:rPr>
              <w:t>Milieu isotrope</w:t>
            </w:r>
            <w:r>
              <w:rPr>
                <w:noProof/>
                <w:webHidden/>
              </w:rPr>
              <w:tab/>
            </w:r>
            <w:r>
              <w:rPr>
                <w:noProof/>
                <w:webHidden/>
              </w:rPr>
              <w:fldChar w:fldCharType="begin"/>
            </w:r>
            <w:r>
              <w:rPr>
                <w:noProof/>
                <w:webHidden/>
              </w:rPr>
              <w:instrText xml:space="preserve"> PAGEREF _Toc212918511 \h </w:instrText>
            </w:r>
            <w:r>
              <w:rPr>
                <w:noProof/>
                <w:webHidden/>
              </w:rPr>
            </w:r>
            <w:r>
              <w:rPr>
                <w:noProof/>
                <w:webHidden/>
              </w:rPr>
              <w:fldChar w:fldCharType="separate"/>
            </w:r>
            <w:r>
              <w:rPr>
                <w:noProof/>
                <w:webHidden/>
              </w:rPr>
              <w:t>5</w:t>
            </w:r>
            <w:r>
              <w:rPr>
                <w:noProof/>
                <w:webHidden/>
              </w:rPr>
              <w:fldChar w:fldCharType="end"/>
            </w:r>
          </w:hyperlink>
        </w:p>
        <w:p w14:paraId="55845F3C" w14:textId="1AE2F732" w:rsidR="00207B1E" w:rsidRDefault="00207B1E">
          <w:pPr>
            <w:pStyle w:val="TM1"/>
            <w:tabs>
              <w:tab w:val="right" w:leader="dot" w:pos="9062"/>
            </w:tabs>
            <w:rPr>
              <w:rFonts w:eastAsiaTheme="minorEastAsia"/>
              <w:noProof/>
              <w:kern w:val="2"/>
              <w:sz w:val="24"/>
              <w:szCs w:val="24"/>
              <w:lang w:eastAsia="fr-FR"/>
              <w14:ligatures w14:val="standardContextual"/>
            </w:rPr>
          </w:pPr>
          <w:hyperlink w:anchor="_Toc212918512" w:history="1">
            <w:r w:rsidRPr="00FC08A7">
              <w:rPr>
                <w:rStyle w:val="Lienhypertexte"/>
                <w:noProof/>
              </w:rPr>
              <w:t>Milieu anisotrope</w:t>
            </w:r>
            <w:r>
              <w:rPr>
                <w:noProof/>
                <w:webHidden/>
              </w:rPr>
              <w:tab/>
            </w:r>
            <w:r>
              <w:rPr>
                <w:noProof/>
                <w:webHidden/>
              </w:rPr>
              <w:fldChar w:fldCharType="begin"/>
            </w:r>
            <w:r>
              <w:rPr>
                <w:noProof/>
                <w:webHidden/>
              </w:rPr>
              <w:instrText xml:space="preserve"> PAGEREF _Toc212918512 \h </w:instrText>
            </w:r>
            <w:r>
              <w:rPr>
                <w:noProof/>
                <w:webHidden/>
              </w:rPr>
            </w:r>
            <w:r>
              <w:rPr>
                <w:noProof/>
                <w:webHidden/>
              </w:rPr>
              <w:fldChar w:fldCharType="separate"/>
            </w:r>
            <w:r>
              <w:rPr>
                <w:noProof/>
                <w:webHidden/>
              </w:rPr>
              <w:t>6</w:t>
            </w:r>
            <w:r>
              <w:rPr>
                <w:noProof/>
                <w:webHidden/>
              </w:rPr>
              <w:fldChar w:fldCharType="end"/>
            </w:r>
          </w:hyperlink>
        </w:p>
        <w:p w14:paraId="73735383" w14:textId="52466DBE"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6EE9B808" w14:textId="2E98CA63" w:rsidR="00435AEE" w:rsidRDefault="00CF48DF" w:rsidP="00435AEE">
      <w:pPr>
        <w:pStyle w:val="Titre1"/>
        <w:rPr>
          <w:bCs/>
        </w:rPr>
      </w:pPr>
      <w:bookmarkStart w:id="0" w:name="_Toc212918505"/>
      <w:r>
        <w:rPr>
          <w:bCs/>
        </w:rPr>
        <w:lastRenderedPageBreak/>
        <w:t>Introduction</w:t>
      </w:r>
      <w:bookmarkEnd w:id="0"/>
    </w:p>
    <w:p w14:paraId="3EF9E766" w14:textId="59EF9613" w:rsidR="00207B1E" w:rsidRDefault="00207B1E" w:rsidP="00207B1E">
      <w:r>
        <w:t xml:space="preserve">Les lois de Snell-Descartes décrivent le comportement de la lumière à l'interface de deux milieux. Ces lois sont au nombre de quatre, deux pour la réflexion et deux pour la réfraction. Avec la propagation rectiligne de la lumière dans les milieux homogènes et isotropes, ces lois sont à la base de l'optique géométrique. Leur nom fait référence à </w:t>
      </w:r>
      <w:proofErr w:type="spellStart"/>
      <w:r>
        <w:t>Willebrord</w:t>
      </w:r>
      <w:proofErr w:type="spellEnd"/>
      <w:r>
        <w:t xml:space="preserve"> Snell et René Descartes qui ont simultanément, mais indépendamment, découvert ces lois au XVIIe siècle.</w:t>
      </w:r>
    </w:p>
    <w:p w14:paraId="48EF7050" w14:textId="142EF76B" w:rsidR="00207B1E" w:rsidRDefault="00207B1E" w:rsidP="00207B1E">
      <w:r>
        <w:t xml:space="preserve">Le profil </w:t>
      </w:r>
      <w:proofErr w:type="spellStart"/>
      <w:r>
        <w:t>célérimétrique</w:t>
      </w:r>
      <w:proofErr w:type="spellEnd"/>
      <w:r>
        <w:t xml:space="preserve"> et les lois de Snell déterminent la trajectoire des rayons dans l'eau. Les mêmes lois permettent de déterminer la courbure idéale de la cornée d'un œil dans l'atmosphère ou dans le milieu aquatique. Une de ces lois explique aussi le rapport mathématique simple qui existe entre l'angle d'incidence d'un rayon lumineux et son angle réfracté par l'eau ou encore le phénomène dit fenêtre de Snell.</w:t>
      </w:r>
    </w:p>
    <w:p w14:paraId="085F6F7B" w14:textId="77777777" w:rsidR="00207B1E" w:rsidRDefault="00207B1E" w:rsidP="00207B1E"/>
    <w:p w14:paraId="6D585A1E" w14:textId="22832ABF" w:rsidR="00207B1E" w:rsidRPr="00207B1E" w:rsidRDefault="00207B1E" w:rsidP="00207B1E">
      <w:pPr>
        <w:pStyle w:val="Titre1"/>
      </w:pPr>
      <w:bookmarkStart w:id="1" w:name="_Toc212918506"/>
      <w:r w:rsidRPr="00207B1E">
        <w:t>Lois de Snell-Descartes pour la réflexion</w:t>
      </w:r>
      <w:bookmarkEnd w:id="1"/>
    </w:p>
    <w:p w14:paraId="43BA8855" w14:textId="1D0BAAAB" w:rsidR="00207B1E" w:rsidRPr="00207B1E" w:rsidRDefault="00207B1E" w:rsidP="00207B1E">
      <w:r w:rsidRPr="00207B1E">
        <w:drawing>
          <wp:anchor distT="0" distB="0" distL="114300" distR="114300" simplePos="0" relativeHeight="251664384" behindDoc="0" locked="0" layoutInCell="1" allowOverlap="1" wp14:anchorId="7FAAA9C0" wp14:editId="639F2E52">
            <wp:simplePos x="0" y="0"/>
            <wp:positionH relativeFrom="margin">
              <wp:align>right</wp:align>
            </wp:positionH>
            <wp:positionV relativeFrom="paragraph">
              <wp:posOffset>48260</wp:posOffset>
            </wp:positionV>
            <wp:extent cx="2857500" cy="1859280"/>
            <wp:effectExtent l="0" t="0" r="0" b="7620"/>
            <wp:wrapSquare wrapText="bothSides"/>
            <wp:docPr id="648392369" name="Image 2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859280"/>
                    </a:xfrm>
                    <a:prstGeom prst="rect">
                      <a:avLst/>
                    </a:prstGeom>
                    <a:noFill/>
                    <a:ln>
                      <a:noFill/>
                    </a:ln>
                  </pic:spPr>
                </pic:pic>
              </a:graphicData>
            </a:graphic>
          </wp:anchor>
        </w:drawing>
      </w:r>
      <w:r w:rsidRPr="00207B1E">
        <w:t>Le </w:t>
      </w:r>
      <w:hyperlink r:id="rId9" w:tooltip="Rayon lumineux" w:history="1">
        <w:r w:rsidRPr="00207B1E">
          <w:t>rayon lumineux</w:t>
        </w:r>
      </w:hyperlink>
      <w:r w:rsidRPr="00207B1E">
        <w:t> est dit incident avant d'avoir rencontré la surface réfléchissante, il est dit réfléchi après.</w:t>
      </w:r>
    </w:p>
    <w:p w14:paraId="660CEFBB" w14:textId="77777777" w:rsidR="00207B1E" w:rsidRPr="00207B1E" w:rsidRDefault="00207B1E" w:rsidP="00207B1E">
      <w:r w:rsidRPr="00207B1E">
        <w:t>Le point de rencontre du rayon incident et de la surface réfléchissante est appelé point d'incidence.</w:t>
      </w:r>
    </w:p>
    <w:p w14:paraId="1955C462" w14:textId="77777777" w:rsidR="00207B1E" w:rsidRPr="00207B1E" w:rsidRDefault="00207B1E" w:rsidP="00207B1E">
      <w:r w:rsidRPr="00207B1E">
        <w:t>La droite orthogonale à la surface réfléchissante au point d'incidence est appelée normale (à la surface réfléchissante).</w:t>
      </w:r>
    </w:p>
    <w:p w14:paraId="0A5BA937" w14:textId="77777777" w:rsidR="00207B1E" w:rsidRPr="00207B1E" w:rsidRDefault="00207B1E" w:rsidP="00207B1E">
      <w:r w:rsidRPr="00207B1E">
        <w:t>Le plan contenant le rayon incident et la normale à la surface réfléchissante au point d'incidence est dit </w:t>
      </w:r>
      <w:hyperlink r:id="rId10" w:tooltip="Plan d'incidence" w:history="1">
        <w:r w:rsidRPr="00207B1E">
          <w:t>plan d'incidence</w:t>
        </w:r>
      </w:hyperlink>
      <w:r w:rsidRPr="00207B1E">
        <w:t>.</w:t>
      </w:r>
    </w:p>
    <w:p w14:paraId="79774CA3" w14:textId="77777777" w:rsidR="00207B1E" w:rsidRPr="00207B1E" w:rsidRDefault="00207B1E" w:rsidP="00207B1E">
      <w:r w:rsidRPr="00207B1E">
        <w:t>L'</w:t>
      </w:r>
      <w:hyperlink r:id="rId11" w:tooltip="Angle orienté" w:history="1">
        <w:r w:rsidRPr="00207B1E">
          <w:t>angle orienté</w:t>
        </w:r>
      </w:hyperlink>
      <w:r w:rsidRPr="00207B1E">
        <w:t> θ1 pris entre la normale au point d'incidence et le rayon incident est dit </w:t>
      </w:r>
      <w:hyperlink r:id="rId12" w:tooltip="Angle d'incidence (optique)" w:history="1">
        <w:r w:rsidRPr="00207B1E">
          <w:t>angle d'incidence</w:t>
        </w:r>
      </w:hyperlink>
      <w:r w:rsidRPr="00207B1E">
        <w:t>.</w:t>
      </w:r>
    </w:p>
    <w:p w14:paraId="70C4091D" w14:textId="77777777" w:rsidR="00207B1E" w:rsidRPr="00207B1E" w:rsidRDefault="00207B1E" w:rsidP="00207B1E">
      <w:r w:rsidRPr="00207B1E">
        <w:t>L'angle orienté θ2 pris entre la normale au point d'incidence et le rayon réfléchi est dit angle de réflexion.</w:t>
      </w:r>
    </w:p>
    <w:p w14:paraId="2B9EA023" w14:textId="77777777" w:rsidR="00207B1E" w:rsidRPr="00207B1E" w:rsidRDefault="00207B1E" w:rsidP="00207B1E">
      <w:r w:rsidRPr="00207B1E">
        <w:t>Les angles θ1 et θ2 sont positifs si orientés dans le </w:t>
      </w:r>
      <w:hyperlink r:id="rId13" w:anchor="Terminologie" w:tooltip="Sens de rotation" w:history="1">
        <w:r w:rsidRPr="00207B1E">
          <w:t>sens trigonométrique</w:t>
        </w:r>
      </w:hyperlink>
      <w:r w:rsidRPr="00207B1E">
        <w:t>, négatifs sinon. Attention : certains auteurs utilisent d'autres conventions.</w:t>
      </w:r>
    </w:p>
    <w:p w14:paraId="7F722944" w14:textId="77777777" w:rsidR="00207B1E" w:rsidRPr="00207B1E" w:rsidRDefault="00207B1E" w:rsidP="00207B1E">
      <w:r w:rsidRPr="00207B1E">
        <w:t>Les lois de la réflexion s'énoncent ainsi :</w:t>
      </w:r>
    </w:p>
    <w:p w14:paraId="59A60BA4" w14:textId="77777777" w:rsidR="00207B1E" w:rsidRPr="00207B1E" w:rsidRDefault="00207B1E" w:rsidP="00207B1E">
      <w:pPr>
        <w:numPr>
          <w:ilvl w:val="0"/>
          <w:numId w:val="72"/>
        </w:numPr>
      </w:pPr>
      <w:proofErr w:type="gramStart"/>
      <w:r w:rsidRPr="00207B1E">
        <w:t>le</w:t>
      </w:r>
      <w:proofErr w:type="gramEnd"/>
      <w:r w:rsidRPr="00207B1E">
        <w:t xml:space="preserve"> rayon réfléchi, le rayon incident et la normale (au dioptre) sont contenus dans le plan d'incidence ;</w:t>
      </w:r>
    </w:p>
    <w:p w14:paraId="521968D2" w14:textId="77777777" w:rsidR="00207B1E" w:rsidRPr="00207B1E" w:rsidRDefault="00207B1E" w:rsidP="00207B1E">
      <w:pPr>
        <w:numPr>
          <w:ilvl w:val="0"/>
          <w:numId w:val="72"/>
        </w:numPr>
      </w:pPr>
      <w:proofErr w:type="gramStart"/>
      <w:r w:rsidRPr="00207B1E">
        <w:t>les</w:t>
      </w:r>
      <w:proofErr w:type="gramEnd"/>
      <w:r w:rsidRPr="00207B1E">
        <w:t xml:space="preserve"> angles incidents et réfléchis sont égaux en valeurs absolues ; </w:t>
      </w:r>
      <w:r w:rsidRPr="00207B1E">
        <w:rPr>
          <w:i/>
          <w:iCs/>
        </w:rPr>
        <w:t>θ</w:t>
      </w:r>
      <w:r w:rsidRPr="00207B1E">
        <w:rPr>
          <w:vertAlign w:val="subscript"/>
        </w:rPr>
        <w:t>1</w:t>
      </w:r>
      <w:r w:rsidRPr="00207B1E">
        <w:t> et </w:t>
      </w:r>
      <w:r w:rsidRPr="00207B1E">
        <w:rPr>
          <w:i/>
          <w:iCs/>
        </w:rPr>
        <w:t>θ</w:t>
      </w:r>
      <w:r w:rsidRPr="00207B1E">
        <w:rPr>
          <w:vertAlign w:val="subscript"/>
        </w:rPr>
        <w:t>2</w:t>
      </w:r>
      <w:r w:rsidRPr="00207B1E">
        <w:t> vérifient : </w:t>
      </w:r>
      <w:r w:rsidRPr="00207B1E">
        <w:rPr>
          <w:i/>
          <w:iCs/>
        </w:rPr>
        <w:t>θ</w:t>
      </w:r>
      <w:r w:rsidRPr="00207B1E">
        <w:rPr>
          <w:vertAlign w:val="subscript"/>
        </w:rPr>
        <w:t>2</w:t>
      </w:r>
      <w:r w:rsidRPr="00207B1E">
        <w:t> = - </w:t>
      </w:r>
      <w:r w:rsidRPr="00207B1E">
        <w:rPr>
          <w:i/>
          <w:iCs/>
        </w:rPr>
        <w:t>θ</w:t>
      </w:r>
      <w:r w:rsidRPr="00207B1E">
        <w:rPr>
          <w:vertAlign w:val="subscript"/>
        </w:rPr>
        <w:t>1</w:t>
      </w:r>
      <w:r w:rsidRPr="00207B1E">
        <w:t>.</w:t>
      </w:r>
    </w:p>
    <w:p w14:paraId="6875AE3F" w14:textId="6EA16351" w:rsidR="00207B1E" w:rsidRDefault="00207B1E" w:rsidP="00207B1E">
      <w:pPr>
        <w:rPr>
          <w:b/>
          <w:bCs/>
        </w:rPr>
      </w:pPr>
    </w:p>
    <w:p w14:paraId="33D71CC0" w14:textId="7F27E262" w:rsidR="00207B1E" w:rsidRPr="00207B1E" w:rsidRDefault="00207B1E" w:rsidP="00207B1E">
      <w:pPr>
        <w:pStyle w:val="Titre1"/>
      </w:pPr>
      <w:bookmarkStart w:id="2" w:name="_Toc212918507"/>
      <w:r w:rsidRPr="00207B1E">
        <w:lastRenderedPageBreak/>
        <w:t>Lois de Snell-Descartes pour la réfraction</w:t>
      </w:r>
      <w:bookmarkEnd w:id="2"/>
    </w:p>
    <w:p w14:paraId="19C08DBE" w14:textId="6F42FB4C" w:rsidR="00207B1E" w:rsidRPr="00207B1E" w:rsidRDefault="00207B1E" w:rsidP="00207B1E">
      <w:r w:rsidRPr="00207B1E">
        <w:drawing>
          <wp:anchor distT="0" distB="0" distL="114300" distR="114300" simplePos="0" relativeHeight="251663360" behindDoc="0" locked="0" layoutInCell="1" allowOverlap="1" wp14:anchorId="513F1BF7" wp14:editId="70906A18">
            <wp:simplePos x="0" y="0"/>
            <wp:positionH relativeFrom="margin">
              <wp:posOffset>3449320</wp:posOffset>
            </wp:positionH>
            <wp:positionV relativeFrom="paragraph">
              <wp:posOffset>3810</wp:posOffset>
            </wp:positionV>
            <wp:extent cx="2302510" cy="1722120"/>
            <wp:effectExtent l="0" t="0" r="2540" b="0"/>
            <wp:wrapSquare wrapText="bothSides"/>
            <wp:docPr id="8245048" name="Image 2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31094" t="10087" r="13681" b="20140"/>
                    <a:stretch>
                      <a:fillRect/>
                    </a:stretch>
                  </pic:blipFill>
                  <pic:spPr bwMode="auto">
                    <a:xfrm>
                      <a:off x="0" y="0"/>
                      <a:ext cx="2302510" cy="1722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28B4CD14" wp14:editId="5D2373BF">
                <wp:simplePos x="0" y="0"/>
                <wp:positionH relativeFrom="column">
                  <wp:posOffset>3379470</wp:posOffset>
                </wp:positionH>
                <wp:positionV relativeFrom="paragraph">
                  <wp:posOffset>5477510</wp:posOffset>
                </wp:positionV>
                <wp:extent cx="2377440" cy="635"/>
                <wp:effectExtent l="0" t="0" r="0" b="0"/>
                <wp:wrapSquare wrapText="bothSides"/>
                <wp:docPr id="852739256" name="Zone de texte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5562341F" w14:textId="70D3E905" w:rsidR="00207B1E" w:rsidRPr="000740B6" w:rsidRDefault="00207B1E" w:rsidP="00207B1E">
                            <w:pPr>
                              <w:pStyle w:val="Lgende"/>
                              <w:rPr>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486A36">
                              <w:t>Au-delà d'une certaine inclinaison, les rayons ne franchissent plus le dioptre : ils sont réfléchis. C'est ce qui explique l'effet miroir qui apparait hors de la fenêtre de Snell.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B4CD14" id="_x0000_t202" coordsize="21600,21600" o:spt="202" path="m,l,21600r21600,l21600,xe">
                <v:stroke joinstyle="miter"/>
                <v:path gradientshapeok="t" o:connecttype="rect"/>
              </v:shapetype>
              <v:shape id="Zone de texte 1" o:spid="_x0000_s1026" type="#_x0000_t202" style="position:absolute;left:0;text-align:left;margin-left:266.1pt;margin-top:431.3pt;width:187.2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l/FgIAADgEAAAOAAAAZHJzL2Uyb0RvYy54bWysU8Fu2zAMvQ/YPwi6L07Srh2M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86vb2+ppSknI3Vx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" stroked="f">
                <v:textbox style="mso-fit-shape-to-text:t" inset="0,0,0,0">
                  <w:txbxContent>
                    <w:p w14:paraId="5562341F" w14:textId="70D3E905" w:rsidR="00207B1E" w:rsidRPr="000740B6" w:rsidRDefault="00207B1E" w:rsidP="00207B1E">
                      <w:pPr>
                        <w:pStyle w:val="Lgende"/>
                        <w:rPr>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486A36">
                        <w:t>Au-delà d'une certaine inclinaison, les rayons ne franchissent plus le dioptre : ils sont réfléchis. C'est ce qui explique l'effet miroir qui apparait hors de la fenêtre de Snell.</w:t>
                      </w:r>
                    </w:p>
                  </w:txbxContent>
                </v:textbox>
                <w10:wrap type="square"/>
              </v:shape>
            </w:pict>
          </mc:Fallback>
        </mc:AlternateContent>
      </w:r>
      <w:proofErr w:type="gramStart"/>
      <w:r w:rsidRPr="00207B1E">
        <w:t>.Les</w:t>
      </w:r>
      <w:proofErr w:type="gramEnd"/>
      <w:r w:rsidRPr="00207B1E">
        <w:t xml:space="preserve"> lois de Snell-Descartes de la réfraction expriment le changement de direction d'un faisceau lumineux lors de la traversée d'une paroi, séparant deux milieux différents. Chaque milieu est caractérisé par sa capacité à « ralentir » la lumière, modélisée par son </w:t>
      </w:r>
      <w:hyperlink r:id="rId16" w:tooltip="Indice de réfraction" w:history="1">
        <w:r w:rsidRPr="00207B1E">
          <w:t>indice de réfraction</w:t>
        </w:r>
      </w:hyperlink>
      <w:r w:rsidRPr="00207B1E">
        <w:t> n qui s'exprime sous la forme :</w:t>
      </w:r>
      <w:r w:rsidRPr="00207B1E">
        <w:br/>
      </w:r>
      <m:oMathPara>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v</m:t>
              </m:r>
            </m:den>
          </m:f>
        </m:oMath>
      </m:oMathPara>
    </w:p>
    <w:p w14:paraId="0F41E7F6" w14:textId="5838E546" w:rsidR="00207B1E" w:rsidRPr="00207B1E" w:rsidRDefault="00207B1E" w:rsidP="00207B1E">
      <w:proofErr w:type="gramStart"/>
      <w:r w:rsidRPr="00207B1E">
        <w:t>où</w:t>
      </w:r>
      <w:proofErr w:type="gramEnd"/>
      <w:r w:rsidRPr="00207B1E">
        <w:t> :</w:t>
      </w:r>
    </w:p>
    <w:p w14:paraId="6E6C7D57" w14:textId="06883FCC" w:rsidR="00207B1E" w:rsidRPr="00207B1E" w:rsidRDefault="00207B1E" w:rsidP="00207B1E">
      <w:pPr>
        <w:numPr>
          <w:ilvl w:val="0"/>
          <w:numId w:val="73"/>
        </w:numPr>
      </w:pPr>
      <w:proofErr w:type="gramStart"/>
      <w:r w:rsidRPr="00207B1E">
        <w:t>v</w:t>
      </w:r>
      <w:proofErr w:type="gramEnd"/>
      <w:r w:rsidRPr="00207B1E">
        <w:t> est la vitesse de la lumière dans ce milieu ;</w:t>
      </w:r>
    </w:p>
    <w:p w14:paraId="53115C8E" w14:textId="3A0C29B1" w:rsidR="00207B1E" w:rsidRPr="00207B1E" w:rsidRDefault="00207B1E" w:rsidP="00207B1E">
      <w:pPr>
        <w:numPr>
          <w:ilvl w:val="0"/>
          <w:numId w:val="73"/>
        </w:numPr>
      </w:pPr>
      <w:proofErr w:type="spellStart"/>
      <w:proofErr w:type="gramStart"/>
      <w:r w:rsidRPr="00207B1E">
        <w:t>c</w:t>
      </w:r>
      <w:proofErr w:type="gramEnd"/>
      <w:r w:rsidRPr="00207B1E">
        <w:t> est</w:t>
      </w:r>
      <w:proofErr w:type="spellEnd"/>
      <w:r w:rsidRPr="00207B1E">
        <w:t xml:space="preserve"> la vitesse de la lumière dans le vide.</w:t>
      </w:r>
    </w:p>
    <w:p w14:paraId="5C18876E" w14:textId="17DAC6A4" w:rsidR="00207B1E" w:rsidRPr="00207B1E" w:rsidRDefault="00207B1E" w:rsidP="00207B1E">
      <w:r w:rsidRPr="00207B1E">
        <w:drawing>
          <wp:anchor distT="0" distB="0" distL="114300" distR="114300" simplePos="0" relativeHeight="251660288" behindDoc="0" locked="0" layoutInCell="1" allowOverlap="1" wp14:anchorId="7D20BE40" wp14:editId="3F0343E4">
            <wp:simplePos x="0" y="0"/>
            <wp:positionH relativeFrom="margin">
              <wp:align>right</wp:align>
            </wp:positionH>
            <wp:positionV relativeFrom="paragraph">
              <wp:posOffset>3810</wp:posOffset>
            </wp:positionV>
            <wp:extent cx="2377440" cy="2324100"/>
            <wp:effectExtent l="0" t="0" r="3810" b="0"/>
            <wp:wrapSquare wrapText="bothSides"/>
            <wp:docPr id="474050653" name="Image 2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7440" cy="2324100"/>
                    </a:xfrm>
                    <a:prstGeom prst="rect">
                      <a:avLst/>
                    </a:prstGeom>
                    <a:noFill/>
                    <a:ln>
                      <a:noFill/>
                    </a:ln>
                  </pic:spPr>
                </pic:pic>
              </a:graphicData>
            </a:graphic>
          </wp:anchor>
        </w:drawing>
      </w:r>
      <w:r w:rsidRPr="00207B1E">
        <w:t>Le </w:t>
      </w:r>
      <w:hyperlink r:id="rId19" w:tooltip="Rayon lumineux" w:history="1">
        <w:r w:rsidRPr="00207B1E">
          <w:t>rayon lumineux</w:t>
        </w:r>
      </w:hyperlink>
      <w:r w:rsidRPr="00207B1E">
        <w:t xml:space="preserve"> est dit incident avant d'avoir rencontré la surface </w:t>
      </w:r>
      <w:proofErr w:type="spellStart"/>
      <w:r w:rsidRPr="00207B1E">
        <w:t>réfractante</w:t>
      </w:r>
      <w:proofErr w:type="spellEnd"/>
      <w:r w:rsidRPr="00207B1E">
        <w:t xml:space="preserve"> (appelée dioptre), il est dit réfracté après.</w:t>
      </w:r>
    </w:p>
    <w:p w14:paraId="34106A9E" w14:textId="77777777" w:rsidR="00207B1E" w:rsidRPr="00207B1E" w:rsidRDefault="00207B1E" w:rsidP="00207B1E">
      <w:r w:rsidRPr="00207B1E">
        <w:t>Le point de rencontre du rayon incident et du dioptre est appelé point d'incidence.</w:t>
      </w:r>
    </w:p>
    <w:p w14:paraId="74D6F933" w14:textId="77777777" w:rsidR="00207B1E" w:rsidRPr="00207B1E" w:rsidRDefault="00207B1E" w:rsidP="00207B1E">
      <w:r w:rsidRPr="00207B1E">
        <w:t>Le plan contenant le rayon incident et la normale au dioptre, au point d'incidence est dit </w:t>
      </w:r>
      <w:hyperlink r:id="rId20" w:tooltip="Plan d'incidence" w:history="1">
        <w:r w:rsidRPr="00207B1E">
          <w:t>plan d'incidence</w:t>
        </w:r>
      </w:hyperlink>
      <w:r w:rsidRPr="00207B1E">
        <w:t>.</w:t>
      </w:r>
    </w:p>
    <w:p w14:paraId="76231681" w14:textId="77777777" w:rsidR="00207B1E" w:rsidRPr="00207B1E" w:rsidRDefault="00207B1E" w:rsidP="00207B1E">
      <w:r w:rsidRPr="00207B1E">
        <w:t>L'angle orienté θ1 pris entre la normale au point d'incidence et le rayon incident est dit angle d'incidence.</w:t>
      </w:r>
    </w:p>
    <w:p w14:paraId="3B23522B" w14:textId="77777777" w:rsidR="00207B1E" w:rsidRPr="00207B1E" w:rsidRDefault="00207B1E" w:rsidP="00207B1E">
      <w:r w:rsidRPr="00207B1E">
        <w:t>L'angle orienté θ2 pris entre la normale au point d'incidence et le rayon réfracté est dit angle de réfraction.</w:t>
      </w:r>
    </w:p>
    <w:p w14:paraId="55140679" w14:textId="77777777" w:rsidR="00207B1E" w:rsidRPr="00207B1E" w:rsidRDefault="00207B1E" w:rsidP="00207B1E">
      <w:r w:rsidRPr="00207B1E">
        <w:t>Les angles θ1 et θ2 sont positifs si orientés dans le sens trigonométrique, négatifs sinon.</w:t>
      </w:r>
    </w:p>
    <w:p w14:paraId="7C493B67" w14:textId="77777777" w:rsidR="00207B1E" w:rsidRPr="00207B1E" w:rsidRDefault="00207B1E" w:rsidP="00207B1E">
      <w:r w:rsidRPr="00207B1E">
        <w:t>Soit n1 l'indice de réfraction du milieu dans lequel se propage le rayon incident et n2 celui du milieu dans lequel se propage le rayon réfracté.</w:t>
      </w:r>
    </w:p>
    <w:p w14:paraId="2078CA64" w14:textId="77777777" w:rsidR="00207B1E" w:rsidRPr="00207B1E" w:rsidRDefault="00207B1E" w:rsidP="00207B1E">
      <w:r w:rsidRPr="00207B1E">
        <w:t>Les lois de la </w:t>
      </w:r>
      <w:hyperlink r:id="rId21" w:tooltip="Réfraction" w:history="1">
        <w:r w:rsidRPr="00207B1E">
          <w:t>réfraction</w:t>
        </w:r>
      </w:hyperlink>
      <w:r w:rsidRPr="00207B1E">
        <w:t> s'énoncent ainsi :</w:t>
      </w:r>
    </w:p>
    <w:p w14:paraId="54F92E6D" w14:textId="77777777" w:rsidR="00207B1E" w:rsidRPr="00207B1E" w:rsidRDefault="00207B1E" w:rsidP="00207B1E">
      <w:pPr>
        <w:numPr>
          <w:ilvl w:val="0"/>
          <w:numId w:val="74"/>
        </w:numPr>
      </w:pPr>
      <w:proofErr w:type="gramStart"/>
      <w:r w:rsidRPr="00207B1E">
        <w:t>le</w:t>
      </w:r>
      <w:proofErr w:type="gramEnd"/>
      <w:r w:rsidRPr="00207B1E">
        <w:t xml:space="preserve"> rayon réfracté, le rayon incident et la normale (au dioptre) sont dans un même plan, le plan d'incidence ;</w:t>
      </w:r>
    </w:p>
    <w:p w14:paraId="7676EC1A" w14:textId="77777777" w:rsidR="00207B1E" w:rsidRPr="00207B1E" w:rsidRDefault="00207B1E" w:rsidP="00207B1E">
      <w:pPr>
        <w:numPr>
          <w:ilvl w:val="0"/>
          <w:numId w:val="74"/>
        </w:numPr>
      </w:pPr>
      <w:proofErr w:type="gramStart"/>
      <w:r w:rsidRPr="00207B1E">
        <w:t>la</w:t>
      </w:r>
      <w:proofErr w:type="gramEnd"/>
      <w:r w:rsidRPr="00207B1E">
        <w:t xml:space="preserve"> relation liant les indices de réfraction </w:t>
      </w:r>
      <w:r w:rsidRPr="00207B1E">
        <w:rPr>
          <w:i/>
          <w:iCs/>
        </w:rPr>
        <w:t>n</w:t>
      </w:r>
      <w:r w:rsidRPr="00207B1E">
        <w:rPr>
          <w:vertAlign w:val="subscript"/>
        </w:rPr>
        <w:t>1</w:t>
      </w:r>
      <w:r w:rsidRPr="00207B1E">
        <w:t> et </w:t>
      </w:r>
      <w:r w:rsidRPr="00207B1E">
        <w:rPr>
          <w:i/>
          <w:iCs/>
        </w:rPr>
        <w:t>n</w:t>
      </w:r>
      <w:r w:rsidRPr="00207B1E">
        <w:rPr>
          <w:vertAlign w:val="subscript"/>
        </w:rPr>
        <w:t>2</w:t>
      </w:r>
      <w:r w:rsidRPr="00207B1E">
        <w:t> de chacun des milieux et les angles incident </w:t>
      </w:r>
      <w:r w:rsidRPr="00207B1E">
        <w:rPr>
          <w:i/>
          <w:iCs/>
        </w:rPr>
        <w:t>θ</w:t>
      </w:r>
      <w:r w:rsidRPr="00207B1E">
        <w:rPr>
          <w:vertAlign w:val="subscript"/>
        </w:rPr>
        <w:t>1</w:t>
      </w:r>
      <w:r w:rsidRPr="00207B1E">
        <w:t> et réfracté </w:t>
      </w:r>
      <w:r w:rsidRPr="00207B1E">
        <w:rPr>
          <w:i/>
          <w:iCs/>
        </w:rPr>
        <w:t>θ</w:t>
      </w:r>
      <w:r w:rsidRPr="00207B1E">
        <w:rPr>
          <w:vertAlign w:val="subscript"/>
        </w:rPr>
        <w:t>2</w:t>
      </w:r>
      <w:r w:rsidRPr="00207B1E">
        <w:t>, appelée relation de Snell-Descartes, s'écrit :</w:t>
      </w:r>
    </w:p>
    <w:p w14:paraId="4B4C9FD9" w14:textId="0377A424" w:rsidR="00207B1E" w:rsidRPr="00207B1E" w:rsidRDefault="00207B1E" w:rsidP="00207B1E">
      <m:oMathPara>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m:oMathPara>
    </w:p>
    <w:p w14:paraId="559D3227" w14:textId="77777777" w:rsidR="00207B1E" w:rsidRPr="00207B1E" w:rsidRDefault="00207B1E" w:rsidP="00207B1E">
      <w:r w:rsidRPr="00207B1E">
        <w:t>Pour n1 &gt; n2 (et respectivement n1 &lt; n2) le rayon réfracté (ou incident) se rapproche plus rapidement du </w:t>
      </w:r>
      <w:hyperlink r:id="rId22" w:tooltip="Dioptre" w:history="1">
        <w:r w:rsidRPr="00207B1E">
          <w:t>dioptre</w:t>
        </w:r>
      </w:hyperlink>
      <w:r w:rsidRPr="00207B1E">
        <w:t> que le rayon incident (ou réfracté). Quand le rayon réfracté (ou incident) se retrouve mathématiquement sur le dioptre (sa limite) il y a alors </w:t>
      </w:r>
      <w:hyperlink r:id="rId23" w:tooltip="Réflexion totale" w:history="1">
        <w:r w:rsidRPr="00207B1E">
          <w:t>réflexion totale</w:t>
        </w:r>
      </w:hyperlink>
      <w:r w:rsidRPr="00207B1E">
        <w:t>.</w:t>
      </w:r>
    </w:p>
    <w:p w14:paraId="0A99F8B5" w14:textId="77777777" w:rsidR="00207B1E" w:rsidRPr="00207B1E" w:rsidRDefault="00207B1E" w:rsidP="00207B1E">
      <w:r w:rsidRPr="00207B1E">
        <w:t>Les lois empiriques de la réflexion et de la réfraction peuvent être interprétées par différents modèles : modèle ondulatoire de Huygens (</w:t>
      </w:r>
      <w:hyperlink r:id="rId24" w:tooltip="Principe de Huygens-Fresnel" w:history="1">
        <w:r w:rsidRPr="00207B1E">
          <w:t>principe de Huygens-Fresnel</w:t>
        </w:r>
      </w:hyperlink>
      <w:r w:rsidRPr="00207B1E">
        <w:t>), modèle de moindre action de Fermat (</w:t>
      </w:r>
      <w:hyperlink r:id="rId25" w:tooltip="Principe de Fermat" w:history="1">
        <w:r w:rsidRPr="00207B1E">
          <w:t>principe de Fermat</w:t>
        </w:r>
      </w:hyperlink>
      <w:r w:rsidRPr="00207B1E">
        <w:t>), modèle de l'</w:t>
      </w:r>
      <w:hyperlink r:id="rId26" w:tooltip="Onde électromagnétique" w:history="1">
        <w:r w:rsidRPr="00207B1E">
          <w:t>onde électromagnétique</w:t>
        </w:r>
      </w:hyperlink>
      <w:r w:rsidRPr="00207B1E">
        <w:t> de Maxwell.</w:t>
      </w:r>
    </w:p>
    <w:p w14:paraId="4FE6F8DE" w14:textId="77777777" w:rsidR="00207B1E" w:rsidRPr="00207B1E" w:rsidRDefault="00207B1E" w:rsidP="00207B1E">
      <w:r w:rsidRPr="00207B1E">
        <w:lastRenderedPageBreak/>
        <w:t>Les lois de Snell-Descartes sont également utilisées dans la réflexion des ultrasons.</w:t>
      </w:r>
    </w:p>
    <w:p w14:paraId="6BF966F4" w14:textId="77777777" w:rsidR="00207B1E" w:rsidRDefault="00207B1E" w:rsidP="00207B1E"/>
    <w:p w14:paraId="0CBF9A97" w14:textId="77777777" w:rsidR="00207B1E" w:rsidRPr="00207B1E" w:rsidRDefault="00207B1E" w:rsidP="00207B1E">
      <w:pPr>
        <w:pStyle w:val="Titre1"/>
      </w:pPr>
      <w:bookmarkStart w:id="3" w:name="_Toc212918508"/>
      <w:r w:rsidRPr="00207B1E">
        <w:t>Forme vectorielle des lois de Snell-Descartes</w:t>
      </w:r>
      <w:bookmarkEnd w:id="3"/>
    </w:p>
    <w:p w14:paraId="2D9A52FF" w14:textId="77777777" w:rsidR="00207B1E" w:rsidRPr="00207B1E" w:rsidRDefault="00207B1E" w:rsidP="00207B1E">
      <w:r w:rsidRPr="00207B1E">
        <w:t>La forme vectorielle permet d'exprimer les </w:t>
      </w:r>
      <w:hyperlink r:id="rId27" w:tooltip="Vecteur directeur" w:history="1">
        <w:r w:rsidRPr="00207B1E">
          <w:t>vecteurs directeurs</w:t>
        </w:r>
      </w:hyperlink>
      <w:r w:rsidRPr="00207B1E">
        <w:t> des rayons réfléchi et réfracté à partir du vecteur directeur du rayon incident. Le résultat est identique à celui des formes </w:t>
      </w:r>
      <w:hyperlink r:id="rId28" w:tooltip="Scalaire (mathématiques)" w:history="1">
        <w:r w:rsidRPr="00207B1E">
          <w:t>scalaires</w:t>
        </w:r>
      </w:hyperlink>
      <w:r w:rsidRPr="00207B1E">
        <w:t>, mais sous forme de vecteurs au lieu d'angles.</w:t>
      </w:r>
    </w:p>
    <w:p w14:paraId="146EC6B3" w14:textId="49D63D4A" w:rsidR="00207B1E" w:rsidRPr="00207B1E" w:rsidRDefault="00207B1E" w:rsidP="00207B1E">
      <w:r w:rsidRPr="00207B1E">
        <w:t>Étant donné le vecteur directeur </w:t>
      </w:r>
      <m:oMath>
        <m:limUpp>
          <m:limUppPr>
            <m:ctrlPr>
              <w:rPr>
                <w:rFonts w:ascii="Cambria Math" w:hAnsi="Cambria Math"/>
              </w:rPr>
            </m:ctrlPr>
          </m:limUppPr>
          <m:e>
            <m:r>
              <w:rPr>
                <w:rFonts w:ascii="Cambria Math" w:hAnsi="Cambria Math"/>
              </w:rPr>
              <m:t>I</m:t>
            </m:r>
          </m:e>
          <m:lim>
            <m:r>
              <m:rPr>
                <m:sty m:val="p"/>
              </m:rPr>
              <w:rPr>
                <w:rFonts w:ascii="Cambria Math" w:hAnsi="Cambria Math"/>
              </w:rPr>
              <m:t>→</m:t>
            </m:r>
          </m:lim>
        </m:limUpp>
      </m:oMath>
      <w:r w:rsidRPr="00207B1E">
        <w:t> du rayon incident (en provenance d'une source lumineuse et en direction du dioptre) et le </w:t>
      </w:r>
      <w:hyperlink r:id="rId29" w:tooltip="Normale (géométrie)" w:history="1">
        <w:r w:rsidRPr="00207B1E">
          <w:t>vecteur normal</w:t>
        </w:r>
      </w:hyperlink>
      <w:r w:rsidRPr="00207B1E">
        <w:t> </w:t>
      </w:r>
      <m:oMath>
        <m:limUpp>
          <m:limUppPr>
            <m:ctrlPr>
              <w:rPr>
                <w:rFonts w:ascii="Cambria Math" w:hAnsi="Cambria Math"/>
              </w:rPr>
            </m:ctrlPr>
          </m:limUppPr>
          <m:e>
            <m:r>
              <w:rPr>
                <w:rFonts w:ascii="Cambria Math" w:hAnsi="Cambria Math"/>
              </w:rPr>
              <m:t>n</m:t>
            </m:r>
          </m:e>
          <m:lim>
            <m:r>
              <m:rPr>
                <m:sty m:val="p"/>
              </m:rPr>
              <w:rPr>
                <w:rFonts w:ascii="Cambria Math" w:hAnsi="Cambria Math"/>
              </w:rPr>
              <m:t>→</m:t>
            </m:r>
          </m:lim>
        </m:limUpp>
      </m:oMath>
      <w:r w:rsidRPr="00207B1E">
        <w:t> au plan incident, on a :</w:t>
      </w:r>
    </w:p>
    <w:p w14:paraId="78C96E22" w14:textId="04D108F2" w:rsidR="00207B1E" w:rsidRPr="00207B1E" w:rsidRDefault="00207B1E" w:rsidP="00207B1E">
      <m:oMathPara>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limUpp>
            <m:limUppPr>
              <m:ctrlPr>
                <w:rPr>
                  <w:rFonts w:ascii="Cambria Math" w:hAnsi="Cambria Math"/>
                </w:rPr>
              </m:ctrlPr>
            </m:limUppPr>
            <m:e>
              <m:r>
                <w:rPr>
                  <w:rFonts w:ascii="Cambria Math" w:hAnsi="Cambria Math"/>
                </w:rPr>
                <m:t>n</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I</m:t>
              </m:r>
            </m:e>
            <m:lim>
              <m:r>
                <w:rPr>
                  <w:rFonts w:ascii="Cambria Math" w:hAnsi="Cambria Math"/>
                </w:rPr>
                <m:t>→</m:t>
              </m:r>
            </m:lim>
          </m:limUpp>
          <m:r>
            <w:rPr>
              <w:rFonts w:ascii="Cambria Math" w:hAnsi="Cambria Math"/>
            </w:rPr>
            <m:t>)</m:t>
          </m:r>
        </m:oMath>
      </m:oMathPara>
    </w:p>
    <w:p w14:paraId="6292F587" w14:textId="010A57A5" w:rsidR="00207B1E" w:rsidRPr="00207B1E" w:rsidRDefault="00207B1E" w:rsidP="00207B1E">
      <m:oMathPara>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m:t>
                  </m:r>
                </m:e>
                <m:sup>
                  <m:r>
                    <w:rPr>
                      <w:rFonts w:ascii="Cambria Math" w:hAnsi="Cambria Math"/>
                    </w:rPr>
                    <m:t>2</m:t>
                  </m:r>
                </m:sup>
              </m:sSup>
              <m:r>
                <w:rPr>
                  <w:rFonts w:ascii="Cambria Math" w:hAnsi="Cambria Math"/>
                </w:rPr>
                <m:t>(1-</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e>
          </m:rad>
        </m:oMath>
      </m:oMathPara>
    </w:p>
    <w:p w14:paraId="3AE21A87" w14:textId="68618A7A" w:rsidR="00207B1E" w:rsidRPr="00207B1E" w:rsidRDefault="00207B1E" w:rsidP="00207B1E">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sty m:val="p"/>
                </m:rPr>
                <w:rPr>
                  <w:rFonts w:ascii="Cambria Math" w:hAnsi="Cambria Math"/>
                </w:rPr>
                <m:t>r</m:t>
              </m:r>
              <m:limUpp>
                <m:limUppPr>
                  <m:ctrlPr>
                    <w:rPr>
                      <w:rFonts w:ascii="Cambria Math" w:hAnsi="Cambria Math"/>
                    </w:rPr>
                  </m:ctrlPr>
                </m:limUppPr>
                <m:e>
                  <m:r>
                    <m:rPr>
                      <m:sty m:val="p"/>
                    </m:rPr>
                    <w:rPr>
                      <w:rFonts w:ascii="Cambria Math" w:hAnsi="Cambria Math"/>
                    </w:rPr>
                    <m:t>e</m:t>
                  </m:r>
                </m:e>
                <m:lim>
                  <m:r>
                    <w:rPr>
                      <w:rFonts w:ascii="Cambria Math" w:hAnsi="Cambria Math"/>
                    </w:rPr>
                    <m:t>´</m:t>
                  </m:r>
                </m:lim>
              </m:limUpp>
              <m:r>
                <m:rPr>
                  <m:sty m:val="p"/>
                </m:rPr>
                <w:rPr>
                  <w:rFonts w:ascii="Cambria Math" w:hAnsi="Cambria Math"/>
                </w:rPr>
                <m:t>fl</m:t>
              </m:r>
              <m:limUpp>
                <m:limUppPr>
                  <m:ctrlPr>
                    <w:rPr>
                      <w:rFonts w:ascii="Cambria Math" w:hAnsi="Cambria Math"/>
                    </w:rPr>
                  </m:ctrlPr>
                </m:limUppPr>
                <m:e>
                  <m:r>
                    <m:rPr>
                      <m:sty m:val="p"/>
                    </m:rPr>
                    <w:rPr>
                      <w:rFonts w:ascii="Cambria Math" w:hAnsi="Cambria Math"/>
                    </w:rPr>
                    <m:t>e</m:t>
                  </m:r>
                </m:e>
                <m:lim>
                  <m:r>
                    <w:rPr>
                      <w:rFonts w:ascii="Cambria Math" w:hAnsi="Cambria Math"/>
                    </w:rPr>
                    <m:t>´</m:t>
                  </m:r>
                </m:lim>
              </m:limUpp>
              <m:r>
                <m:rPr>
                  <m:sty m:val="p"/>
                </m:rPr>
                <w:rPr>
                  <w:rFonts w:ascii="Cambria Math" w:hAnsi="Cambria Math"/>
                </w:rPr>
                <m:t>chi</m:t>
              </m:r>
            </m:sub>
          </m:sSub>
          <m:r>
            <w:rPr>
              <w:rFonts w:ascii="Cambria Math" w:hAnsi="Cambria Math"/>
            </w:rPr>
            <m:t>=</m:t>
          </m:r>
          <m:limUpp>
            <m:limUppPr>
              <m:ctrlPr>
                <w:rPr>
                  <w:rFonts w:ascii="Cambria Math" w:hAnsi="Cambria Math"/>
                </w:rPr>
              </m:ctrlPr>
            </m:limUppPr>
            <m:e>
              <m:r>
                <w:rPr>
                  <w:rFonts w:ascii="Cambria Math" w:hAnsi="Cambria Math"/>
                </w:rPr>
                <m:t>I</m:t>
              </m:r>
            </m:e>
            <m:lim>
              <m:r>
                <w:rPr>
                  <w:rFonts w:ascii="Cambria Math" w:hAnsi="Cambria Math"/>
                </w:rPr>
                <m:t>→</m:t>
              </m:r>
            </m:lim>
          </m:limUpp>
          <m:r>
            <w:rPr>
              <w:rFonts w:ascii="Cambria Math" w:hAnsi="Cambria Math"/>
            </w:rPr>
            <m:t>+(2</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limUpp>
            <m:limUppPr>
              <m:ctrlPr>
                <w:rPr>
                  <w:rFonts w:ascii="Cambria Math" w:hAnsi="Cambria Math"/>
                </w:rPr>
              </m:ctrlPr>
            </m:limUppPr>
            <m:e>
              <m:r>
                <w:rPr>
                  <w:rFonts w:ascii="Cambria Math" w:hAnsi="Cambria Math"/>
                </w:rPr>
                <m:t>n</m:t>
              </m:r>
            </m:e>
            <m:lim>
              <m:r>
                <w:rPr>
                  <w:rFonts w:ascii="Cambria Math" w:hAnsi="Cambria Math"/>
                </w:rPr>
                <m:t>→</m:t>
              </m:r>
            </m:lim>
          </m:limUpp>
        </m:oMath>
      </m:oMathPara>
    </w:p>
    <w:p w14:paraId="0F2088C2" w14:textId="66410B76" w:rsidR="00207B1E" w:rsidRPr="00207B1E" w:rsidRDefault="00207B1E" w:rsidP="00207B1E">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sty m:val="p"/>
              </m:rPr>
              <w:rPr>
                <w:rFonts w:ascii="Cambria Math" w:hAnsi="Cambria Math"/>
              </w:rPr>
              <m:t>r</m:t>
            </m:r>
            <m:limUpp>
              <m:limUppPr>
                <m:ctrlPr>
                  <w:rPr>
                    <w:rFonts w:ascii="Cambria Math" w:hAnsi="Cambria Math"/>
                  </w:rPr>
                </m:ctrlPr>
              </m:limUppPr>
              <m:e>
                <m:r>
                  <m:rPr>
                    <m:sty m:val="p"/>
                  </m:rPr>
                  <w:rPr>
                    <w:rFonts w:ascii="Cambria Math" w:hAnsi="Cambria Math"/>
                  </w:rPr>
                  <m:t>e</m:t>
                </m:r>
              </m:e>
              <m:lim>
                <m:r>
                  <w:rPr>
                    <w:rFonts w:ascii="Cambria Math" w:hAnsi="Cambria Math"/>
                  </w:rPr>
                  <m:t>´</m:t>
                </m:r>
              </m:lim>
            </m:limUpp>
            <m:r>
              <m:rPr>
                <m:sty m:val="p"/>
              </m:rPr>
              <w:rPr>
                <w:rFonts w:ascii="Cambria Math" w:hAnsi="Cambria Math"/>
              </w:rPr>
              <m:t>fract</m:t>
            </m:r>
            <m:limUpp>
              <m:limUppPr>
                <m:ctrlPr>
                  <w:rPr>
                    <w:rFonts w:ascii="Cambria Math" w:hAnsi="Cambria Math"/>
                  </w:rPr>
                </m:ctrlPr>
              </m:limUppPr>
              <m:e>
                <m:r>
                  <m:rPr>
                    <m:sty m:val="p"/>
                  </m:rPr>
                  <w:rPr>
                    <w:rFonts w:ascii="Cambria Math" w:hAnsi="Cambria Math"/>
                  </w:rPr>
                  <m:t>e</m:t>
                </m:r>
              </m:e>
              <m:lim>
                <m:r>
                  <w:rPr>
                    <w:rFonts w:ascii="Cambria Math" w:hAnsi="Cambria Math"/>
                  </w:rPr>
                  <m:t>´</m:t>
                </m:r>
              </m:lim>
            </m:limUpp>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m:t>
        </m:r>
        <m:limUpp>
          <m:limUppPr>
            <m:ctrlPr>
              <w:rPr>
                <w:rFonts w:ascii="Cambria Math" w:hAnsi="Cambria Math"/>
              </w:rPr>
            </m:ctrlPr>
          </m:limUppPr>
          <m:e>
            <m:r>
              <w:rPr>
                <w:rFonts w:ascii="Cambria Math" w:hAnsi="Cambria Math"/>
              </w:rPr>
              <m:t>I</m:t>
            </m:r>
          </m:e>
          <m:lim>
            <m:r>
              <w:rPr>
                <w:rFonts w:ascii="Cambria Math" w:hAnsi="Cambria Math"/>
              </w:rPr>
              <m:t>→</m:t>
            </m:r>
          </m:lim>
        </m:limUp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n</m:t>
                </m:r>
              </m:e>
              <m:sub>
                <m:r>
                  <w:rPr>
                    <w:rFonts w:ascii="Cambria Math" w:hAnsi="Cambria Math"/>
                  </w:rPr>
                  <m:t>2</m:t>
                </m:r>
              </m:sub>
            </m:sSub>
          </m:den>
        </m:f>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limUpp>
          <m:limUppPr>
            <m:ctrlPr>
              <w:rPr>
                <w:rFonts w:ascii="Cambria Math" w:hAnsi="Cambria Math"/>
              </w:rPr>
            </m:ctrlPr>
          </m:limUppPr>
          <m:e>
            <m:r>
              <w:rPr>
                <w:rFonts w:ascii="Cambria Math" w:hAnsi="Cambria Math"/>
              </w:rPr>
              <m:t>n</m:t>
            </m:r>
          </m:e>
          <m:lim>
            <m:r>
              <w:rPr>
                <w:rFonts w:ascii="Cambria Math" w:hAnsi="Cambria Math"/>
              </w:rPr>
              <m:t>→</m:t>
            </m:r>
          </m:lim>
        </m:limUpp>
      </m:oMath>
      <w:r w:rsidRPr="00207B1E">
        <w:t>.</w:t>
      </w:r>
    </w:p>
    <w:p w14:paraId="6E2B3A8A" w14:textId="3F742876" w:rsidR="00207B1E" w:rsidRPr="00207B1E" w:rsidRDefault="00207B1E" w:rsidP="00207B1E">
      <w:r w:rsidRPr="00207B1E">
        <w:t>Note : </w:t>
      </w:r>
      <m:oMath>
        <m:limUpp>
          <m:limUppPr>
            <m:ctrlPr>
              <w:rPr>
                <w:rFonts w:ascii="Cambria Math" w:hAnsi="Cambria Math"/>
              </w:rPr>
            </m:ctrlPr>
          </m:limUppPr>
          <m:e>
            <m:r>
              <w:rPr>
                <w:rFonts w:ascii="Cambria Math" w:hAnsi="Cambria Math"/>
              </w:rPr>
              <m:t>n</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I</m:t>
            </m:r>
          </m:e>
          <m:lim>
            <m:r>
              <w:rPr>
                <w:rFonts w:ascii="Cambria Math" w:hAnsi="Cambria Math"/>
              </w:rPr>
              <m:t>→</m:t>
            </m:r>
          </m:lim>
        </m:limUpp>
        <m:r>
          <w:rPr>
            <w:rFonts w:ascii="Cambria Math" w:hAnsi="Cambria Math"/>
          </w:rPr>
          <m:t>)</m:t>
        </m:r>
      </m:oMath>
      <w:r w:rsidRPr="00207B1E">
        <w:t> doit être positif. Sinon, il faut utiliser :</w:t>
      </w:r>
    </w:p>
    <w:p w14:paraId="0B71A597" w14:textId="07E03594" w:rsidR="00207B1E" w:rsidRPr="00207B1E" w:rsidRDefault="00207B1E" w:rsidP="00207B1E">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sty m:val="p"/>
                </m:rPr>
                <w:rPr>
                  <w:rFonts w:ascii="Cambria Math" w:hAnsi="Cambria Math"/>
                </w:rPr>
                <m:t>r</m:t>
              </m:r>
              <m:limUpp>
                <m:limUppPr>
                  <m:ctrlPr>
                    <w:rPr>
                      <w:rFonts w:ascii="Cambria Math" w:hAnsi="Cambria Math"/>
                    </w:rPr>
                  </m:ctrlPr>
                </m:limUppPr>
                <m:e>
                  <m:r>
                    <m:rPr>
                      <m:sty m:val="p"/>
                    </m:rPr>
                    <w:rPr>
                      <w:rFonts w:ascii="Cambria Math" w:hAnsi="Cambria Math"/>
                    </w:rPr>
                    <m:t>e</m:t>
                  </m:r>
                </m:e>
                <m:lim>
                  <m:r>
                    <w:rPr>
                      <w:rFonts w:ascii="Cambria Math" w:hAnsi="Cambria Math"/>
                    </w:rPr>
                    <m:t>´</m:t>
                  </m:r>
                </m:lim>
              </m:limUpp>
              <m:r>
                <m:rPr>
                  <m:sty m:val="p"/>
                </m:rPr>
                <w:rPr>
                  <w:rFonts w:ascii="Cambria Math" w:hAnsi="Cambria Math"/>
                </w:rPr>
                <m:t>fract</m:t>
              </m:r>
              <m:limUpp>
                <m:limUppPr>
                  <m:ctrlPr>
                    <w:rPr>
                      <w:rFonts w:ascii="Cambria Math" w:hAnsi="Cambria Math"/>
                    </w:rPr>
                  </m:ctrlPr>
                </m:limUppPr>
                <m:e>
                  <m:r>
                    <m:rPr>
                      <m:sty m:val="p"/>
                    </m:rPr>
                    <w:rPr>
                      <w:rFonts w:ascii="Cambria Math" w:hAnsi="Cambria Math"/>
                    </w:rPr>
                    <m:t>e</m:t>
                  </m:r>
                </m:e>
                <m:lim>
                  <m:r>
                    <w:rPr>
                      <w:rFonts w:ascii="Cambria Math" w:hAnsi="Cambria Math"/>
                    </w:rPr>
                    <m:t>´</m:t>
                  </m:r>
                </m:lim>
              </m:limUpp>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m:t>
          </m:r>
          <m:limUpp>
            <m:limUppPr>
              <m:ctrlPr>
                <w:rPr>
                  <w:rFonts w:ascii="Cambria Math" w:hAnsi="Cambria Math"/>
                </w:rPr>
              </m:ctrlPr>
            </m:limUppPr>
            <m:e>
              <m:r>
                <w:rPr>
                  <w:rFonts w:ascii="Cambria Math" w:hAnsi="Cambria Math"/>
                </w:rPr>
                <m:t>I</m:t>
              </m:r>
            </m:e>
            <m:lim>
              <m:r>
                <w:rPr>
                  <w:rFonts w:ascii="Cambria Math" w:hAnsi="Cambria Math"/>
                </w:rPr>
                <m:t>→</m:t>
              </m:r>
            </m:lim>
          </m:limUp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n</m:t>
                  </m:r>
                </m:e>
                <m:sub>
                  <m:r>
                    <w:rPr>
                      <w:rFonts w:ascii="Cambria Math" w:hAnsi="Cambria Math"/>
                    </w:rPr>
                    <m:t>2</m:t>
                  </m:r>
                </m:sub>
              </m:sSub>
            </m:den>
          </m:f>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limUpp>
            <m:limUppPr>
              <m:ctrlPr>
                <w:rPr>
                  <w:rFonts w:ascii="Cambria Math" w:hAnsi="Cambria Math"/>
                </w:rPr>
              </m:ctrlPr>
            </m:limUppPr>
            <m:e>
              <m:r>
                <w:rPr>
                  <w:rFonts w:ascii="Cambria Math" w:hAnsi="Cambria Math"/>
                </w:rPr>
                <m:t>n</m:t>
              </m:r>
            </m:e>
            <m:lim>
              <m:r>
                <w:rPr>
                  <w:rFonts w:ascii="Cambria Math" w:hAnsi="Cambria Math"/>
                </w:rPr>
                <m:t>→</m:t>
              </m:r>
            </m:lim>
          </m:limUpp>
          <m:r>
            <w:rPr>
              <w:rFonts w:ascii="Cambria Math" w:hAnsi="Cambria Math"/>
            </w:rPr>
            <m:t>.</m:t>
          </m:r>
        </m:oMath>
      </m:oMathPara>
    </w:p>
    <w:p w14:paraId="21EA433C" w14:textId="77777777" w:rsidR="00207B1E" w:rsidRPr="00207B1E" w:rsidRDefault="00207B1E" w:rsidP="00207B1E">
      <w:r w:rsidRPr="00207B1E">
        <w:t>La </w:t>
      </w:r>
      <w:hyperlink r:id="rId30" w:tooltip="Réflexion totale" w:history="1">
        <w:r w:rsidRPr="00207B1E">
          <w:t>réflexion totale</w:t>
        </w:r>
      </w:hyperlink>
      <w:r w:rsidRPr="00207B1E">
        <w:t> a lieu quand le </w:t>
      </w:r>
      <w:hyperlink r:id="rId31" w:tooltip="Racine carrée" w:history="1">
        <w:r w:rsidRPr="00207B1E">
          <w:t>radicande</w:t>
        </w:r>
      </w:hyperlink>
      <w:r w:rsidRPr="00207B1E">
        <w:t> de la formule de cos(</w:t>
      </w:r>
      <w:r w:rsidRPr="00207B1E">
        <w:rPr>
          <w:i/>
          <w:iCs/>
        </w:rPr>
        <w:t>θ</w:t>
      </w:r>
      <w:r w:rsidRPr="00207B1E">
        <w:rPr>
          <w:vertAlign w:val="subscript"/>
        </w:rPr>
        <w:t>2</w:t>
      </w:r>
      <w:r w:rsidRPr="00207B1E">
        <w:t>) est négatif.</w:t>
      </w:r>
    </w:p>
    <w:p w14:paraId="305E00D1" w14:textId="77777777" w:rsidR="00207B1E" w:rsidRDefault="00207B1E" w:rsidP="00207B1E"/>
    <w:p w14:paraId="3322232C" w14:textId="233B2DEF" w:rsidR="00207B1E" w:rsidRPr="00207B1E" w:rsidRDefault="00207B1E" w:rsidP="00207B1E">
      <w:pPr>
        <w:pStyle w:val="Titre1"/>
      </w:pPr>
      <w:bookmarkStart w:id="4" w:name="_Toc212918509"/>
      <w:r w:rsidRPr="00207B1E">
        <w:t>Généralisation des lois de la réflexion et de la réfraction</w:t>
      </w:r>
      <w:bookmarkEnd w:id="4"/>
    </w:p>
    <w:p w14:paraId="3FAC28AD" w14:textId="3C85757D" w:rsidR="00207B1E" w:rsidRPr="00207B1E" w:rsidRDefault="00207B1E" w:rsidP="00207B1E">
      <w:r w:rsidRPr="00207B1E">
        <w:t>En octobre 2011, un groupe de chercheurs internationaux travaillant à l'</w:t>
      </w:r>
      <w:hyperlink r:id="rId32" w:tooltip="Université Harvard" w:history="1">
        <w:r w:rsidRPr="00207B1E">
          <w:t>université Harvard</w:t>
        </w:r>
      </w:hyperlink>
      <w:r w:rsidRPr="00207B1E">
        <w:t> aux </w:t>
      </w:r>
      <w:hyperlink r:id="rId33" w:tooltip="États-Unis" w:history="1">
        <w:r w:rsidRPr="00207B1E">
          <w:t>États-Unis</w:t>
        </w:r>
      </w:hyperlink>
      <w:r w:rsidRPr="00207B1E">
        <w:t> ont généralisé les lois de la réflexion et de la réfraction. L'idée consiste à modifier l'interface séparant les deux milieux de façon à introduire un </w:t>
      </w:r>
      <w:hyperlink r:id="rId34" w:tooltip="Déphasage" w:history="1">
        <w:r w:rsidRPr="00207B1E">
          <w:t>déphasage</w:t>
        </w:r>
      </w:hyperlink>
      <w:r w:rsidRPr="00207B1E">
        <w:t xml:space="preserve"> sur le faisceau lumineux qui ne soit plus uniforme mais qui dépend de l'espace. Pour ce faire, ils ont décoré l'interface avec une matrice d'antennes </w:t>
      </w:r>
      <w:proofErr w:type="spellStart"/>
      <w:r w:rsidRPr="00207B1E">
        <w:t>plasmoniques</w:t>
      </w:r>
      <w:proofErr w:type="spellEnd"/>
      <w:r w:rsidRPr="00207B1E">
        <w:t xml:space="preserve"> de taille nanoscopique, qui permettent d'introduire un gradient de phase constant le long de l'interface.</w:t>
      </w:r>
    </w:p>
    <w:p w14:paraId="4AA13895" w14:textId="77777777" w:rsidR="00207B1E" w:rsidRPr="00207B1E" w:rsidRDefault="00207B1E" w:rsidP="00207B1E">
      <w:r w:rsidRPr="00207B1E">
        <w:t>Les nouvelles lois de la réflexion et de la réfraction sont obtenues en considérant le </w:t>
      </w:r>
      <w:hyperlink r:id="rId35" w:tooltip="Principe de Fermat" w:history="1">
        <w:r w:rsidRPr="00207B1E">
          <w:t>principe de Fermat</w:t>
        </w:r>
      </w:hyperlink>
      <w:r w:rsidRPr="00207B1E">
        <w:t xml:space="preserve">, prenant en compte ce gradient de phase. La taille des antennes </w:t>
      </w:r>
      <w:proofErr w:type="spellStart"/>
      <w:r w:rsidRPr="00207B1E">
        <w:t>plasmoniques</w:t>
      </w:r>
      <w:proofErr w:type="spellEnd"/>
      <w:r w:rsidRPr="00207B1E">
        <w:t xml:space="preserve"> utilisées étant beaucoup plus petite que la </w:t>
      </w:r>
      <w:hyperlink r:id="rId36" w:tooltip="Longueur d'onde" w:history="1">
        <w:r w:rsidRPr="00207B1E">
          <w:t>longueur d'onde</w:t>
        </w:r>
      </w:hyperlink>
      <w:r w:rsidRPr="00207B1E">
        <w:t> de la lumière, le gradient de phase est introduit de façon soudaine lors de la traversée de l'interface, découplant ainsi la phase accumulée lors de la propagation et le saut de phase introduit par les nanostructures.</w:t>
      </w:r>
    </w:p>
    <w:p w14:paraId="26048DC3" w14:textId="77777777" w:rsidR="00207B1E" w:rsidRPr="00207B1E" w:rsidRDefault="00207B1E" w:rsidP="00207B1E">
      <w:r w:rsidRPr="00207B1E">
        <w:t>La loi généralisée de la réfraction s'énonce alors ainsi :</w:t>
      </w:r>
    </w:p>
    <w:p w14:paraId="17BF3F52" w14:textId="3213CBFD" w:rsidR="00207B1E" w:rsidRPr="00207B1E" w:rsidRDefault="00207B1E" w:rsidP="00207B1E">
      <m:oMathPara>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2π</m:t>
              </m:r>
            </m:den>
          </m:f>
          <m:f>
            <m:fPr>
              <m:ctrlPr>
                <w:rPr>
                  <w:rFonts w:ascii="Cambria Math" w:hAnsi="Cambria Math"/>
                </w:rPr>
              </m:ctrlPr>
            </m:fPr>
            <m:num>
              <m:r>
                <m:rPr>
                  <m:sty m:val="p"/>
                </m:rPr>
                <w:rPr>
                  <w:rFonts w:ascii="Cambria Math" w:hAnsi="Cambria Math"/>
                </w:rPr>
                <m:t>d</m:t>
              </m:r>
              <m:r>
                <w:rPr>
                  <w:rFonts w:ascii="Cambria Math" w:hAnsi="Cambria Math"/>
                </w:rPr>
                <m:t>ϕ</m:t>
              </m:r>
            </m:num>
            <m:den>
              <m:r>
                <m:rPr>
                  <m:sty m:val="p"/>
                </m:rPr>
                <w:rPr>
                  <w:rFonts w:ascii="Cambria Math" w:hAnsi="Cambria Math"/>
                </w:rPr>
                <m:t>d</m:t>
              </m:r>
              <m:r>
                <w:rPr>
                  <w:rFonts w:ascii="Cambria Math" w:hAnsi="Cambria Math"/>
                </w:rPr>
                <m:t>x</m:t>
              </m:r>
            </m:den>
          </m:f>
        </m:oMath>
      </m:oMathPara>
    </w:p>
    <w:p w14:paraId="1EECD939" w14:textId="77777777" w:rsidR="00207B1E" w:rsidRPr="00207B1E" w:rsidRDefault="00207B1E" w:rsidP="00207B1E">
      <w:proofErr w:type="gramStart"/>
      <w:r w:rsidRPr="00207B1E">
        <w:t>où</w:t>
      </w:r>
      <w:proofErr w:type="gramEnd"/>
      <w:r w:rsidRPr="00207B1E">
        <w:t> :</w:t>
      </w:r>
    </w:p>
    <w:p w14:paraId="7F562E87" w14:textId="56F28CE3" w:rsidR="00207B1E" w:rsidRPr="00207B1E" w:rsidRDefault="00207B1E" w:rsidP="00207B1E">
      <w:pPr>
        <w:numPr>
          <w:ilvl w:val="0"/>
          <w:numId w:val="75"/>
        </w:numPr>
      </w:pPr>
      <m:oMath>
        <m:f>
          <m:fPr>
            <m:ctrlPr>
              <w:rPr>
                <w:rFonts w:ascii="Cambria Math" w:hAnsi="Cambria Math"/>
              </w:rPr>
            </m:ctrlPr>
          </m:fPr>
          <m:num>
            <m:r>
              <m:rPr>
                <m:sty m:val="p"/>
              </m:rPr>
              <w:rPr>
                <w:rFonts w:ascii="Cambria Math" w:hAnsi="Cambria Math"/>
              </w:rPr>
              <m:t>d</m:t>
            </m:r>
            <m:r>
              <w:rPr>
                <w:rFonts w:ascii="Cambria Math" w:hAnsi="Cambria Math"/>
              </w:rPr>
              <m:t>ϕ</m:t>
            </m:r>
          </m:num>
          <m:den>
            <m:r>
              <m:rPr>
                <m:sty m:val="p"/>
              </m:rPr>
              <w:rPr>
                <w:rFonts w:ascii="Cambria Math" w:hAnsi="Cambria Math"/>
              </w:rPr>
              <m:t>d</m:t>
            </m:r>
            <m:r>
              <w:rPr>
                <w:rFonts w:ascii="Cambria Math" w:hAnsi="Cambria Math"/>
              </w:rPr>
              <m:t>x</m:t>
            </m:r>
          </m:den>
        </m:f>
      </m:oMath>
      <w:r w:rsidRPr="00207B1E">
        <w:t> </w:t>
      </w:r>
      <w:proofErr w:type="gramStart"/>
      <w:r w:rsidRPr="00207B1E">
        <w:t>représente</w:t>
      </w:r>
      <w:proofErr w:type="gramEnd"/>
      <w:r w:rsidRPr="00207B1E">
        <w:t xml:space="preserve"> le gradient de phase introduit de façon soudaine à l'interface.</w:t>
      </w:r>
    </w:p>
    <w:p w14:paraId="2843F48B" w14:textId="77777777" w:rsidR="00207B1E" w:rsidRPr="00207B1E" w:rsidRDefault="00207B1E" w:rsidP="00207B1E">
      <w:r w:rsidRPr="00207B1E">
        <w:t xml:space="preserve">La loi généralisée de la réflexion </w:t>
      </w:r>
      <w:proofErr w:type="gramStart"/>
      <w:r w:rsidRPr="00207B1E">
        <w:t>s'énonce  :</w:t>
      </w:r>
      <w:proofErr w:type="gramEnd"/>
    </w:p>
    <w:p w14:paraId="520949F1" w14:textId="4377688C" w:rsidR="00207B1E" w:rsidRPr="00207B1E" w:rsidRDefault="00207B1E" w:rsidP="00207B1E">
      <m:oMathPara>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2π</m:t>
              </m:r>
              <m:sSub>
                <m:sSubPr>
                  <m:ctrlPr>
                    <w:rPr>
                      <w:rFonts w:ascii="Cambria Math" w:hAnsi="Cambria Math"/>
                    </w:rPr>
                  </m:ctrlPr>
                </m:sSubPr>
                <m:e>
                  <m:r>
                    <w:rPr>
                      <w:rFonts w:ascii="Cambria Math" w:hAnsi="Cambria Math"/>
                    </w:rPr>
                    <m:t>n</m:t>
                  </m:r>
                </m:e>
                <m:sub>
                  <m:r>
                    <w:rPr>
                      <w:rFonts w:ascii="Cambria Math" w:hAnsi="Cambria Math"/>
                    </w:rPr>
                    <m:t>i</m:t>
                  </m:r>
                </m:sub>
              </m:sSub>
            </m:den>
          </m:f>
          <m:f>
            <m:fPr>
              <m:ctrlPr>
                <w:rPr>
                  <w:rFonts w:ascii="Cambria Math" w:hAnsi="Cambria Math"/>
                </w:rPr>
              </m:ctrlPr>
            </m:fPr>
            <m:num>
              <m:r>
                <m:rPr>
                  <m:sty m:val="p"/>
                </m:rPr>
                <w:rPr>
                  <w:rFonts w:ascii="Cambria Math" w:hAnsi="Cambria Math"/>
                </w:rPr>
                <m:t>d</m:t>
              </m:r>
              <m:r>
                <w:rPr>
                  <w:rFonts w:ascii="Cambria Math" w:hAnsi="Cambria Math"/>
                </w:rPr>
                <m:t>ϕ</m:t>
              </m:r>
            </m:num>
            <m:den>
              <m:r>
                <m:rPr>
                  <m:sty m:val="p"/>
                </m:rPr>
                <w:rPr>
                  <w:rFonts w:ascii="Cambria Math" w:hAnsi="Cambria Math"/>
                </w:rPr>
                <m:t>d</m:t>
              </m:r>
              <m:r>
                <w:rPr>
                  <w:rFonts w:ascii="Cambria Math" w:hAnsi="Cambria Math"/>
                </w:rPr>
                <m:t>x</m:t>
              </m:r>
            </m:den>
          </m:f>
        </m:oMath>
      </m:oMathPara>
    </w:p>
    <w:p w14:paraId="49668D66" w14:textId="77777777" w:rsidR="00207B1E" w:rsidRPr="00207B1E" w:rsidRDefault="00207B1E" w:rsidP="00207B1E">
      <w:proofErr w:type="gramStart"/>
      <w:r w:rsidRPr="00207B1E">
        <w:t>où</w:t>
      </w:r>
      <w:proofErr w:type="gramEnd"/>
      <w:r w:rsidRPr="00207B1E">
        <w:t> :</w:t>
      </w:r>
    </w:p>
    <w:p w14:paraId="7E4B5CA4" w14:textId="77777777" w:rsidR="00207B1E" w:rsidRPr="00207B1E" w:rsidRDefault="00207B1E" w:rsidP="00207B1E">
      <w:pPr>
        <w:numPr>
          <w:ilvl w:val="0"/>
          <w:numId w:val="76"/>
        </w:numPr>
      </w:pPr>
      <w:proofErr w:type="spellStart"/>
      <w:proofErr w:type="gramStart"/>
      <w:r w:rsidRPr="00207B1E">
        <w:rPr>
          <w:i/>
          <w:iCs/>
        </w:rPr>
        <w:t>θ</w:t>
      </w:r>
      <w:proofErr w:type="gramEnd"/>
      <w:r w:rsidRPr="00207B1E">
        <w:rPr>
          <w:vertAlign w:val="subscript"/>
        </w:rPr>
        <w:t>i</w:t>
      </w:r>
      <w:proofErr w:type="spellEnd"/>
      <w:r w:rsidRPr="00207B1E">
        <w:t> est l'angle d'incidence ;</w:t>
      </w:r>
    </w:p>
    <w:p w14:paraId="2C2DF092" w14:textId="77777777" w:rsidR="00207B1E" w:rsidRPr="00207B1E" w:rsidRDefault="00207B1E" w:rsidP="00207B1E">
      <w:pPr>
        <w:numPr>
          <w:ilvl w:val="0"/>
          <w:numId w:val="76"/>
        </w:numPr>
      </w:pPr>
      <w:proofErr w:type="spellStart"/>
      <w:proofErr w:type="gramStart"/>
      <w:r w:rsidRPr="00207B1E">
        <w:rPr>
          <w:i/>
          <w:iCs/>
        </w:rPr>
        <w:t>θ</w:t>
      </w:r>
      <w:proofErr w:type="gramEnd"/>
      <w:r w:rsidRPr="00207B1E">
        <w:rPr>
          <w:vertAlign w:val="subscript"/>
        </w:rPr>
        <w:t>r</w:t>
      </w:r>
      <w:proofErr w:type="spellEnd"/>
      <w:r w:rsidRPr="00207B1E">
        <w:t> est l'angle de réflexion.</w:t>
      </w:r>
    </w:p>
    <w:p w14:paraId="7972E794" w14:textId="77777777" w:rsidR="00207B1E" w:rsidRPr="00207B1E" w:rsidRDefault="00207B1E" w:rsidP="00207B1E">
      <w:r w:rsidRPr="00207B1E">
        <w:t>La loi de la réflexion est surprenante : l'angle de réflexion n'est plus nécessairement égal à l'angle d'incidence.</w:t>
      </w:r>
    </w:p>
    <w:p w14:paraId="482B111A" w14:textId="01F4D6F7" w:rsidR="00207B1E" w:rsidRPr="00207B1E" w:rsidRDefault="00207B1E" w:rsidP="00207B1E">
      <w:pPr>
        <w:pStyle w:val="Titre1"/>
      </w:pPr>
      <w:bookmarkStart w:id="5" w:name="_Toc212918510"/>
      <w:r w:rsidRPr="00207B1E">
        <w:drawing>
          <wp:anchor distT="0" distB="0" distL="114300" distR="114300" simplePos="0" relativeHeight="251659264" behindDoc="0" locked="0" layoutInCell="1" allowOverlap="1" wp14:anchorId="331691EB" wp14:editId="28E76745">
            <wp:simplePos x="0" y="0"/>
            <wp:positionH relativeFrom="margin">
              <wp:align>right</wp:align>
            </wp:positionH>
            <wp:positionV relativeFrom="paragraph">
              <wp:posOffset>0</wp:posOffset>
            </wp:positionV>
            <wp:extent cx="2065020" cy="2560320"/>
            <wp:effectExtent l="0" t="0" r="0" b="0"/>
            <wp:wrapSquare wrapText="bothSides"/>
            <wp:docPr id="295456731" name="Image 47">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65020" cy="2560320"/>
                    </a:xfrm>
                    <a:prstGeom prst="rect">
                      <a:avLst/>
                    </a:prstGeom>
                    <a:noFill/>
                    <a:ln>
                      <a:noFill/>
                    </a:ln>
                  </pic:spPr>
                </pic:pic>
              </a:graphicData>
            </a:graphic>
          </wp:anchor>
        </w:drawing>
      </w:r>
      <w:r w:rsidRPr="00207B1E">
        <w:t>Visualisation de la loi de Snell-Descartes : surface des lenteurs</w:t>
      </w:r>
      <w:bookmarkEnd w:id="5"/>
    </w:p>
    <w:p w14:paraId="0F4690D1" w14:textId="332A89CA" w:rsidR="00207B1E" w:rsidRPr="00207B1E" w:rsidRDefault="00207B1E" w:rsidP="00207B1E">
      <w:r w:rsidRPr="00207B1E">
        <w:t>On appelle vecteur lenteur, le vecteur porté par la direction de propagation de l’onde et de module égal à l’inverse de sa </w:t>
      </w:r>
      <w:hyperlink r:id="rId39" w:tooltip="Vitesse d'une onde" w:history="1">
        <w:r w:rsidRPr="00207B1E">
          <w:t>vitesse de phase</w:t>
        </w:r>
      </w:hyperlink>
      <w:r w:rsidRPr="00207B1E">
        <w:t> dans cette direction. Les surfaces des lenteurs sont le lieu de l’extrémité de ce vecteur pour toutes les directions de </w:t>
      </w:r>
      <w:hyperlink r:id="rId40" w:tooltip="Propagation des ondes" w:history="1">
        <w:r w:rsidRPr="00207B1E">
          <w:t>propagation des ondes</w:t>
        </w:r>
      </w:hyperlink>
      <w:r w:rsidRPr="00207B1E">
        <w:t>.</w:t>
      </w:r>
    </w:p>
    <w:p w14:paraId="212E66F0" w14:textId="5658F98D" w:rsidR="00207B1E" w:rsidRPr="00207B1E" w:rsidRDefault="00207B1E" w:rsidP="00207B1E">
      <w:r w:rsidRPr="00207B1E">
        <w:t>Par définition, la surface des lenteurs est le lieu des extrémités du vecteur de lenteur </w:t>
      </w:r>
      <m:oMath>
        <m:limUpp>
          <m:limUppPr>
            <m:ctrlPr>
              <w:rPr>
                <w:rFonts w:ascii="Cambria Math" w:hAnsi="Cambria Math"/>
              </w:rPr>
            </m:ctrlPr>
          </m:limUppPr>
          <m:e>
            <m:r>
              <w:rPr>
                <w:rFonts w:ascii="Cambria Math" w:hAnsi="Cambria Math"/>
              </w:rPr>
              <m:t>m</m:t>
            </m:r>
          </m:e>
          <m:lim>
            <m:r>
              <m:rPr>
                <m:sty m:val="p"/>
              </m:rPr>
              <w:rPr>
                <w:rFonts w:ascii="Cambria Math" w:hAnsi="Cambria Math"/>
              </w:rPr>
              <m:t>→</m:t>
            </m:r>
          </m:lim>
        </m:limUpp>
      </m:oMath>
      <w:r w:rsidRPr="00207B1E">
        <w:t>, tracé à partir d'un </w:t>
      </w:r>
      <w:hyperlink r:id="rId41" w:tooltip="Point fixe" w:history="1">
        <w:r w:rsidRPr="00207B1E">
          <w:t>point fixe</w:t>
        </w:r>
      </w:hyperlink>
      <w:r w:rsidRPr="00207B1E">
        <w:t> O, lorsque la direction de propagation </w:t>
      </w:r>
      <m:oMath>
        <m:limUpp>
          <m:limUppPr>
            <m:ctrlPr>
              <w:rPr>
                <w:rFonts w:ascii="Cambria Math" w:hAnsi="Cambria Math"/>
              </w:rPr>
            </m:ctrlPr>
          </m:limUppPr>
          <m:e>
            <m:r>
              <w:rPr>
                <w:rFonts w:ascii="Cambria Math" w:hAnsi="Cambria Math"/>
              </w:rPr>
              <m:t>n</m:t>
            </m:r>
          </m:e>
          <m:lim>
            <m:r>
              <m:rPr>
                <m:sty m:val="p"/>
              </m:rPr>
              <w:rPr>
                <w:rFonts w:ascii="Cambria Math" w:hAnsi="Cambria Math"/>
              </w:rPr>
              <m:t>→</m:t>
            </m:r>
          </m:lim>
        </m:limUpp>
      </m:oMath>
      <w:r w:rsidRPr="00207B1E">
        <w:t> varie.</w:t>
      </w:r>
    </w:p>
    <w:p w14:paraId="0C2FC3D5" w14:textId="159143AB" w:rsidR="00207B1E" w:rsidRPr="00207B1E" w:rsidRDefault="00207B1E" w:rsidP="00207B1E">
      <w:r w:rsidRPr="00207B1E">
        <w:t xml:space="preserve">Vecteur de </w:t>
      </w:r>
      <w:proofErr w:type="gramStart"/>
      <w:r w:rsidRPr="00207B1E">
        <w:t>lenteur:</w:t>
      </w:r>
      <w:proofErr w:type="gramEnd"/>
    </w:p>
    <w:p w14:paraId="1F78702A" w14:textId="32E1E8DB" w:rsidR="00207B1E" w:rsidRPr="00207B1E" w:rsidRDefault="00207B1E" w:rsidP="00207B1E">
      <m:oMath>
        <m:limUpp>
          <m:limUppPr>
            <m:ctrlPr>
              <w:rPr>
                <w:rFonts w:ascii="Cambria Math" w:hAnsi="Cambria Math"/>
              </w:rPr>
            </m:ctrlPr>
          </m:limUppPr>
          <m:e>
            <m:r>
              <w:rPr>
                <w:rFonts w:ascii="Cambria Math" w:hAnsi="Cambria Math"/>
              </w:rPr>
              <m:t>m</m:t>
            </m:r>
          </m:e>
          <m:lim>
            <m:r>
              <m:rPr>
                <m:sty m:val="p"/>
              </m:rPr>
              <w:rPr>
                <w:rFonts w:ascii="Cambria Math" w:hAnsi="Cambria Math"/>
              </w:rPr>
              <m:t>→</m:t>
            </m:r>
          </m:lim>
        </m:limUpp>
        <m:r>
          <m:rPr>
            <m:sty m:val="p"/>
          </m:rPr>
          <w:rPr>
            <w:rFonts w:ascii="Cambria Math" w:hAnsi="Cambria Math"/>
          </w:rPr>
          <m:t>=</m:t>
        </m:r>
        <m:f>
          <m:fPr>
            <m:ctrlPr>
              <w:rPr>
                <w:rFonts w:ascii="Cambria Math" w:hAnsi="Cambria Math"/>
              </w:rPr>
            </m:ctrlPr>
          </m:fPr>
          <m:num>
            <m:limUpp>
              <m:limUppPr>
                <m:ctrlPr>
                  <w:rPr>
                    <w:rFonts w:ascii="Cambria Math" w:hAnsi="Cambria Math"/>
                  </w:rPr>
                </m:ctrlPr>
              </m:limUppPr>
              <m:e>
                <m:r>
                  <w:rPr>
                    <w:rFonts w:ascii="Cambria Math" w:hAnsi="Cambria Math"/>
                  </w:rPr>
                  <m:t>n</m:t>
                </m:r>
              </m:e>
              <m:lim>
                <m:r>
                  <m:rPr>
                    <m:sty m:val="p"/>
                  </m:rPr>
                  <w:rPr>
                    <w:rFonts w:ascii="Cambria Math" w:hAnsi="Cambria Math"/>
                  </w:rPr>
                  <m:t>→</m:t>
                </m:r>
              </m:lim>
            </m:limUpp>
          </m:num>
          <m:den>
            <m:r>
              <w:rPr>
                <w:rFonts w:ascii="Cambria Math" w:hAnsi="Cambria Math"/>
              </w:rPr>
              <m:t>V</m:t>
            </m:r>
          </m:den>
        </m:f>
      </m:oMath>
      <w:r w:rsidRPr="00207B1E">
        <w:t>.</w:t>
      </w:r>
    </w:p>
    <w:p w14:paraId="6A73AE0F" w14:textId="2F1BD68A" w:rsidR="00207B1E" w:rsidRDefault="00207B1E" w:rsidP="00207B1E">
      <w:r w:rsidRPr="00207B1E">
        <w:t>Les directions de propagation des ondes peuvent être déterminées graphiquement à partir des surfaces des lenteurs. En effet les lois de Snell-Descartes correspondent à la conservation de la projection sur l’interface des vecteurs lenteurs de toutes les ondes (incidente, réfléchie(s) et transmise(s)), comme illustré dans la figure ci-contre.</w:t>
      </w:r>
    </w:p>
    <w:p w14:paraId="63BF18C4" w14:textId="77777777" w:rsidR="00207B1E" w:rsidRPr="00207B1E" w:rsidRDefault="00207B1E" w:rsidP="00207B1E"/>
    <w:p w14:paraId="72E95521" w14:textId="77777777" w:rsidR="00207B1E" w:rsidRPr="00207B1E" w:rsidRDefault="00207B1E" w:rsidP="00207B1E">
      <w:pPr>
        <w:pStyle w:val="Titre1"/>
      </w:pPr>
      <w:bookmarkStart w:id="6" w:name="_Toc212918511"/>
      <w:r w:rsidRPr="00207B1E">
        <w:t>Milieu isotrope</w:t>
      </w:r>
      <w:bookmarkEnd w:id="6"/>
    </w:p>
    <w:p w14:paraId="7C73D177" w14:textId="798A55D9" w:rsidR="00207B1E" w:rsidRDefault="00207B1E" w:rsidP="00207B1E">
      <w:r w:rsidRPr="00207B1E">
        <w:t>Dans les milieux isotropes (solides ou liquides), la vitesse d’une onde étant la même quelle que soit la direction, les surfaces des lenteurs sont des sphères; des cercles dans le plan d'incidence (une pour les </w:t>
      </w:r>
      <w:hyperlink r:id="rId42" w:tooltip="Onde longitudinale" w:history="1">
        <w:r w:rsidRPr="00207B1E">
          <w:t>ondes longitudinales</w:t>
        </w:r>
      </w:hyperlink>
      <w:r w:rsidRPr="00207B1E">
        <w:t> et une plus grande pour les </w:t>
      </w:r>
      <w:hyperlink r:id="rId43" w:tooltip="Onde transversale" w:history="1">
        <w:r w:rsidRPr="00207B1E">
          <w:t>ondes transversales</w:t>
        </w:r>
      </w:hyperlink>
      <w:r w:rsidRPr="00207B1E">
        <w:t>).</w:t>
      </w:r>
    </w:p>
    <w:p w14:paraId="6FD247D2" w14:textId="77777777" w:rsidR="00207B1E" w:rsidRPr="00207B1E" w:rsidRDefault="00207B1E" w:rsidP="00207B1E"/>
    <w:p w14:paraId="0237B374" w14:textId="1CBE360D" w:rsidR="00207B1E" w:rsidRPr="00207B1E" w:rsidRDefault="00207B1E" w:rsidP="00207B1E">
      <w:pPr>
        <w:pStyle w:val="Titre1"/>
      </w:pPr>
      <w:bookmarkStart w:id="7" w:name="_Toc212918512"/>
      <w:r w:rsidRPr="00207B1E">
        <w:lastRenderedPageBreak/>
        <w:t>Milieu anisotrope</w:t>
      </w:r>
      <w:bookmarkEnd w:id="7"/>
    </w:p>
    <w:p w14:paraId="52F94EC4" w14:textId="0EF8335A" w:rsidR="00207B1E" w:rsidRPr="00207B1E" w:rsidRDefault="00207B1E" w:rsidP="00207B1E">
      <w:r w:rsidRPr="00207B1E">
        <w:drawing>
          <wp:anchor distT="0" distB="0" distL="114300" distR="114300" simplePos="0" relativeHeight="251658240" behindDoc="0" locked="0" layoutInCell="1" allowOverlap="1" wp14:anchorId="24E1FD50" wp14:editId="62D6B0BA">
            <wp:simplePos x="0" y="0"/>
            <wp:positionH relativeFrom="margin">
              <wp:align>right</wp:align>
            </wp:positionH>
            <wp:positionV relativeFrom="paragraph">
              <wp:posOffset>-153035</wp:posOffset>
            </wp:positionV>
            <wp:extent cx="1630680" cy="1737360"/>
            <wp:effectExtent l="0" t="0" r="7620" b="0"/>
            <wp:wrapSquare wrapText="bothSides"/>
            <wp:docPr id="1129855157" name="Image 43">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30680" cy="1737360"/>
                    </a:xfrm>
                    <a:prstGeom prst="rect">
                      <a:avLst/>
                    </a:prstGeom>
                    <a:noFill/>
                    <a:ln>
                      <a:noFill/>
                    </a:ln>
                  </pic:spPr>
                </pic:pic>
              </a:graphicData>
            </a:graphic>
          </wp:anchor>
        </w:drawing>
      </w:r>
      <w:r w:rsidRPr="00207B1E">
        <w:t>Pour un milieu anisotrope les surfaces de lenteurs dévient de la représentation purement sphérique relative aux corps isotropes</w:t>
      </w:r>
      <w:hyperlink r:id="rId46" w:anchor="cite_note-12" w:history="1">
        <w:r w:rsidRPr="00207B1E">
          <w:rPr>
            <w:rStyle w:val="Lienhypertexte"/>
            <w:vertAlign w:val="superscript"/>
          </w:rPr>
          <w:t>[12]</w:t>
        </w:r>
      </w:hyperlink>
      <w:r w:rsidRPr="00207B1E">
        <w:t xml:space="preserve">. Une coupe dans un plan des surfaces des lenteurs pour un matériau anisotrope est </w:t>
      </w:r>
      <w:proofErr w:type="gramStart"/>
      <w:r w:rsidRPr="00207B1E">
        <w:t>donné</w:t>
      </w:r>
      <w:proofErr w:type="gramEnd"/>
      <w:r w:rsidRPr="00207B1E">
        <w:t xml:space="preserve"> sur la figure </w:t>
      </w:r>
      <w:proofErr w:type="spellStart"/>
      <w:r w:rsidRPr="00207B1E">
        <w:t>ci contre</w:t>
      </w:r>
      <w:proofErr w:type="spellEnd"/>
      <w:r w:rsidRPr="00207B1E">
        <w:t>.</w:t>
      </w:r>
    </w:p>
    <w:p w14:paraId="17DF1795" w14:textId="77777777" w:rsidR="00207B1E" w:rsidRPr="00207B1E" w:rsidRDefault="00207B1E" w:rsidP="00207B1E"/>
    <w:sectPr w:rsidR="00207B1E" w:rsidRPr="00207B1E">
      <w:headerReference w:type="default" r:id="rId47"/>
      <w:footerReference w:type="default" r:id="rId4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4D369" w14:textId="77777777" w:rsidR="005B3A85" w:rsidRDefault="005B3A85" w:rsidP="00D54EB9">
      <w:pPr>
        <w:spacing w:after="0" w:line="240" w:lineRule="auto"/>
      </w:pPr>
      <w:r>
        <w:separator/>
      </w:r>
    </w:p>
  </w:endnote>
  <w:endnote w:type="continuationSeparator" w:id="0">
    <w:p w14:paraId="61ECACF8" w14:textId="77777777" w:rsidR="005B3A85" w:rsidRDefault="005B3A85"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4DBC" w14:textId="77777777" w:rsidR="005B3A85" w:rsidRDefault="005B3A85" w:rsidP="00D54EB9">
      <w:pPr>
        <w:spacing w:after="0" w:line="240" w:lineRule="auto"/>
      </w:pPr>
      <w:r>
        <w:separator/>
      </w:r>
    </w:p>
  </w:footnote>
  <w:footnote w:type="continuationSeparator" w:id="0">
    <w:p w14:paraId="0C4387F0" w14:textId="77777777" w:rsidR="005B3A85" w:rsidRDefault="005B3A85"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0CE2C325" w:rsidR="00D54EB9" w:rsidRDefault="00D54EB9">
    <w:pPr>
      <w:pStyle w:val="En-tte"/>
    </w:pPr>
    <w:r>
      <w:t>PHYSIQUE –</w:t>
    </w:r>
    <w:r w:rsidR="00E64510">
      <w:t xml:space="preserve"> </w:t>
    </w:r>
    <w:r w:rsidR="00207B1E" w:rsidRPr="00207B1E">
      <w:t>Lois de Snell-Descartes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9"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3"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8"/>
  </w:num>
  <w:num w:numId="2" w16cid:durableId="985860346">
    <w:abstractNumId w:val="35"/>
  </w:num>
  <w:num w:numId="3" w16cid:durableId="196166302">
    <w:abstractNumId w:val="49"/>
  </w:num>
  <w:num w:numId="4" w16cid:durableId="85611783">
    <w:abstractNumId w:val="33"/>
  </w:num>
  <w:num w:numId="5" w16cid:durableId="1764495135">
    <w:abstractNumId w:val="41"/>
  </w:num>
  <w:num w:numId="6" w16cid:durableId="9337082">
    <w:abstractNumId w:val="67"/>
  </w:num>
  <w:num w:numId="7" w16cid:durableId="1363626625">
    <w:abstractNumId w:val="2"/>
  </w:num>
  <w:num w:numId="8" w16cid:durableId="78605320">
    <w:abstractNumId w:val="11"/>
  </w:num>
  <w:num w:numId="9" w16cid:durableId="1745495026">
    <w:abstractNumId w:val="26"/>
  </w:num>
  <w:num w:numId="10" w16cid:durableId="1290820955">
    <w:abstractNumId w:val="25"/>
  </w:num>
  <w:num w:numId="11" w16cid:durableId="985741773">
    <w:abstractNumId w:val="18"/>
  </w:num>
  <w:num w:numId="12" w16cid:durableId="157624102">
    <w:abstractNumId w:val="72"/>
  </w:num>
  <w:num w:numId="13" w16cid:durableId="1794011271">
    <w:abstractNumId w:val="36"/>
  </w:num>
  <w:num w:numId="14" w16cid:durableId="2126852057">
    <w:abstractNumId w:val="53"/>
  </w:num>
  <w:num w:numId="15" w16cid:durableId="1823424295">
    <w:abstractNumId w:val="66"/>
  </w:num>
  <w:num w:numId="16" w16cid:durableId="928343046">
    <w:abstractNumId w:val="70"/>
  </w:num>
  <w:num w:numId="17" w16cid:durableId="67197130">
    <w:abstractNumId w:val="74"/>
  </w:num>
  <w:num w:numId="18" w16cid:durableId="51733916">
    <w:abstractNumId w:val="43"/>
  </w:num>
  <w:num w:numId="19" w16cid:durableId="1633438650">
    <w:abstractNumId w:val="57"/>
  </w:num>
  <w:num w:numId="20" w16cid:durableId="1157109359">
    <w:abstractNumId w:val="58"/>
  </w:num>
  <w:num w:numId="21" w16cid:durableId="1604875568">
    <w:abstractNumId w:val="4"/>
  </w:num>
  <w:num w:numId="22" w16cid:durableId="1840459850">
    <w:abstractNumId w:val="31"/>
  </w:num>
  <w:num w:numId="23" w16cid:durableId="1803888255">
    <w:abstractNumId w:val="46"/>
  </w:num>
  <w:num w:numId="24" w16cid:durableId="1998876001">
    <w:abstractNumId w:val="9"/>
  </w:num>
  <w:num w:numId="25" w16cid:durableId="466240926">
    <w:abstractNumId w:val="62"/>
  </w:num>
  <w:num w:numId="26" w16cid:durableId="1032612191">
    <w:abstractNumId w:val="68"/>
  </w:num>
  <w:num w:numId="27" w16cid:durableId="2059477957">
    <w:abstractNumId w:val="21"/>
  </w:num>
  <w:num w:numId="28" w16cid:durableId="60102640">
    <w:abstractNumId w:val="3"/>
  </w:num>
  <w:num w:numId="29" w16cid:durableId="2043286050">
    <w:abstractNumId w:val="73"/>
  </w:num>
  <w:num w:numId="30" w16cid:durableId="876817421">
    <w:abstractNumId w:val="15"/>
  </w:num>
  <w:num w:numId="31" w16cid:durableId="1191183674">
    <w:abstractNumId w:val="50"/>
  </w:num>
  <w:num w:numId="32" w16cid:durableId="1457868945">
    <w:abstractNumId w:val="14"/>
  </w:num>
  <w:num w:numId="33" w16cid:durableId="830872827">
    <w:abstractNumId w:val="40"/>
  </w:num>
  <w:num w:numId="34" w16cid:durableId="1402214887">
    <w:abstractNumId w:val="47"/>
  </w:num>
  <w:num w:numId="35" w16cid:durableId="804467890">
    <w:abstractNumId w:val="45"/>
  </w:num>
  <w:num w:numId="36" w16cid:durableId="531307307">
    <w:abstractNumId w:val="48"/>
  </w:num>
  <w:num w:numId="37" w16cid:durableId="1335260250">
    <w:abstractNumId w:val="63"/>
  </w:num>
  <w:num w:numId="38" w16cid:durableId="1648129253">
    <w:abstractNumId w:val="42"/>
  </w:num>
  <w:num w:numId="39" w16cid:durableId="808477923">
    <w:abstractNumId w:val="65"/>
  </w:num>
  <w:num w:numId="40" w16cid:durableId="313603430">
    <w:abstractNumId w:val="10"/>
  </w:num>
  <w:num w:numId="41" w16cid:durableId="832066700">
    <w:abstractNumId w:val="20"/>
  </w:num>
  <w:num w:numId="42" w16cid:durableId="222176590">
    <w:abstractNumId w:val="23"/>
  </w:num>
  <w:num w:numId="43" w16cid:durableId="1802648874">
    <w:abstractNumId w:val="69"/>
  </w:num>
  <w:num w:numId="44" w16cid:durableId="445126056">
    <w:abstractNumId w:val="75"/>
  </w:num>
  <w:num w:numId="45" w16cid:durableId="146552461">
    <w:abstractNumId w:val="16"/>
  </w:num>
  <w:num w:numId="46" w16cid:durableId="692920360">
    <w:abstractNumId w:val="5"/>
  </w:num>
  <w:num w:numId="47" w16cid:durableId="356856055">
    <w:abstractNumId w:val="30"/>
  </w:num>
  <w:num w:numId="48" w16cid:durableId="597755524">
    <w:abstractNumId w:val="61"/>
  </w:num>
  <w:num w:numId="49" w16cid:durableId="1096709593">
    <w:abstractNumId w:val="19"/>
  </w:num>
  <w:num w:numId="50" w16cid:durableId="1169979567">
    <w:abstractNumId w:val="55"/>
  </w:num>
  <w:num w:numId="51" w16cid:durableId="1886015818">
    <w:abstractNumId w:val="0"/>
  </w:num>
  <w:num w:numId="52" w16cid:durableId="107546424">
    <w:abstractNumId w:val="6"/>
  </w:num>
  <w:num w:numId="53" w16cid:durableId="223613737">
    <w:abstractNumId w:val="17"/>
  </w:num>
  <w:num w:numId="54" w16cid:durableId="1084836597">
    <w:abstractNumId w:val="39"/>
  </w:num>
  <w:num w:numId="55" w16cid:durableId="717434181">
    <w:abstractNumId w:val="52"/>
  </w:num>
  <w:num w:numId="56" w16cid:durableId="1677535290">
    <w:abstractNumId w:val="71"/>
  </w:num>
  <w:num w:numId="57" w16cid:durableId="334190522">
    <w:abstractNumId w:val="59"/>
  </w:num>
  <w:num w:numId="58" w16cid:durableId="1029602556">
    <w:abstractNumId w:val="44"/>
  </w:num>
  <w:num w:numId="59" w16cid:durableId="196553088">
    <w:abstractNumId w:val="29"/>
  </w:num>
  <w:num w:numId="60" w16cid:durableId="624122783">
    <w:abstractNumId w:val="64"/>
  </w:num>
  <w:num w:numId="61" w16cid:durableId="1168592437">
    <w:abstractNumId w:val="51"/>
  </w:num>
  <w:num w:numId="62" w16cid:durableId="1951012609">
    <w:abstractNumId w:val="1"/>
  </w:num>
  <w:num w:numId="63" w16cid:durableId="1223298642">
    <w:abstractNumId w:val="38"/>
  </w:num>
  <w:num w:numId="64" w16cid:durableId="726612268">
    <w:abstractNumId w:val="7"/>
  </w:num>
  <w:num w:numId="65" w16cid:durableId="136144830">
    <w:abstractNumId w:val="8"/>
  </w:num>
  <w:num w:numId="66" w16cid:durableId="870999469">
    <w:abstractNumId w:val="22"/>
  </w:num>
  <w:num w:numId="67" w16cid:durableId="234780024">
    <w:abstractNumId w:val="60"/>
  </w:num>
  <w:num w:numId="68" w16cid:durableId="754713752">
    <w:abstractNumId w:val="34"/>
  </w:num>
  <w:num w:numId="69" w16cid:durableId="1079868246">
    <w:abstractNumId w:val="54"/>
  </w:num>
  <w:num w:numId="70" w16cid:durableId="1964185914">
    <w:abstractNumId w:val="13"/>
  </w:num>
  <w:num w:numId="71" w16cid:durableId="1694652878">
    <w:abstractNumId w:val="12"/>
  </w:num>
  <w:num w:numId="72" w16cid:durableId="1950771740">
    <w:abstractNumId w:val="56"/>
  </w:num>
  <w:num w:numId="73" w16cid:durableId="1305771121">
    <w:abstractNumId w:val="37"/>
  </w:num>
  <w:num w:numId="74" w16cid:durableId="1176961578">
    <w:abstractNumId w:val="32"/>
  </w:num>
  <w:num w:numId="75" w16cid:durableId="1022168909">
    <w:abstractNumId w:val="27"/>
  </w:num>
  <w:num w:numId="76" w16cid:durableId="21360178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904F9"/>
    <w:rsid w:val="001A1153"/>
    <w:rsid w:val="001B225C"/>
    <w:rsid w:val="001B5761"/>
    <w:rsid w:val="001D443E"/>
    <w:rsid w:val="00207B1E"/>
    <w:rsid w:val="00216767"/>
    <w:rsid w:val="0023360B"/>
    <w:rsid w:val="00256BEA"/>
    <w:rsid w:val="0027206F"/>
    <w:rsid w:val="00287E5B"/>
    <w:rsid w:val="00296956"/>
    <w:rsid w:val="002E3539"/>
    <w:rsid w:val="00305670"/>
    <w:rsid w:val="00326B0B"/>
    <w:rsid w:val="003534BB"/>
    <w:rsid w:val="00361D9F"/>
    <w:rsid w:val="00363932"/>
    <w:rsid w:val="00371451"/>
    <w:rsid w:val="00372046"/>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B3A85"/>
    <w:rsid w:val="005D56CA"/>
    <w:rsid w:val="00620E07"/>
    <w:rsid w:val="006211F9"/>
    <w:rsid w:val="006269C7"/>
    <w:rsid w:val="00634B4A"/>
    <w:rsid w:val="0063560C"/>
    <w:rsid w:val="0064590E"/>
    <w:rsid w:val="00663AA1"/>
    <w:rsid w:val="00664D86"/>
    <w:rsid w:val="00674DD9"/>
    <w:rsid w:val="006766D4"/>
    <w:rsid w:val="0068768C"/>
    <w:rsid w:val="006A5A09"/>
    <w:rsid w:val="006C63B6"/>
    <w:rsid w:val="006E1F77"/>
    <w:rsid w:val="00705522"/>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C1C67"/>
    <w:rsid w:val="00900C0A"/>
    <w:rsid w:val="00913D14"/>
    <w:rsid w:val="00927C71"/>
    <w:rsid w:val="00930425"/>
    <w:rsid w:val="00940EDE"/>
    <w:rsid w:val="00975931"/>
    <w:rsid w:val="009B16DB"/>
    <w:rsid w:val="009C6666"/>
    <w:rsid w:val="009C6EA7"/>
    <w:rsid w:val="009D3220"/>
    <w:rsid w:val="00A30394"/>
    <w:rsid w:val="00A323C4"/>
    <w:rsid w:val="00A55D9B"/>
    <w:rsid w:val="00A67375"/>
    <w:rsid w:val="00A75422"/>
    <w:rsid w:val="00AA1169"/>
    <w:rsid w:val="00AB2814"/>
    <w:rsid w:val="00AD116A"/>
    <w:rsid w:val="00B129EF"/>
    <w:rsid w:val="00B130DF"/>
    <w:rsid w:val="00B21333"/>
    <w:rsid w:val="00B303B8"/>
    <w:rsid w:val="00B35ECA"/>
    <w:rsid w:val="00B436E8"/>
    <w:rsid w:val="00B71B6F"/>
    <w:rsid w:val="00B75C04"/>
    <w:rsid w:val="00B96FD4"/>
    <w:rsid w:val="00BB135E"/>
    <w:rsid w:val="00BD2261"/>
    <w:rsid w:val="00BF3C81"/>
    <w:rsid w:val="00C12FFF"/>
    <w:rsid w:val="00C54A6A"/>
    <w:rsid w:val="00C570D7"/>
    <w:rsid w:val="00C72B4C"/>
    <w:rsid w:val="00C76D87"/>
    <w:rsid w:val="00C90B8E"/>
    <w:rsid w:val="00CF40B0"/>
    <w:rsid w:val="00CF48DF"/>
    <w:rsid w:val="00CF6EFC"/>
    <w:rsid w:val="00D04A84"/>
    <w:rsid w:val="00D14313"/>
    <w:rsid w:val="00D35456"/>
    <w:rsid w:val="00D44A07"/>
    <w:rsid w:val="00D45960"/>
    <w:rsid w:val="00D52834"/>
    <w:rsid w:val="00D54EB9"/>
    <w:rsid w:val="00D57D98"/>
    <w:rsid w:val="00D625DC"/>
    <w:rsid w:val="00D71C3B"/>
    <w:rsid w:val="00D95E5B"/>
    <w:rsid w:val="00DA7944"/>
    <w:rsid w:val="00DC3C9B"/>
    <w:rsid w:val="00E42C0D"/>
    <w:rsid w:val="00E56699"/>
    <w:rsid w:val="00E64510"/>
    <w:rsid w:val="00E81853"/>
    <w:rsid w:val="00EB7A2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Sens_de_rotation" TargetMode="External"/><Relationship Id="rId18" Type="http://schemas.openxmlformats.org/officeDocument/2006/relationships/image" Target="media/image3.gif"/><Relationship Id="rId26" Type="http://schemas.openxmlformats.org/officeDocument/2006/relationships/hyperlink" Target="https://fr.wikipedia.org/wiki/Onde_%C3%A9lectromagn%C3%A9tique" TargetMode="External"/><Relationship Id="rId39" Type="http://schemas.openxmlformats.org/officeDocument/2006/relationships/hyperlink" Target="https://fr.wikipedia.org/wiki/Vitesse_d%27une_onde" TargetMode="External"/><Relationship Id="rId21" Type="http://schemas.openxmlformats.org/officeDocument/2006/relationships/hyperlink" Target="https://fr.wikipedia.org/wiki/R%C3%A9fraction" TargetMode="External"/><Relationship Id="rId34" Type="http://schemas.openxmlformats.org/officeDocument/2006/relationships/hyperlink" Target="https://fr.wikipedia.org/wiki/D%C3%A9phasage" TargetMode="External"/><Relationship Id="rId42" Type="http://schemas.openxmlformats.org/officeDocument/2006/relationships/hyperlink" Target="https://fr.wikipedia.org/wiki/Onde_longitudinale"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hyperlink" Target="https://commons.wikimedia.org/wiki/File:Reflexion_fr.png?uselang=fr" TargetMode="External"/><Relationship Id="rId2" Type="http://schemas.openxmlformats.org/officeDocument/2006/relationships/styles" Target="styles.xml"/><Relationship Id="rId16" Type="http://schemas.openxmlformats.org/officeDocument/2006/relationships/hyperlink" Target="https://fr.wikipedia.org/wiki/Indice_de_r%C3%A9fraction" TargetMode="External"/><Relationship Id="rId29" Type="http://schemas.openxmlformats.org/officeDocument/2006/relationships/hyperlink" Target="https://fr.wikipedia.org/wiki/Normale_(g%C3%A9om%C3%A9trie)" TargetMode="External"/><Relationship Id="rId11" Type="http://schemas.openxmlformats.org/officeDocument/2006/relationships/hyperlink" Target="https://fr.wikipedia.org/wiki/Angle_orient%C3%A9" TargetMode="External"/><Relationship Id="rId24" Type="http://schemas.openxmlformats.org/officeDocument/2006/relationships/hyperlink" Target="https://fr.wikipedia.org/wiki/Principe_de_Huygens-Fresnel" TargetMode="External"/><Relationship Id="rId32" Type="http://schemas.openxmlformats.org/officeDocument/2006/relationships/hyperlink" Target="https://fr.wikipedia.org/wiki/Universit%C3%A9_Harvard" TargetMode="External"/><Relationship Id="rId37" Type="http://schemas.openxmlformats.org/officeDocument/2006/relationships/hyperlink" Target="https://commons.wikimedia.org/wiki/File:Surface_des_lenteurs_solide.png?uselang=fr" TargetMode="External"/><Relationship Id="rId40" Type="http://schemas.openxmlformats.org/officeDocument/2006/relationships/hyperlink" Target="https://fr.wikipedia.org/wiki/Propagation_des_ondes" TargetMode="External"/><Relationship Id="rId45"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fr.wikipedia.org/wiki/R%C3%A9flexion_totale" TargetMode="External"/><Relationship Id="rId28" Type="http://schemas.openxmlformats.org/officeDocument/2006/relationships/hyperlink" Target="https://fr.wikipedia.org/wiki/Scalaire_(math%C3%A9matiques)" TargetMode="External"/><Relationship Id="rId36" Type="http://schemas.openxmlformats.org/officeDocument/2006/relationships/hyperlink" Target="https://fr.wikipedia.org/wiki/Longueur_d%27onde" TargetMode="External"/><Relationship Id="rId49" Type="http://schemas.openxmlformats.org/officeDocument/2006/relationships/fontTable" Target="fontTable.xml"/><Relationship Id="rId10" Type="http://schemas.openxmlformats.org/officeDocument/2006/relationships/hyperlink" Target="https://fr.wikipedia.org/wiki/Plan_d%27incidence" TargetMode="External"/><Relationship Id="rId19" Type="http://schemas.openxmlformats.org/officeDocument/2006/relationships/hyperlink" Target="https://fr.wikipedia.org/wiki/Rayon_lumineux" TargetMode="External"/><Relationship Id="rId31" Type="http://schemas.openxmlformats.org/officeDocument/2006/relationships/hyperlink" Target="https://fr.wikipedia.org/wiki/Racine_carr%C3%A9e" TargetMode="External"/><Relationship Id="rId44" Type="http://schemas.openxmlformats.org/officeDocument/2006/relationships/hyperlink" Target="https://commons.wikimedia.org/wiki/File:Surface_des_lenteurs_pour_un_solide_anisotrope.png?uselang=fr" TargetMode="External"/><Relationship Id="rId4" Type="http://schemas.openxmlformats.org/officeDocument/2006/relationships/webSettings" Target="webSettings.xml"/><Relationship Id="rId9" Type="http://schemas.openxmlformats.org/officeDocument/2006/relationships/hyperlink" Target="https://fr.wikipedia.org/wiki/Rayon_lumineux" TargetMode="External"/><Relationship Id="rId14" Type="http://schemas.openxmlformats.org/officeDocument/2006/relationships/hyperlink" Target="https://commons.wikimedia.org/wiki/File:Changement_de_milieu_de_propagation-_r%C3%A9fraction_et_r%C3%A9flexion.jpg?uselang=fr" TargetMode="External"/><Relationship Id="rId22" Type="http://schemas.openxmlformats.org/officeDocument/2006/relationships/hyperlink" Target="https://fr.wikipedia.org/wiki/Dioptre" TargetMode="External"/><Relationship Id="rId27" Type="http://schemas.openxmlformats.org/officeDocument/2006/relationships/hyperlink" Target="https://fr.wikipedia.org/wiki/Vecteur_directeur" TargetMode="External"/><Relationship Id="rId30" Type="http://schemas.openxmlformats.org/officeDocument/2006/relationships/hyperlink" Target="https://fr.wikipedia.org/wiki/R%C3%A9flexion_totale" TargetMode="External"/><Relationship Id="rId35" Type="http://schemas.openxmlformats.org/officeDocument/2006/relationships/hyperlink" Target="https://fr.wikipedia.org/wiki/Principe_de_Fermat" TargetMode="External"/><Relationship Id="rId43" Type="http://schemas.openxmlformats.org/officeDocument/2006/relationships/hyperlink" Target="https://fr.wikipedia.org/wiki/Onde_transversale"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fr.wikipedia.org/wiki/Angle_d%27incidence_(optique)" TargetMode="External"/><Relationship Id="rId17" Type="http://schemas.openxmlformats.org/officeDocument/2006/relationships/hyperlink" Target="https://commons.wikimedia.org/wiki/File:Refraction_limite.gif?uselang=fr" TargetMode="External"/><Relationship Id="rId25" Type="http://schemas.openxmlformats.org/officeDocument/2006/relationships/hyperlink" Target="https://fr.wikipedia.org/wiki/Principe_de_Fermat" TargetMode="External"/><Relationship Id="rId33" Type="http://schemas.openxmlformats.org/officeDocument/2006/relationships/hyperlink" Target="https://fr.wikipedia.org/wiki/%C3%89tats-Unis" TargetMode="External"/><Relationship Id="rId38" Type="http://schemas.openxmlformats.org/officeDocument/2006/relationships/image" Target="media/image4.png"/><Relationship Id="rId46" Type="http://schemas.openxmlformats.org/officeDocument/2006/relationships/hyperlink" Target="https://fr.wikipedia.org/wiki/Lois_de_Snell-Descartes" TargetMode="External"/><Relationship Id="rId20" Type="http://schemas.openxmlformats.org/officeDocument/2006/relationships/hyperlink" Target="https://fr.wikipedia.org/wiki/Plan_d%27incidence" TargetMode="External"/><Relationship Id="rId41" Type="http://schemas.openxmlformats.org/officeDocument/2006/relationships/hyperlink" Target="https://fr.wikipedia.org/wiki/Point_fix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6</Pages>
  <Words>1814</Words>
  <Characters>9979</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72</cp:revision>
  <dcterms:created xsi:type="dcterms:W3CDTF">2022-12-23T07:20:00Z</dcterms:created>
  <dcterms:modified xsi:type="dcterms:W3CDTF">2025-11-01T18:41:00Z</dcterms:modified>
</cp:coreProperties>
</file>