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CA9E" w14:textId="07713EBF" w:rsidR="009B1DB3" w:rsidRDefault="009B1DB3" w:rsidP="009B1DB3">
      <w:pPr>
        <w:pStyle w:val="Titre1"/>
      </w:pPr>
      <w:proofErr w:type="spellStart"/>
      <w:r w:rsidRPr="009B1DB3">
        <w:t>Overwhelmingly</w:t>
      </w:r>
      <w:proofErr w:type="spellEnd"/>
      <w:r w:rsidRPr="009B1DB3">
        <w:t xml:space="preserve"> Large </w:t>
      </w:r>
      <w:proofErr w:type="spellStart"/>
      <w:r w:rsidRPr="009B1DB3">
        <w:t>Telescope</w:t>
      </w:r>
      <w:proofErr w:type="spellEnd"/>
    </w:p>
    <w:p w14:paraId="23ECA171" w14:textId="511A2BC4" w:rsidR="002D54BA" w:rsidRPr="009B1DB3" w:rsidRDefault="001D36D0" w:rsidP="003D5A98">
      <w:pPr>
        <w:pStyle w:val="Titre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0A8069" wp14:editId="2A844A25">
            <wp:simplePos x="0" y="0"/>
            <wp:positionH relativeFrom="margin">
              <wp:posOffset>3443605</wp:posOffset>
            </wp:positionH>
            <wp:positionV relativeFrom="paragraph">
              <wp:posOffset>10160</wp:posOffset>
            </wp:positionV>
            <wp:extent cx="2924175" cy="1776095"/>
            <wp:effectExtent l="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A98" w:rsidRPr="009B1DB3">
        <w:rPr>
          <w:b/>
          <w:bCs/>
        </w:rPr>
        <w:t>Introduction</w:t>
      </w:r>
    </w:p>
    <w:p w14:paraId="3E5E33A1" w14:textId="5339E340" w:rsidR="009B1DB3" w:rsidRPr="00F67AFF" w:rsidRDefault="009B1DB3" w:rsidP="00E016DE">
      <w:pPr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L'</w:t>
      </w:r>
      <w:proofErr w:type="spellStart"/>
      <w:r w:rsidRPr="009B1DB3">
        <w:rPr>
          <w:rFonts w:ascii="Arial" w:hAnsi="Arial" w:cs="Arial"/>
        </w:rPr>
        <w:t>Overwhelmingly</w:t>
      </w:r>
      <w:proofErr w:type="spellEnd"/>
      <w:r w:rsidRPr="009B1DB3">
        <w:rPr>
          <w:rFonts w:ascii="Arial" w:hAnsi="Arial" w:cs="Arial"/>
        </w:rPr>
        <w:t xml:space="preserve"> Large </w:t>
      </w:r>
      <w:proofErr w:type="spellStart"/>
      <w:r w:rsidRPr="009B1DB3">
        <w:rPr>
          <w:rFonts w:ascii="Arial" w:hAnsi="Arial" w:cs="Arial"/>
        </w:rPr>
        <w:t>Telescope</w:t>
      </w:r>
      <w:proofErr w:type="spellEnd"/>
      <w:r w:rsidRPr="009B1DB3">
        <w:rPr>
          <w:rFonts w:ascii="Arial" w:hAnsi="Arial" w:cs="Arial"/>
        </w:rPr>
        <w:t xml:space="preserve"> était un projet de l'</w:t>
      </w:r>
      <w:hyperlink r:id="rId8" w:tooltip="Observatoire européen austral" w:history="1">
        <w:r w:rsidRPr="009B1DB3">
          <w:rPr>
            <w:rFonts w:ascii="Arial" w:hAnsi="Arial" w:cs="Arial"/>
          </w:rPr>
          <w:t>observatoire européen austral</w:t>
        </w:r>
      </w:hyperlink>
      <w:r w:rsidRPr="009B1DB3">
        <w:rPr>
          <w:rFonts w:ascii="Arial" w:hAnsi="Arial" w:cs="Arial"/>
        </w:rPr>
        <w:t xml:space="preserve"> (ESO) visant à concevoir un </w:t>
      </w:r>
      <w:hyperlink r:id="rId9" w:tooltip="Télescope" w:history="1">
        <w:r w:rsidRPr="009B1DB3">
          <w:rPr>
            <w:rFonts w:ascii="Arial" w:hAnsi="Arial" w:cs="Arial"/>
          </w:rPr>
          <w:t>télescope</w:t>
        </w:r>
      </w:hyperlink>
      <w:r w:rsidRPr="009B1DB3">
        <w:rPr>
          <w:rFonts w:ascii="Arial" w:hAnsi="Arial" w:cs="Arial"/>
        </w:rPr>
        <w:t xml:space="preserve"> doté d'un miroir primaire de 100 mètres de diamètre. Sa résolution angulaire serait 40 fois plus importante que </w:t>
      </w:r>
      <w:hyperlink r:id="rId10" w:tooltip="Télescope spatial Hubble" w:history="1">
        <w:r w:rsidRPr="009B1DB3">
          <w:rPr>
            <w:rFonts w:ascii="Arial" w:hAnsi="Arial" w:cs="Arial"/>
          </w:rPr>
          <w:t>Hubble</w:t>
        </w:r>
      </w:hyperlink>
      <w:r w:rsidRPr="009B1DB3">
        <w:rPr>
          <w:rFonts w:ascii="Arial" w:hAnsi="Arial" w:cs="Arial"/>
        </w:rPr>
        <w:t xml:space="preserve">, ce qui la fait descendre sous la </w:t>
      </w:r>
      <w:hyperlink r:id="rId11" w:tooltip="Milliseconde d'arc" w:history="1">
        <w:r w:rsidRPr="009B1DB3">
          <w:rPr>
            <w:rFonts w:ascii="Arial" w:hAnsi="Arial" w:cs="Arial"/>
          </w:rPr>
          <w:t>milliseconde d'arc</w:t>
        </w:r>
      </w:hyperlink>
      <w:r w:rsidRPr="009B1DB3">
        <w:rPr>
          <w:rFonts w:ascii="Arial" w:hAnsi="Arial" w:cs="Arial"/>
        </w:rPr>
        <w:t>.</w:t>
      </w:r>
    </w:p>
    <w:p w14:paraId="6E38E758" w14:textId="77777777" w:rsidR="001D36D0" w:rsidRDefault="001D36D0" w:rsidP="009B1DB3">
      <w:pPr>
        <w:pStyle w:val="Titre2"/>
        <w:rPr>
          <w:rStyle w:val="mw-headline"/>
          <w:b/>
          <w:bCs/>
        </w:rPr>
      </w:pPr>
    </w:p>
    <w:p w14:paraId="39969F45" w14:textId="77777777" w:rsidR="001D36D0" w:rsidRDefault="001D36D0" w:rsidP="009B1DB3">
      <w:pPr>
        <w:pStyle w:val="Titre2"/>
        <w:rPr>
          <w:rStyle w:val="mw-headline"/>
          <w:b/>
          <w:bCs/>
        </w:rPr>
      </w:pPr>
    </w:p>
    <w:p w14:paraId="662079E8" w14:textId="181004D8" w:rsidR="009B1DB3" w:rsidRPr="009B1DB3" w:rsidRDefault="009B1DB3" w:rsidP="009B1DB3">
      <w:pPr>
        <w:pStyle w:val="Titre2"/>
        <w:rPr>
          <w:b/>
          <w:bCs/>
        </w:rPr>
      </w:pPr>
      <w:r w:rsidRPr="009B1DB3">
        <w:rPr>
          <w:rStyle w:val="mw-headline"/>
          <w:b/>
          <w:bCs/>
        </w:rPr>
        <w:t>Conception</w:t>
      </w:r>
    </w:p>
    <w:p w14:paraId="47301847" w14:textId="06CB5B8C" w:rsidR="009B1DB3" w:rsidRPr="009B1DB3" w:rsidRDefault="009B1DB3" w:rsidP="009B1DB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4F8616AB" wp14:editId="0E0C7BC3">
            <wp:simplePos x="0" y="0"/>
            <wp:positionH relativeFrom="column">
              <wp:posOffset>3615054</wp:posOffset>
            </wp:positionH>
            <wp:positionV relativeFrom="paragraph">
              <wp:posOffset>11429</wp:posOffset>
            </wp:positionV>
            <wp:extent cx="2301133" cy="2238375"/>
            <wp:effectExtent l="0" t="0" r="4445" b="0"/>
            <wp:wrapNone/>
            <wp:docPr id="1" name="Image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681" cy="224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1DB3">
        <w:rPr>
          <w:rFonts w:ascii="Arial" w:hAnsi="Arial" w:cs="Arial"/>
        </w:rPr>
        <w:t xml:space="preserve">Diamètre du miroir primaire : 100 </w:t>
      </w:r>
      <w:hyperlink r:id="rId14" w:tooltip="Mètre" w:history="1">
        <w:r w:rsidRPr="009B1DB3">
          <w:rPr>
            <w:rFonts w:ascii="Arial" w:hAnsi="Arial" w:cs="Arial"/>
          </w:rPr>
          <w:t>m</w:t>
        </w:r>
      </w:hyperlink>
    </w:p>
    <w:p w14:paraId="1B203722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 xml:space="preserve">Type de télescope : </w:t>
      </w:r>
      <w:hyperlink r:id="rId15" w:tooltip="Télescope de type Cassegrain" w:history="1">
        <w:r w:rsidRPr="009B1DB3">
          <w:rPr>
            <w:rFonts w:ascii="Arial" w:hAnsi="Arial" w:cs="Arial"/>
          </w:rPr>
          <w:t>Cassegrain</w:t>
        </w:r>
      </w:hyperlink>
    </w:p>
    <w:p w14:paraId="3DEFD6F0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 xml:space="preserve">Surface collectrice : &gt; 6 000 </w:t>
      </w:r>
      <w:hyperlink r:id="rId16" w:tooltip="Mètre" w:history="1">
        <w:r w:rsidRPr="009B1DB3">
          <w:rPr>
            <w:rFonts w:ascii="Arial" w:hAnsi="Arial" w:cs="Arial"/>
          </w:rPr>
          <w:t>m²</w:t>
        </w:r>
      </w:hyperlink>
    </w:p>
    <w:p w14:paraId="351588E2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Optique adaptative multi conjuguée</w:t>
      </w:r>
    </w:p>
    <w:p w14:paraId="16311BD3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 xml:space="preserve">Champ accessible à la limite de diffraction : </w:t>
      </w:r>
    </w:p>
    <w:p w14:paraId="75051955" w14:textId="77777777" w:rsidR="009B1DB3" w:rsidRPr="009B1DB3" w:rsidRDefault="009B1DB3" w:rsidP="009B1DB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hyperlink r:id="rId17" w:tooltip="Lumière visible" w:history="1">
        <w:r w:rsidRPr="009B1DB3">
          <w:rPr>
            <w:rFonts w:ascii="Arial" w:hAnsi="Arial" w:cs="Arial"/>
          </w:rPr>
          <w:t>Visible</w:t>
        </w:r>
      </w:hyperlink>
      <w:r w:rsidRPr="009B1DB3">
        <w:rPr>
          <w:rFonts w:ascii="Arial" w:hAnsi="Arial" w:cs="Arial"/>
        </w:rPr>
        <w:t xml:space="preserve"> (0.5 µm) : &gt; 30 arc sec.</w:t>
      </w:r>
    </w:p>
    <w:p w14:paraId="5FA9CE1C" w14:textId="77777777" w:rsidR="009B1DB3" w:rsidRPr="009B1DB3" w:rsidRDefault="009B1DB3" w:rsidP="009B1DB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hyperlink r:id="rId18" w:tooltip="Infrarouge" w:history="1">
        <w:r w:rsidRPr="009B1DB3">
          <w:rPr>
            <w:rFonts w:ascii="Arial" w:hAnsi="Arial" w:cs="Arial"/>
          </w:rPr>
          <w:t>Infrarouge</w:t>
        </w:r>
      </w:hyperlink>
      <w:r w:rsidRPr="009B1DB3">
        <w:rPr>
          <w:rFonts w:ascii="Arial" w:hAnsi="Arial" w:cs="Arial"/>
        </w:rPr>
        <w:t xml:space="preserve"> (2 µm) : &gt; 2 </w:t>
      </w:r>
      <w:proofErr w:type="gramStart"/>
      <w:r w:rsidRPr="009B1DB3">
        <w:rPr>
          <w:rFonts w:ascii="Arial" w:hAnsi="Arial" w:cs="Arial"/>
        </w:rPr>
        <w:t>arc</w:t>
      </w:r>
      <w:proofErr w:type="gramEnd"/>
      <w:r w:rsidRPr="009B1DB3">
        <w:rPr>
          <w:rFonts w:ascii="Arial" w:hAnsi="Arial" w:cs="Arial"/>
        </w:rPr>
        <w:t xml:space="preserve"> min.</w:t>
      </w:r>
    </w:p>
    <w:p w14:paraId="1054E84F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hyperlink r:id="rId19" w:tooltip="Rapport de Strehl" w:history="1">
        <w:r w:rsidRPr="009B1DB3">
          <w:rPr>
            <w:rFonts w:ascii="Arial" w:hAnsi="Arial" w:cs="Arial"/>
          </w:rPr>
          <w:t xml:space="preserve">Rapport de </w:t>
        </w:r>
        <w:proofErr w:type="spellStart"/>
        <w:r w:rsidRPr="009B1DB3">
          <w:rPr>
            <w:rFonts w:ascii="Arial" w:hAnsi="Arial" w:cs="Arial"/>
          </w:rPr>
          <w:t>Strehl</w:t>
        </w:r>
        <w:proofErr w:type="spellEnd"/>
      </w:hyperlink>
      <w:r w:rsidRPr="009B1DB3">
        <w:rPr>
          <w:rFonts w:ascii="Arial" w:hAnsi="Arial" w:cs="Arial"/>
        </w:rPr>
        <w:t xml:space="preserve"> (à 0.5 </w:t>
      </w:r>
      <w:hyperlink r:id="rId20" w:tooltip="Mètre" w:history="1">
        <w:r w:rsidRPr="009B1DB3">
          <w:rPr>
            <w:rFonts w:ascii="Arial" w:hAnsi="Arial" w:cs="Arial"/>
          </w:rPr>
          <w:t>µm</w:t>
        </w:r>
      </w:hyperlink>
      <w:r w:rsidRPr="009B1DB3">
        <w:rPr>
          <w:rFonts w:ascii="Arial" w:hAnsi="Arial" w:cs="Arial"/>
        </w:rPr>
        <w:t xml:space="preserve">) </w:t>
      </w:r>
    </w:p>
    <w:p w14:paraId="2460D3E6" w14:textId="77777777" w:rsidR="009B1DB3" w:rsidRPr="009B1DB3" w:rsidRDefault="009B1DB3" w:rsidP="009B1DB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Minimum : 20 %</w:t>
      </w:r>
    </w:p>
    <w:p w14:paraId="31ADF70C" w14:textId="77777777" w:rsidR="009B1DB3" w:rsidRPr="009B1DB3" w:rsidRDefault="009B1DB3" w:rsidP="009B1DB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But : 30 %</w:t>
      </w:r>
    </w:p>
    <w:p w14:paraId="79EB4EB0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 xml:space="preserve">Limite du champ de vision : 10 </w:t>
      </w:r>
      <w:proofErr w:type="gramStart"/>
      <w:r w:rsidRPr="009B1DB3">
        <w:rPr>
          <w:rFonts w:ascii="Arial" w:hAnsi="Arial" w:cs="Arial"/>
        </w:rPr>
        <w:t>arc</w:t>
      </w:r>
      <w:proofErr w:type="gramEnd"/>
      <w:r w:rsidRPr="009B1DB3">
        <w:rPr>
          <w:rFonts w:ascii="Arial" w:hAnsi="Arial" w:cs="Arial"/>
        </w:rPr>
        <w:t xml:space="preserve"> min.</w:t>
      </w:r>
    </w:p>
    <w:p w14:paraId="5336B324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Gamme de longueur d'onde : 0,32-12um</w:t>
      </w:r>
    </w:p>
    <w:p w14:paraId="748359FF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proofErr w:type="spellStart"/>
      <w:r w:rsidRPr="009B1DB3">
        <w:rPr>
          <w:rFonts w:ascii="Arial" w:hAnsi="Arial" w:cs="Arial"/>
        </w:rPr>
        <w:t>Elevation</w:t>
      </w:r>
      <w:proofErr w:type="spellEnd"/>
      <w:r w:rsidRPr="009B1DB3">
        <w:rPr>
          <w:rFonts w:ascii="Arial" w:hAnsi="Arial" w:cs="Arial"/>
        </w:rPr>
        <w:t xml:space="preserve"> range </w:t>
      </w:r>
    </w:p>
    <w:p w14:paraId="6E207762" w14:textId="77777777" w:rsidR="009B1DB3" w:rsidRPr="009B1DB3" w:rsidRDefault="009B1DB3" w:rsidP="009B1DB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Opérationnel : 30-89 degrés</w:t>
      </w:r>
    </w:p>
    <w:p w14:paraId="6E90CC3B" w14:textId="77777777" w:rsidR="009B1DB3" w:rsidRPr="009B1DB3" w:rsidRDefault="009B1DB3" w:rsidP="009B1DB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Technique : 0-90 degrés</w:t>
      </w:r>
    </w:p>
    <w:p w14:paraId="43F7E759" w14:textId="77777777" w:rsidR="009B1DB3" w:rsidRPr="009B1DB3" w:rsidRDefault="009B1DB3" w:rsidP="009B1DB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B1DB3">
        <w:rPr>
          <w:rFonts w:ascii="Arial" w:hAnsi="Arial" w:cs="Arial"/>
        </w:rPr>
        <w:t>Coût maximum : 1,2 milliard d'</w:t>
      </w:r>
      <w:hyperlink r:id="rId21" w:tooltip="Euro" w:history="1">
        <w:r w:rsidRPr="009B1DB3">
          <w:rPr>
            <w:rFonts w:ascii="Arial" w:hAnsi="Arial" w:cs="Arial"/>
          </w:rPr>
          <w:t>euros</w:t>
        </w:r>
      </w:hyperlink>
    </w:p>
    <w:p w14:paraId="12E638A9" w14:textId="77777777" w:rsidR="009B1DB3" w:rsidRPr="009B1DB3" w:rsidRDefault="009B1DB3" w:rsidP="009B1DB3">
      <w:pPr>
        <w:pStyle w:val="NormalWeb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9B1DB3">
        <w:rPr>
          <w:rFonts w:ascii="Arial" w:eastAsiaTheme="minorHAnsi" w:hAnsi="Arial" w:cs="Arial"/>
          <w:sz w:val="22"/>
          <w:szCs w:val="22"/>
          <w:lang w:eastAsia="en-US"/>
        </w:rPr>
        <w:t xml:space="preserve">Comme il est impossible de concevoir un miroir d'un seul bloc de cette dimension, c'est la technique du </w:t>
      </w:r>
      <w:hyperlink r:id="rId22" w:tooltip="Miroir segmenté" w:history="1">
        <w:r w:rsidRPr="009B1DB3">
          <w:rPr>
            <w:rFonts w:ascii="Arial" w:eastAsiaTheme="minorHAnsi" w:hAnsi="Arial" w:cs="Arial"/>
            <w:sz w:val="22"/>
            <w:szCs w:val="22"/>
            <w:lang w:eastAsia="en-US"/>
          </w:rPr>
          <w:t>miroir segmenté</w:t>
        </w:r>
      </w:hyperlink>
      <w:r w:rsidRPr="009B1DB3">
        <w:rPr>
          <w:rFonts w:ascii="Arial" w:eastAsiaTheme="minorHAnsi" w:hAnsi="Arial" w:cs="Arial"/>
          <w:sz w:val="22"/>
          <w:szCs w:val="22"/>
          <w:lang w:eastAsia="en-US"/>
        </w:rPr>
        <w:t xml:space="preserve"> qui aurait été choisie (comme pour l'ELT). Ainsi, le miroir primaire aurait été composé de 3 048 miroirs de 1,6 mètre de diamètre. Assemblé sur une même structure, l'ensemble aurait été aussi efficace qu'un télescope de 100 mètres de diamètre. </w:t>
      </w:r>
    </w:p>
    <w:p w14:paraId="25185E6C" w14:textId="77777777" w:rsidR="009B1DB3" w:rsidRPr="009B1DB3" w:rsidRDefault="009B1DB3" w:rsidP="009B1DB3">
      <w:pPr>
        <w:pStyle w:val="NormalWeb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9B1DB3">
        <w:rPr>
          <w:rFonts w:ascii="Arial" w:eastAsiaTheme="minorHAnsi" w:hAnsi="Arial" w:cs="Arial"/>
          <w:sz w:val="22"/>
          <w:szCs w:val="22"/>
          <w:lang w:eastAsia="en-US"/>
        </w:rPr>
        <w:t xml:space="preserve">Les </w:t>
      </w:r>
      <w:hyperlink r:id="rId23" w:tooltip="Photon" w:history="1">
        <w:r w:rsidRPr="009B1DB3">
          <w:rPr>
            <w:rFonts w:ascii="Arial" w:eastAsiaTheme="minorHAnsi" w:hAnsi="Arial" w:cs="Arial"/>
            <w:sz w:val="22"/>
            <w:szCs w:val="22"/>
            <w:lang w:eastAsia="en-US"/>
          </w:rPr>
          <w:t>photons</w:t>
        </w:r>
      </w:hyperlink>
      <w:r w:rsidRPr="009B1DB3">
        <w:rPr>
          <w:rFonts w:ascii="Arial" w:eastAsiaTheme="minorHAnsi" w:hAnsi="Arial" w:cs="Arial"/>
          <w:sz w:val="22"/>
          <w:szCs w:val="22"/>
          <w:lang w:eastAsia="en-US"/>
        </w:rPr>
        <w:t xml:space="preserve"> récupérés par le miroir primaire sont ensuite concentrés dans un miroir secondaire de 25,6 mètres de diamètre (lui-même composé de 216 segments de mêmes miroirs de 1,6 mètre de diamètre). L'image obtenue étant déformée par les turbulences de l'</w:t>
      </w:r>
      <w:hyperlink r:id="rId24" w:tooltip="Atmosphère terrestre" w:history="1">
        <w:r w:rsidRPr="009B1DB3">
          <w:rPr>
            <w:rFonts w:ascii="Arial" w:eastAsiaTheme="minorHAnsi" w:hAnsi="Arial" w:cs="Arial"/>
            <w:sz w:val="22"/>
            <w:szCs w:val="22"/>
            <w:lang w:eastAsia="en-US"/>
          </w:rPr>
          <w:t>atmosphère</w:t>
        </w:r>
      </w:hyperlink>
      <w:r w:rsidRPr="009B1DB3">
        <w:rPr>
          <w:rFonts w:ascii="Arial" w:eastAsiaTheme="minorHAnsi" w:hAnsi="Arial" w:cs="Arial"/>
          <w:sz w:val="22"/>
          <w:szCs w:val="22"/>
          <w:lang w:eastAsia="en-US"/>
        </w:rPr>
        <w:t>, elle devra être corrigée par un système d'</w:t>
      </w:r>
      <w:hyperlink r:id="rId25" w:tooltip="Optique adaptative" w:history="1">
        <w:r w:rsidRPr="009B1DB3">
          <w:rPr>
            <w:rFonts w:ascii="Arial" w:eastAsiaTheme="minorHAnsi" w:hAnsi="Arial" w:cs="Arial"/>
            <w:sz w:val="22"/>
            <w:szCs w:val="22"/>
            <w:lang w:eastAsia="en-US"/>
          </w:rPr>
          <w:t>optique adaptative</w:t>
        </w:r>
      </w:hyperlink>
      <w:r w:rsidRPr="009B1DB3">
        <w:rPr>
          <w:rFonts w:ascii="Arial" w:eastAsiaTheme="minorHAnsi" w:hAnsi="Arial" w:cs="Arial"/>
          <w:sz w:val="22"/>
          <w:szCs w:val="22"/>
          <w:lang w:eastAsia="en-US"/>
        </w:rPr>
        <w:t xml:space="preserve"> composé de quatre miroirs déformables. </w:t>
      </w:r>
    </w:p>
    <w:p w14:paraId="01BC31A0" w14:textId="468B4269" w:rsidR="009B1DB3" w:rsidRPr="009B1DB3" w:rsidRDefault="009B1DB3" w:rsidP="009B1DB3">
      <w:pPr>
        <w:pStyle w:val="NormalWeb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9B1DB3">
        <w:rPr>
          <w:rFonts w:ascii="Arial" w:eastAsiaTheme="minorHAnsi" w:hAnsi="Arial" w:cs="Arial"/>
          <w:sz w:val="22"/>
          <w:szCs w:val="22"/>
          <w:lang w:eastAsia="en-US"/>
        </w:rPr>
        <w:t xml:space="preserve">Le correcteur inclut deux miroirs actifs de classe flexible de huit mètres (semblables au miroir primaire de VLT), qui se focaliseront dans un de 4,2 mètres. Celui-ci se focalise encore dans un miroir de 2,35 mètres de diamètre qui constitue le dernier de la chaîne avant que la lumière des étoiles n'arrive aux instruments d'observation. </w:t>
      </w:r>
    </w:p>
    <w:p w14:paraId="68819C76" w14:textId="2BC86CBE" w:rsidR="00E71370" w:rsidRPr="009B1DB3" w:rsidRDefault="009B1DB3" w:rsidP="009B1DB3">
      <w:pPr>
        <w:pStyle w:val="Titre2"/>
        <w:jc w:val="both"/>
        <w:rPr>
          <w:rFonts w:ascii="Arial" w:eastAsiaTheme="minorHAnsi" w:hAnsi="Arial" w:cs="Arial"/>
          <w:color w:val="auto"/>
          <w:sz w:val="22"/>
          <w:szCs w:val="22"/>
        </w:rPr>
      </w:pPr>
      <w:r w:rsidRPr="009B1DB3">
        <w:rPr>
          <w:rFonts w:ascii="Arial" w:eastAsiaTheme="minorHAnsi" w:hAnsi="Arial" w:cs="Arial"/>
          <w:color w:val="auto"/>
          <w:sz w:val="22"/>
          <w:szCs w:val="22"/>
        </w:rPr>
        <w:lastRenderedPageBreak/>
        <w:t xml:space="preserve">Le télescope aurait été doté d'un mouvement uniquement </w:t>
      </w:r>
      <w:hyperlink r:id="rId26" w:tooltip="Système de coordonnées horizontales" w:history="1">
        <w:r w:rsidRPr="009B1DB3">
          <w:rPr>
            <w:rFonts w:ascii="Arial" w:eastAsiaTheme="minorHAnsi" w:hAnsi="Arial" w:cs="Arial"/>
            <w:color w:val="auto"/>
            <w:sz w:val="22"/>
            <w:szCs w:val="22"/>
          </w:rPr>
          <w:t>azimutal</w:t>
        </w:r>
      </w:hyperlink>
      <w:r w:rsidRPr="009B1DB3">
        <w:rPr>
          <w:rFonts w:ascii="Arial" w:eastAsiaTheme="minorHAnsi" w:hAnsi="Arial" w:cs="Arial"/>
          <w:color w:val="auto"/>
          <w:sz w:val="22"/>
          <w:szCs w:val="22"/>
        </w:rPr>
        <w:t xml:space="preserve"> qui aurait fait bouger l'ensemble de 14 800 tonnes. Néanmoins aussi impressionnant que cela puisse paraître, si l'on rapporte les dimensions d'un télescope conventionnel à l'OWL, ce dernier devrait faire dans le million de tonnes. Des </w:t>
      </w:r>
      <w:hyperlink r:id="rId27" w:tooltip="Matériaux composite" w:history="1">
        <w:r w:rsidRPr="009B1DB3">
          <w:rPr>
            <w:rFonts w:ascii="Arial" w:eastAsiaTheme="minorHAnsi" w:hAnsi="Arial" w:cs="Arial"/>
            <w:color w:val="auto"/>
            <w:sz w:val="22"/>
            <w:szCs w:val="22"/>
          </w:rPr>
          <w:t>matériaux composites</w:t>
        </w:r>
      </w:hyperlink>
      <w:r w:rsidRPr="009B1DB3">
        <w:rPr>
          <w:rFonts w:ascii="Arial" w:eastAsiaTheme="minorHAnsi" w:hAnsi="Arial" w:cs="Arial"/>
          <w:color w:val="auto"/>
          <w:sz w:val="22"/>
          <w:szCs w:val="22"/>
        </w:rPr>
        <w:t xml:space="preserve"> auraient été utilisés pour les câbles de tension et peut-être à certains endroits spécifiques de la structure (à condition que cela ait amélioré l'exécution et la sûreté à des coûts raisonnables). Ainsi la masse à bouger aurait été réduite à 8 500 tonnes si les segments avaient été fabriqués en </w:t>
      </w:r>
      <w:hyperlink r:id="rId28" w:tooltip="Carbure de silicium" w:history="1">
        <w:r w:rsidRPr="009B1DB3">
          <w:rPr>
            <w:rFonts w:ascii="Arial" w:eastAsiaTheme="minorHAnsi" w:hAnsi="Arial" w:cs="Arial"/>
            <w:color w:val="auto"/>
            <w:sz w:val="22"/>
            <w:szCs w:val="22"/>
          </w:rPr>
          <w:t>carbure de silicium</w:t>
        </w:r>
      </w:hyperlink>
      <w:r w:rsidRPr="009B1DB3">
        <w:rPr>
          <w:rFonts w:ascii="Arial" w:eastAsiaTheme="minorHAnsi" w:hAnsi="Arial" w:cs="Arial"/>
          <w:color w:val="auto"/>
          <w:sz w:val="22"/>
          <w:szCs w:val="22"/>
        </w:rPr>
        <w:t>.</w:t>
      </w:r>
    </w:p>
    <w:sectPr w:rsidR="00E71370" w:rsidRPr="009B1DB3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8BB4E" w14:textId="77777777" w:rsidR="00BA6808" w:rsidRDefault="00BA6808" w:rsidP="00B33482">
      <w:pPr>
        <w:spacing w:after="0" w:line="240" w:lineRule="auto"/>
      </w:pPr>
      <w:r>
        <w:separator/>
      </w:r>
    </w:p>
  </w:endnote>
  <w:endnote w:type="continuationSeparator" w:id="0">
    <w:p w14:paraId="21F1FB14" w14:textId="77777777" w:rsidR="00BA6808" w:rsidRDefault="00BA680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D238" w14:textId="77777777" w:rsidR="00BA6808" w:rsidRDefault="00BA6808" w:rsidP="00B33482">
      <w:pPr>
        <w:spacing w:after="0" w:line="240" w:lineRule="auto"/>
      </w:pPr>
      <w:r>
        <w:separator/>
      </w:r>
    </w:p>
  </w:footnote>
  <w:footnote w:type="continuationSeparator" w:id="0">
    <w:p w14:paraId="459D0586" w14:textId="77777777" w:rsidR="00BA6808" w:rsidRDefault="00BA680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40C0E18A" w:rsidR="00B33482" w:rsidRPr="00F67AFF" w:rsidRDefault="009B1DB3" w:rsidP="00F67AFF">
    <w:pPr>
      <w:pStyle w:val="En-tte"/>
    </w:pPr>
    <w:r>
      <w:t xml:space="preserve">PHYSIQUE – </w:t>
    </w:r>
    <w:proofErr w:type="spellStart"/>
    <w:r>
      <w:t>Overwhelmingly</w:t>
    </w:r>
    <w:proofErr w:type="spellEnd"/>
    <w:r>
      <w:t xml:space="preserve"> Large </w:t>
    </w:r>
    <w:proofErr w:type="spellStart"/>
    <w:r>
      <w:t>Telescope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60ACF"/>
    <w:multiLevelType w:val="multilevel"/>
    <w:tmpl w:val="A66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2"/>
  </w:num>
  <w:num w:numId="2" w16cid:durableId="581375566">
    <w:abstractNumId w:val="1"/>
  </w:num>
  <w:num w:numId="3" w16cid:durableId="118150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1D36D0"/>
    <w:rsid w:val="00275575"/>
    <w:rsid w:val="002D54BA"/>
    <w:rsid w:val="003618C1"/>
    <w:rsid w:val="003A01AC"/>
    <w:rsid w:val="003D5A98"/>
    <w:rsid w:val="005C020A"/>
    <w:rsid w:val="00757B00"/>
    <w:rsid w:val="007B298A"/>
    <w:rsid w:val="007E575E"/>
    <w:rsid w:val="00832021"/>
    <w:rsid w:val="008E7FE0"/>
    <w:rsid w:val="009B1DB3"/>
    <w:rsid w:val="00B33482"/>
    <w:rsid w:val="00B84C30"/>
    <w:rsid w:val="00B94464"/>
    <w:rsid w:val="00BA6808"/>
    <w:rsid w:val="00BF3640"/>
    <w:rsid w:val="00E016DE"/>
    <w:rsid w:val="00E033D8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B1D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semiHidden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9B1D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ang-en">
    <w:name w:val="lang-en"/>
    <w:basedOn w:val="Policepardfaut"/>
    <w:rsid w:val="009B1DB3"/>
  </w:style>
  <w:style w:type="character" w:customStyle="1" w:styleId="needref">
    <w:name w:val="need_ref"/>
    <w:basedOn w:val="Policepardfaut"/>
    <w:rsid w:val="009B1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Observatoire_europ%C3%A9en_austral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fr.wikipedia.org/wiki/Infrarouge" TargetMode="External"/><Relationship Id="rId26" Type="http://schemas.openxmlformats.org/officeDocument/2006/relationships/hyperlink" Target="https://fr.wikipedia.org/wiki/Syst%C3%A8me_de_coordonn%C3%A9es_horizontal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.wikipedia.org/wiki/Euro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commons.wikimedia.org/wiki/File:Telescope_cassegrain_principe.png?uselang=fr" TargetMode="External"/><Relationship Id="rId17" Type="http://schemas.openxmlformats.org/officeDocument/2006/relationships/hyperlink" Target="https://fr.wikipedia.org/wiki/Lumi%C3%A8re_visible" TargetMode="External"/><Relationship Id="rId25" Type="http://schemas.openxmlformats.org/officeDocument/2006/relationships/hyperlink" Target="https://fr.wikipedia.org/wiki/Optique_adaptative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M%C3%A8tre" TargetMode="External"/><Relationship Id="rId20" Type="http://schemas.openxmlformats.org/officeDocument/2006/relationships/hyperlink" Target="https://fr.wikipedia.org/wiki/M%C3%A8tre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Milliseconde_d%27arc" TargetMode="External"/><Relationship Id="rId24" Type="http://schemas.openxmlformats.org/officeDocument/2006/relationships/hyperlink" Target="https://fr.wikipedia.org/wiki/Atmosph%C3%A8re_terrestre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T%C3%A9lescope_de_type_Cassegrain" TargetMode="External"/><Relationship Id="rId23" Type="http://schemas.openxmlformats.org/officeDocument/2006/relationships/hyperlink" Target="https://fr.wikipedia.org/wiki/Photon" TargetMode="External"/><Relationship Id="rId28" Type="http://schemas.openxmlformats.org/officeDocument/2006/relationships/hyperlink" Target="https://fr.wikipedia.org/wiki/Carbure_de_silicium" TargetMode="External"/><Relationship Id="rId10" Type="http://schemas.openxmlformats.org/officeDocument/2006/relationships/hyperlink" Target="https://fr.wikipedia.org/wiki/T%C3%A9lescope_spatial_Hubble" TargetMode="External"/><Relationship Id="rId19" Type="http://schemas.openxmlformats.org/officeDocument/2006/relationships/hyperlink" Target="https://fr.wikipedia.org/wiki/Rapport_de_Streh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T%C3%A9lescope" TargetMode="External"/><Relationship Id="rId14" Type="http://schemas.openxmlformats.org/officeDocument/2006/relationships/hyperlink" Target="https://fr.wikipedia.org/wiki/M%C3%A8tre" TargetMode="External"/><Relationship Id="rId22" Type="http://schemas.openxmlformats.org/officeDocument/2006/relationships/hyperlink" Target="https://fr.wikipedia.org/wiki/Miroir_segment%C3%A9" TargetMode="External"/><Relationship Id="rId27" Type="http://schemas.openxmlformats.org/officeDocument/2006/relationships/hyperlink" Target="https://fr.wikipedia.org/wiki/Mat%C3%A9riaux_composite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20</cp:revision>
  <dcterms:created xsi:type="dcterms:W3CDTF">2022-11-21T18:39:00Z</dcterms:created>
  <dcterms:modified xsi:type="dcterms:W3CDTF">2022-11-29T18:42:00Z</dcterms:modified>
</cp:coreProperties>
</file>