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E585BE" w14:textId="36A239DF" w:rsidR="00D078BD" w:rsidRDefault="004E7F95" w:rsidP="004E7F95">
      <w:pPr>
        <w:pStyle w:val="Titre"/>
        <w:rPr>
          <w:b/>
          <w:bCs/>
        </w:rPr>
      </w:pPr>
      <w:r w:rsidRPr="004E7F95">
        <w:rPr>
          <w:b/>
          <w:bCs/>
        </w:rPr>
        <w:t>Redshift</w:t>
      </w:r>
    </w:p>
    <w:sdt>
      <w:sdtPr>
        <w:id w:val="-1399581260"/>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1525FD1F" w14:textId="1359F073" w:rsidR="008D529C" w:rsidRDefault="008D529C">
          <w:pPr>
            <w:pStyle w:val="En-ttedetabledesmatires"/>
          </w:pPr>
          <w:r>
            <w:t>Table des matières</w:t>
          </w:r>
        </w:p>
        <w:p w14:paraId="0CDB8BA1" w14:textId="7CB2D3B4" w:rsidR="008D529C" w:rsidRDefault="008D529C">
          <w:pPr>
            <w:pStyle w:val="TM1"/>
            <w:tabs>
              <w:tab w:val="right" w:leader="dot" w:pos="9062"/>
            </w:tabs>
            <w:rPr>
              <w:noProof/>
            </w:rPr>
          </w:pPr>
          <w:r>
            <w:fldChar w:fldCharType="begin"/>
          </w:r>
          <w:r>
            <w:instrText xml:space="preserve"> TOC \o "1-3" \h \z \u </w:instrText>
          </w:r>
          <w:r>
            <w:fldChar w:fldCharType="separate"/>
          </w:r>
          <w:hyperlink w:anchor="_Toc133070669" w:history="1">
            <w:r w:rsidRPr="00BD5B38">
              <w:rPr>
                <w:rStyle w:val="Lienhypertexte"/>
                <w:b/>
                <w:bCs/>
                <w:noProof/>
              </w:rPr>
              <w:t>Introduction</w:t>
            </w:r>
            <w:r>
              <w:rPr>
                <w:noProof/>
                <w:webHidden/>
              </w:rPr>
              <w:tab/>
            </w:r>
            <w:r>
              <w:rPr>
                <w:noProof/>
                <w:webHidden/>
              </w:rPr>
              <w:fldChar w:fldCharType="begin"/>
            </w:r>
            <w:r>
              <w:rPr>
                <w:noProof/>
                <w:webHidden/>
              </w:rPr>
              <w:instrText xml:space="preserve"> PAGEREF _Toc133070669 \h </w:instrText>
            </w:r>
            <w:r>
              <w:rPr>
                <w:noProof/>
                <w:webHidden/>
              </w:rPr>
            </w:r>
            <w:r>
              <w:rPr>
                <w:noProof/>
                <w:webHidden/>
              </w:rPr>
              <w:fldChar w:fldCharType="separate"/>
            </w:r>
            <w:r>
              <w:rPr>
                <w:noProof/>
                <w:webHidden/>
              </w:rPr>
              <w:t>1</w:t>
            </w:r>
            <w:r>
              <w:rPr>
                <w:noProof/>
                <w:webHidden/>
              </w:rPr>
              <w:fldChar w:fldCharType="end"/>
            </w:r>
          </w:hyperlink>
        </w:p>
        <w:p w14:paraId="5D884ED7" w14:textId="31E8FBB0" w:rsidR="008D529C" w:rsidRDefault="008D529C">
          <w:pPr>
            <w:pStyle w:val="TM1"/>
            <w:tabs>
              <w:tab w:val="right" w:leader="dot" w:pos="9062"/>
            </w:tabs>
            <w:rPr>
              <w:noProof/>
            </w:rPr>
          </w:pPr>
          <w:hyperlink w:anchor="_Toc133070670" w:history="1">
            <w:r w:rsidRPr="00BD5B38">
              <w:rPr>
                <w:rStyle w:val="Lienhypertexte"/>
                <w:b/>
                <w:bCs/>
                <w:noProof/>
              </w:rPr>
              <w:t>Définition et mesure</w:t>
            </w:r>
            <w:r>
              <w:rPr>
                <w:noProof/>
                <w:webHidden/>
              </w:rPr>
              <w:tab/>
            </w:r>
            <w:r>
              <w:rPr>
                <w:noProof/>
                <w:webHidden/>
              </w:rPr>
              <w:fldChar w:fldCharType="begin"/>
            </w:r>
            <w:r>
              <w:rPr>
                <w:noProof/>
                <w:webHidden/>
              </w:rPr>
              <w:instrText xml:space="preserve"> PAGEREF _Toc133070670 \h </w:instrText>
            </w:r>
            <w:r>
              <w:rPr>
                <w:noProof/>
                <w:webHidden/>
              </w:rPr>
            </w:r>
            <w:r>
              <w:rPr>
                <w:noProof/>
                <w:webHidden/>
              </w:rPr>
              <w:fldChar w:fldCharType="separate"/>
            </w:r>
            <w:r>
              <w:rPr>
                <w:noProof/>
                <w:webHidden/>
              </w:rPr>
              <w:t>1</w:t>
            </w:r>
            <w:r>
              <w:rPr>
                <w:noProof/>
                <w:webHidden/>
              </w:rPr>
              <w:fldChar w:fldCharType="end"/>
            </w:r>
          </w:hyperlink>
        </w:p>
        <w:p w14:paraId="51458684" w14:textId="23EBEBDA" w:rsidR="008D529C" w:rsidRDefault="008D529C">
          <w:pPr>
            <w:pStyle w:val="TM1"/>
            <w:tabs>
              <w:tab w:val="right" w:leader="dot" w:pos="9062"/>
            </w:tabs>
            <w:rPr>
              <w:noProof/>
            </w:rPr>
          </w:pPr>
          <w:hyperlink w:anchor="_Toc133070671" w:history="1">
            <w:r w:rsidRPr="00BD5B38">
              <w:rPr>
                <w:rStyle w:val="Lienhypertexte"/>
                <w:b/>
                <w:bCs/>
                <w:noProof/>
              </w:rPr>
              <w:t>L'expansion de l'Univers (loi de Hubble-Lemaître)</w:t>
            </w:r>
            <w:r>
              <w:rPr>
                <w:noProof/>
                <w:webHidden/>
              </w:rPr>
              <w:tab/>
            </w:r>
            <w:r>
              <w:rPr>
                <w:noProof/>
                <w:webHidden/>
              </w:rPr>
              <w:fldChar w:fldCharType="begin"/>
            </w:r>
            <w:r>
              <w:rPr>
                <w:noProof/>
                <w:webHidden/>
              </w:rPr>
              <w:instrText xml:space="preserve"> PAGEREF _Toc133070671 \h </w:instrText>
            </w:r>
            <w:r>
              <w:rPr>
                <w:noProof/>
                <w:webHidden/>
              </w:rPr>
            </w:r>
            <w:r>
              <w:rPr>
                <w:noProof/>
                <w:webHidden/>
              </w:rPr>
              <w:fldChar w:fldCharType="separate"/>
            </w:r>
            <w:r>
              <w:rPr>
                <w:noProof/>
                <w:webHidden/>
              </w:rPr>
              <w:t>2</w:t>
            </w:r>
            <w:r>
              <w:rPr>
                <w:noProof/>
                <w:webHidden/>
              </w:rPr>
              <w:fldChar w:fldCharType="end"/>
            </w:r>
          </w:hyperlink>
        </w:p>
        <w:p w14:paraId="73464BD1" w14:textId="027FD691" w:rsidR="008D529C" w:rsidRDefault="008D529C">
          <w:pPr>
            <w:pStyle w:val="TM1"/>
            <w:tabs>
              <w:tab w:val="right" w:leader="dot" w:pos="9062"/>
            </w:tabs>
            <w:rPr>
              <w:noProof/>
            </w:rPr>
          </w:pPr>
          <w:hyperlink w:anchor="_Toc133070672" w:history="1">
            <w:r w:rsidRPr="00BD5B38">
              <w:rPr>
                <w:rStyle w:val="Lienhypertexte"/>
                <w:b/>
                <w:bCs/>
                <w:noProof/>
              </w:rPr>
              <w:t>Le mouvement de la source</w:t>
            </w:r>
            <w:r>
              <w:rPr>
                <w:noProof/>
                <w:webHidden/>
              </w:rPr>
              <w:tab/>
            </w:r>
            <w:r>
              <w:rPr>
                <w:noProof/>
                <w:webHidden/>
              </w:rPr>
              <w:fldChar w:fldCharType="begin"/>
            </w:r>
            <w:r>
              <w:rPr>
                <w:noProof/>
                <w:webHidden/>
              </w:rPr>
              <w:instrText xml:space="preserve"> PAGEREF _Toc133070672 \h </w:instrText>
            </w:r>
            <w:r>
              <w:rPr>
                <w:noProof/>
                <w:webHidden/>
              </w:rPr>
            </w:r>
            <w:r>
              <w:rPr>
                <w:noProof/>
                <w:webHidden/>
              </w:rPr>
              <w:fldChar w:fldCharType="separate"/>
            </w:r>
            <w:r>
              <w:rPr>
                <w:noProof/>
                <w:webHidden/>
              </w:rPr>
              <w:t>2</w:t>
            </w:r>
            <w:r>
              <w:rPr>
                <w:noProof/>
                <w:webHidden/>
              </w:rPr>
              <w:fldChar w:fldCharType="end"/>
            </w:r>
          </w:hyperlink>
        </w:p>
        <w:p w14:paraId="6D6C5930" w14:textId="7D572601" w:rsidR="008D529C" w:rsidRDefault="008D529C">
          <w:r>
            <w:rPr>
              <w:b/>
              <w:bCs/>
            </w:rPr>
            <w:fldChar w:fldCharType="end"/>
          </w:r>
        </w:p>
      </w:sdtContent>
    </w:sdt>
    <w:p w14:paraId="0892E2C7" w14:textId="0612B0B5" w:rsidR="004E7F95" w:rsidRDefault="004E7F95" w:rsidP="004E7F95"/>
    <w:p w14:paraId="1611BD03" w14:textId="55CEC5E9" w:rsidR="004E7F95" w:rsidRPr="004E7F95" w:rsidRDefault="004E7F95" w:rsidP="004E7F95">
      <w:pPr>
        <w:pStyle w:val="Titre1"/>
        <w:rPr>
          <w:b/>
          <w:bCs/>
        </w:rPr>
      </w:pPr>
      <w:bookmarkStart w:id="0" w:name="_Toc133070669"/>
      <w:r w:rsidRPr="004E7F95">
        <w:rPr>
          <w:b/>
          <w:bCs/>
        </w:rPr>
        <w:t>Introduction</w:t>
      </w:r>
      <w:bookmarkEnd w:id="0"/>
    </w:p>
    <w:p w14:paraId="32EA67AE" w14:textId="008A6ECA" w:rsidR="00F57D99" w:rsidRPr="00F57D99" w:rsidRDefault="00F57D99" w:rsidP="00F57D99">
      <w:pPr>
        <w:pStyle w:val="NormalWeb"/>
        <w:jc w:val="both"/>
      </w:pPr>
      <w:r w:rsidRPr="00F57D99">
        <w:t xml:space="preserve">Le décalage vers le rouge est un phénomène </w:t>
      </w:r>
      <w:r w:rsidRPr="00E26E0A">
        <w:t>astronomique</w:t>
      </w:r>
      <w:r w:rsidRPr="00F57D99">
        <w:t xml:space="preserve"> de décalage vers les grandes </w:t>
      </w:r>
      <w:r w:rsidRPr="00E26E0A">
        <w:t>longueurs d'onde</w:t>
      </w:r>
      <w:r w:rsidRPr="00F57D99">
        <w:t xml:space="preserve"> des </w:t>
      </w:r>
      <w:r w:rsidRPr="00E26E0A">
        <w:t>raies spectrales</w:t>
      </w:r>
      <w:r w:rsidRPr="00F57D99">
        <w:t xml:space="preserve"> et de l'ensemble du </w:t>
      </w:r>
      <w:r w:rsidRPr="00E26E0A">
        <w:t>spectre</w:t>
      </w:r>
      <w:r w:rsidRPr="00F57D99">
        <w:t xml:space="preserve"> — ce qui se traduit par un décalage vers le rouge pour le </w:t>
      </w:r>
      <w:r w:rsidRPr="00E26E0A">
        <w:t>spectre</w:t>
      </w:r>
      <w:r w:rsidRPr="00F57D99">
        <w:t xml:space="preserve"> visible — observé parmi les </w:t>
      </w:r>
      <w:r w:rsidRPr="00E26E0A">
        <w:t>objets astronomiques</w:t>
      </w:r>
      <w:r w:rsidRPr="00F57D99">
        <w:t xml:space="preserve"> lointains. À la suite des travaux de </w:t>
      </w:r>
      <w:r w:rsidRPr="00E26E0A">
        <w:t>Tolman</w:t>
      </w:r>
      <w:r w:rsidRPr="00F57D99">
        <w:t xml:space="preserve"> et </w:t>
      </w:r>
      <w:r w:rsidRPr="00E26E0A">
        <w:t>Hubble</w:t>
      </w:r>
      <w:r w:rsidRPr="00F57D99">
        <w:t xml:space="preserve"> c'est un phénomène bien documenté, considéré comme la preuve initiale de l'</w:t>
      </w:r>
      <w:r w:rsidRPr="00E26E0A">
        <w:t>expansion de l'Univers</w:t>
      </w:r>
      <w:r w:rsidRPr="00F57D99">
        <w:t xml:space="preserve"> et du </w:t>
      </w:r>
      <w:r w:rsidRPr="00E26E0A">
        <w:t>modèle cosmologique</w:t>
      </w:r>
      <w:r w:rsidRPr="00F57D99">
        <w:t xml:space="preserve"> avec le </w:t>
      </w:r>
      <w:r w:rsidRPr="00E26E0A">
        <w:t>Big Bang</w:t>
      </w:r>
      <w:r w:rsidRPr="00F57D99">
        <w:t xml:space="preserve">. Dans cette acception, ce phénomène n'est pas produit par </w:t>
      </w:r>
      <w:r w:rsidRPr="00E26E0A">
        <w:t>effet Doppler-Fizeau</w:t>
      </w:r>
      <w:r w:rsidRPr="00F57D99">
        <w:t xml:space="preserve">, mais est une conséquence de la dilatation de l'espace provoquée par l'expansion de l'Univers. </w:t>
      </w:r>
    </w:p>
    <w:p w14:paraId="6598549A" w14:textId="67242612" w:rsidR="00F57D99" w:rsidRPr="00F57D99" w:rsidRDefault="00F57D99" w:rsidP="00F57D99">
      <w:pPr>
        <w:pStyle w:val="NormalWeb"/>
        <w:jc w:val="both"/>
      </w:pPr>
      <w:r w:rsidRPr="00F57D99">
        <w:t>Le terme est également employé pour la notion plus générale de décalage spectral, soit vers le rouge, soit vers le bleu (</w:t>
      </w:r>
      <w:r w:rsidRPr="00E26E0A">
        <w:t>décalage vers le bleu</w:t>
      </w:r>
      <w:r w:rsidRPr="00F57D99">
        <w:t>), observé parmi les objets astronomiques selon qu'ils s'éloignent ou se rapprochent, indépendamment du mouvement général d'expansion. Dans cette acception, il est synonyme d'</w:t>
      </w:r>
      <w:r w:rsidRPr="00E26E0A">
        <w:t>effet Doppler-Fizeau</w:t>
      </w:r>
      <w:r w:rsidRPr="00F57D99">
        <w:t xml:space="preserve">. </w:t>
      </w:r>
    </w:p>
    <w:p w14:paraId="788B66CA" w14:textId="2374AAC3" w:rsidR="004E7F95" w:rsidRPr="004E7F95" w:rsidRDefault="00F57D99" w:rsidP="00F57D99">
      <w:pPr>
        <w:jc w:val="center"/>
      </w:pPr>
      <w:r>
        <w:rPr>
          <w:noProof/>
        </w:rPr>
        <w:drawing>
          <wp:inline distT="0" distB="0" distL="0" distR="0" wp14:anchorId="79143473" wp14:editId="5D65CDBF">
            <wp:extent cx="3511871" cy="17780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530600" cy="1787482"/>
                    </a:xfrm>
                    <a:prstGeom prst="rect">
                      <a:avLst/>
                    </a:prstGeom>
                    <a:noFill/>
                    <a:ln>
                      <a:noFill/>
                    </a:ln>
                  </pic:spPr>
                </pic:pic>
              </a:graphicData>
            </a:graphic>
          </wp:inline>
        </w:drawing>
      </w:r>
    </w:p>
    <w:p w14:paraId="6CFC23C1" w14:textId="77777777" w:rsidR="009221BC" w:rsidRPr="009221BC" w:rsidRDefault="009221BC" w:rsidP="009221BC">
      <w:pPr>
        <w:pStyle w:val="Titre1"/>
        <w:rPr>
          <w:b/>
          <w:bCs/>
        </w:rPr>
      </w:pPr>
      <w:bookmarkStart w:id="1" w:name="_Toc133070670"/>
      <w:r w:rsidRPr="009221BC">
        <w:rPr>
          <w:rStyle w:val="mw-headline"/>
          <w:b/>
          <w:bCs/>
        </w:rPr>
        <w:t>Définition et mesure</w:t>
      </w:r>
      <w:bookmarkEnd w:id="1"/>
    </w:p>
    <w:p w14:paraId="07A006CD" w14:textId="6E4E4EDF" w:rsidR="009221BC" w:rsidRDefault="009221BC" w:rsidP="009221BC">
      <w:pPr>
        <w:pStyle w:val="NormalWeb"/>
      </w:pPr>
      <w:r>
        <w:rPr>
          <w:noProof/>
        </w:rPr>
        <w:drawing>
          <wp:anchor distT="0" distB="0" distL="114300" distR="114300" simplePos="0" relativeHeight="251658240" behindDoc="0" locked="0" layoutInCell="1" allowOverlap="1" wp14:anchorId="49C9FF05" wp14:editId="66471395">
            <wp:simplePos x="0" y="0"/>
            <wp:positionH relativeFrom="margin">
              <wp:align>left</wp:align>
            </wp:positionH>
            <wp:positionV relativeFrom="paragraph">
              <wp:posOffset>1123315</wp:posOffset>
            </wp:positionV>
            <wp:extent cx="1136650" cy="520700"/>
            <wp:effectExtent l="0" t="0" r="6350" b="0"/>
            <wp:wrapTopAndBottom/>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36650" cy="520700"/>
                    </a:xfrm>
                    <a:prstGeom prst="rect">
                      <a:avLst/>
                    </a:prstGeom>
                    <a:noFill/>
                    <a:ln>
                      <a:noFill/>
                    </a:ln>
                  </pic:spPr>
                </pic:pic>
              </a:graphicData>
            </a:graphic>
          </wp:anchor>
        </w:drawing>
      </w:r>
      <w:r>
        <w:t xml:space="preserve">Le décalage spectral est aisément mesurable, car les </w:t>
      </w:r>
      <w:r w:rsidRPr="009221BC">
        <w:t>raies spectrales</w:t>
      </w:r>
      <w:r>
        <w:t xml:space="preserve"> des </w:t>
      </w:r>
      <w:r w:rsidRPr="009221BC">
        <w:t>atomes</w:t>
      </w:r>
      <w:r>
        <w:t xml:space="preserve"> sont identifiables et bien connues, par exemple, grâce à des mesures en </w:t>
      </w:r>
      <w:r w:rsidRPr="009221BC">
        <w:t>laboratoire</w:t>
      </w:r>
      <w:r>
        <w:t xml:space="preserve">. Il est alors aisé de repérer un décalage entre </w:t>
      </w:r>
      <w:r w:rsidRPr="009221BC">
        <w:t>λ</w:t>
      </w:r>
      <w:r w:rsidRPr="009221BC">
        <w:rPr>
          <w:vertAlign w:val="subscript"/>
        </w:rPr>
        <w:t>0</w:t>
      </w:r>
      <w:r>
        <w:t xml:space="preserve">, la </w:t>
      </w:r>
      <w:r w:rsidRPr="009221BC">
        <w:t>longueur d'onde</w:t>
      </w:r>
      <w:r>
        <w:t xml:space="preserve"> observée en laboratoire (qui doit être celle </w:t>
      </w:r>
      <w:r>
        <w:lastRenderedPageBreak/>
        <w:t xml:space="preserve">réellement émise par la source), et </w:t>
      </w:r>
      <w:r w:rsidRPr="009221BC">
        <w:t>λ</w:t>
      </w:r>
      <w:r w:rsidRPr="009221BC">
        <w:rPr>
          <w:vertAlign w:val="subscript"/>
        </w:rPr>
        <w:t>obs</w:t>
      </w:r>
      <w:r>
        <w:t xml:space="preserve">, celle observée par les instruments astronomiques. Le décalage spectral est mesuré par : </w:t>
      </w:r>
    </w:p>
    <w:p w14:paraId="04878C80" w14:textId="5E171296" w:rsidR="009221BC" w:rsidRDefault="009221BC" w:rsidP="009221BC">
      <w:pPr>
        <w:pStyle w:val="NormalWeb"/>
      </w:pPr>
      <w:r>
        <w:rPr>
          <w:noProof/>
        </w:rPr>
        <w:drawing>
          <wp:anchor distT="0" distB="0" distL="114300" distR="114300" simplePos="0" relativeHeight="251659264" behindDoc="0" locked="0" layoutInCell="1" allowOverlap="1" wp14:anchorId="59F6A440" wp14:editId="3630F81C">
            <wp:simplePos x="0" y="0"/>
            <wp:positionH relativeFrom="margin">
              <wp:align>left</wp:align>
            </wp:positionH>
            <wp:positionV relativeFrom="paragraph">
              <wp:posOffset>641350</wp:posOffset>
            </wp:positionV>
            <wp:extent cx="984250" cy="482600"/>
            <wp:effectExtent l="0" t="0" r="6350" b="0"/>
            <wp:wrapTopAndBottom/>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84250" cy="482600"/>
                    </a:xfrm>
                    <a:prstGeom prst="rect">
                      <a:avLst/>
                    </a:prstGeom>
                    <a:noFill/>
                    <a:ln>
                      <a:noFill/>
                    </a:ln>
                  </pic:spPr>
                </pic:pic>
              </a:graphicData>
            </a:graphic>
          </wp:anchor>
        </w:drawing>
      </w:r>
      <w:r>
        <w:t xml:space="preserve">On utilise fréquemment dans les calculs l'expression </w:t>
      </w:r>
      <w:r w:rsidRPr="009221BC">
        <w:t xml:space="preserve">1 + z </w:t>
      </w:r>
      <w:r>
        <w:t xml:space="preserve"> : </w:t>
      </w:r>
    </w:p>
    <w:p w14:paraId="11BF1FB9" w14:textId="77777777" w:rsidR="009221BC" w:rsidRDefault="009221BC" w:rsidP="009221BC">
      <w:pPr>
        <w:pStyle w:val="NormalWeb"/>
      </w:pPr>
      <w:r>
        <w:t xml:space="preserve">Ce décalage peut être observé vers le rouge (décalage vers les grandes longueurs d'onde, </w:t>
      </w:r>
      <w:r w:rsidRPr="009221BC">
        <w:t>z &gt; 0</w:t>
      </w:r>
      <w:r>
        <w:t xml:space="preserve">) ou vers le bleu (vers les courtes, </w:t>
      </w:r>
      <w:r w:rsidRPr="009221BC">
        <w:t>z &lt; 0</w:t>
      </w:r>
      <w:r>
        <w:t xml:space="preserve">). </w:t>
      </w:r>
    </w:p>
    <w:p w14:paraId="2AD0917D" w14:textId="11C01A56" w:rsidR="009221BC" w:rsidRDefault="009221BC" w:rsidP="009221BC">
      <w:pPr>
        <w:pStyle w:val="NormalWeb"/>
      </w:pPr>
      <w:r>
        <w:t xml:space="preserve">Dans le cas des objets astronomiques, le décalage est remarquable, car il est le même sur l'ensemble du spectre, ce qui implique qu'il s'agit d'une conséquence d'un seul et même phénomène, et non d'un phénomène particulier à un type d'atome. </w:t>
      </w:r>
    </w:p>
    <w:p w14:paraId="25860FB6" w14:textId="725CD11B" w:rsidR="00D10CF1" w:rsidRPr="00D10CF1" w:rsidRDefault="006A5519" w:rsidP="00D10CF1">
      <w:pPr>
        <w:pStyle w:val="Titre1"/>
        <w:rPr>
          <w:b/>
          <w:bCs/>
        </w:rPr>
      </w:pPr>
      <w:bookmarkStart w:id="2" w:name="_Toc133070671"/>
      <w:r>
        <w:rPr>
          <w:noProof/>
          <w:color w:val="0000FF"/>
        </w:rPr>
        <w:drawing>
          <wp:anchor distT="0" distB="0" distL="114300" distR="114300" simplePos="0" relativeHeight="251660288" behindDoc="0" locked="0" layoutInCell="1" allowOverlap="1" wp14:anchorId="330D9F13" wp14:editId="7E342857">
            <wp:simplePos x="0" y="0"/>
            <wp:positionH relativeFrom="margin">
              <wp:posOffset>4789170</wp:posOffset>
            </wp:positionH>
            <wp:positionV relativeFrom="paragraph">
              <wp:posOffset>155575</wp:posOffset>
            </wp:positionV>
            <wp:extent cx="1047750" cy="1854200"/>
            <wp:effectExtent l="0" t="0" r="0" b="0"/>
            <wp:wrapSquare wrapText="bothSides"/>
            <wp:docPr id="14" name="Image 14">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47750" cy="1854200"/>
                    </a:xfrm>
                    <a:prstGeom prst="rect">
                      <a:avLst/>
                    </a:prstGeom>
                    <a:noFill/>
                    <a:ln>
                      <a:noFill/>
                    </a:ln>
                  </pic:spPr>
                </pic:pic>
              </a:graphicData>
            </a:graphic>
          </wp:anchor>
        </w:drawing>
      </w:r>
      <w:r w:rsidR="00D10CF1" w:rsidRPr="00D10CF1">
        <w:rPr>
          <w:rStyle w:val="mw-headline"/>
          <w:b/>
          <w:bCs/>
        </w:rPr>
        <w:t>L'expansion de l'Univers (loi de Hubble-Lemaître)</w:t>
      </w:r>
      <w:bookmarkEnd w:id="2"/>
    </w:p>
    <w:p w14:paraId="7BFD0061" w14:textId="60E934F4" w:rsidR="00D10CF1" w:rsidRPr="006A5519" w:rsidRDefault="00D10CF1" w:rsidP="006A5519">
      <w:pPr>
        <w:jc w:val="both"/>
        <w:rPr>
          <w:rFonts w:ascii="Times New Roman" w:eastAsia="Times New Roman" w:hAnsi="Times New Roman" w:cs="Times New Roman"/>
          <w:sz w:val="24"/>
          <w:szCs w:val="24"/>
          <w:lang w:eastAsia="fr-FR"/>
        </w:rPr>
      </w:pPr>
      <w:r w:rsidRPr="006A5519">
        <w:rPr>
          <w:rFonts w:ascii="Times New Roman" w:eastAsia="Times New Roman" w:hAnsi="Times New Roman" w:cs="Times New Roman"/>
          <w:sz w:val="24"/>
          <w:szCs w:val="24"/>
          <w:lang w:eastAsia="fr-FR"/>
        </w:rPr>
        <w:t xml:space="preserve">Actuellement, constatant un décalage vers le rouge de la lumière émise par des sources cosmologiques quasiment proportionnel à leur distance, les modèles cosmologiques dominants l'interprètent comme un effet de l'expansion de l'Univers. </w:t>
      </w:r>
    </w:p>
    <w:p w14:paraId="340495CE" w14:textId="2862605D" w:rsidR="00D10CF1" w:rsidRDefault="00B95D22" w:rsidP="006A5519">
      <w:pPr>
        <w:pStyle w:val="NormalWeb"/>
        <w:jc w:val="both"/>
      </w:pPr>
      <w:r w:rsidRPr="006A5519">
        <w:rPr>
          <w:noProof/>
        </w:rPr>
        <w:drawing>
          <wp:anchor distT="0" distB="0" distL="114300" distR="114300" simplePos="0" relativeHeight="251661312" behindDoc="0" locked="0" layoutInCell="1" allowOverlap="1" wp14:anchorId="2C9C682E" wp14:editId="398AFA5B">
            <wp:simplePos x="0" y="0"/>
            <wp:positionH relativeFrom="column">
              <wp:posOffset>4243705</wp:posOffset>
            </wp:positionH>
            <wp:positionV relativeFrom="paragraph">
              <wp:posOffset>1022350</wp:posOffset>
            </wp:positionV>
            <wp:extent cx="2095500" cy="2095500"/>
            <wp:effectExtent l="0" t="0" r="0" b="0"/>
            <wp:wrapSquare wrapText="bothSides"/>
            <wp:docPr id="13" name="Image 13">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95500" cy="2095500"/>
                    </a:xfrm>
                    <a:prstGeom prst="rect">
                      <a:avLst/>
                    </a:prstGeom>
                    <a:noFill/>
                    <a:ln>
                      <a:noFill/>
                    </a:ln>
                  </pic:spPr>
                </pic:pic>
              </a:graphicData>
            </a:graphic>
          </wp:anchor>
        </w:drawing>
      </w:r>
      <w:r w:rsidR="00D10CF1">
        <w:t xml:space="preserve">Il ne s'agit donc plus d'un effet Doppler, comme on le présente encore parfois aujourd'hui, mais bien d'un effet de relativité générale qui se comprend quantitativement en disant que l'expansion, en « allongeant » l'Univers, allonge aussi la longueur d'onde de tous les photons de l'Univers. Il y a « comobilité » des galaxies qui sont entraînées par cette expansion. </w:t>
      </w:r>
    </w:p>
    <w:p w14:paraId="2EF3D063" w14:textId="58F3A046" w:rsidR="00D10CF1" w:rsidRDefault="00D56CE8" w:rsidP="006A5519">
      <w:pPr>
        <w:pStyle w:val="NormalWeb"/>
        <w:jc w:val="both"/>
      </w:pPr>
      <w:r>
        <w:rPr>
          <w:noProof/>
        </w:rPr>
        <w:drawing>
          <wp:anchor distT="0" distB="0" distL="114300" distR="114300" simplePos="0" relativeHeight="251664384" behindDoc="0" locked="0" layoutInCell="1" allowOverlap="1" wp14:anchorId="3C8BC4D3" wp14:editId="15588C40">
            <wp:simplePos x="0" y="0"/>
            <wp:positionH relativeFrom="margin">
              <wp:align>left</wp:align>
            </wp:positionH>
            <wp:positionV relativeFrom="paragraph">
              <wp:posOffset>274320</wp:posOffset>
            </wp:positionV>
            <wp:extent cx="946150" cy="469900"/>
            <wp:effectExtent l="0" t="0" r="6350" b="6350"/>
            <wp:wrapTopAndBottom/>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46150" cy="469900"/>
                    </a:xfrm>
                    <a:prstGeom prst="rect">
                      <a:avLst/>
                    </a:prstGeom>
                    <a:noFill/>
                    <a:ln>
                      <a:noFill/>
                    </a:ln>
                  </pic:spPr>
                </pic:pic>
              </a:graphicData>
            </a:graphic>
          </wp:anchor>
        </w:drawing>
      </w:r>
      <w:r w:rsidR="00D10CF1">
        <w:t xml:space="preserve">Le décalage vers le rouge dû à l'expansion de l'Univers s'écrit alors : </w:t>
      </w:r>
    </w:p>
    <w:p w14:paraId="19F6E444" w14:textId="168E6295" w:rsidR="00D10CF1" w:rsidRDefault="006A5519" w:rsidP="006A5519">
      <w:pPr>
        <w:pStyle w:val="NormalWeb"/>
        <w:jc w:val="both"/>
      </w:pPr>
      <w:r>
        <w:rPr>
          <w:noProof/>
        </w:rPr>
        <mc:AlternateContent>
          <mc:Choice Requires="wps">
            <w:drawing>
              <wp:anchor distT="0" distB="0" distL="114300" distR="114300" simplePos="0" relativeHeight="251663360" behindDoc="0" locked="0" layoutInCell="1" allowOverlap="1" wp14:anchorId="7B0E8BB3" wp14:editId="6C276D73">
                <wp:simplePos x="0" y="0"/>
                <wp:positionH relativeFrom="column">
                  <wp:posOffset>4237355</wp:posOffset>
                </wp:positionH>
                <wp:positionV relativeFrom="paragraph">
                  <wp:posOffset>1664970</wp:posOffset>
                </wp:positionV>
                <wp:extent cx="2095500" cy="635"/>
                <wp:effectExtent l="0" t="0" r="0" b="0"/>
                <wp:wrapSquare wrapText="bothSides"/>
                <wp:docPr id="15" name="Zone de texte 15"/>
                <wp:cNvGraphicFramePr/>
                <a:graphic xmlns:a="http://schemas.openxmlformats.org/drawingml/2006/main">
                  <a:graphicData uri="http://schemas.microsoft.com/office/word/2010/wordprocessingShape">
                    <wps:wsp>
                      <wps:cNvSpPr txBox="1"/>
                      <wps:spPr>
                        <a:xfrm>
                          <a:off x="0" y="0"/>
                          <a:ext cx="2095500" cy="635"/>
                        </a:xfrm>
                        <a:prstGeom prst="rect">
                          <a:avLst/>
                        </a:prstGeom>
                        <a:solidFill>
                          <a:prstClr val="white"/>
                        </a:solidFill>
                        <a:ln>
                          <a:noFill/>
                        </a:ln>
                      </wps:spPr>
                      <wps:txbx>
                        <w:txbxContent>
                          <w:p w14:paraId="43087191" w14:textId="23B34B01" w:rsidR="00B95D22" w:rsidRPr="001D3220" w:rsidRDefault="00B95D22" w:rsidP="006A5519">
                            <w:pPr>
                              <w:pStyle w:val="Lgende"/>
                              <w:jc w:val="center"/>
                              <w:rPr>
                                <w:rFonts w:ascii="Times New Roman" w:eastAsia="Times New Roman" w:hAnsi="Times New Roman" w:cs="Times New Roman"/>
                                <w:noProof/>
                                <w:color w:val="0000FF"/>
                                <w:sz w:val="24"/>
                                <w:szCs w:val="24"/>
                              </w:rPr>
                            </w:pPr>
                            <w:r w:rsidRPr="003037D5">
                              <w:t>Image du champ ultra-profond de Hubble, montrant le décalage vers le rouge des galaxies ultra lointaines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B0E8BB3" id="_x0000_t202" coordsize="21600,21600" o:spt="202" path="m,l,21600r21600,l21600,xe">
                <v:stroke joinstyle="miter"/>
                <v:path gradientshapeok="t" o:connecttype="rect"/>
              </v:shapetype>
              <v:shape id="Zone de texte 15" o:spid="_x0000_s1026" type="#_x0000_t202" style="position:absolute;left:0;text-align:left;margin-left:333.65pt;margin-top:131.1pt;width:16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" stroked="f">
                <v:textbox style="mso-fit-shape-to-text:t" inset="0,0,0,0">
                  <w:txbxContent>
                    <w:p w14:paraId="43087191" w14:textId="23B34B01" w:rsidR="00B95D22" w:rsidRPr="001D3220" w:rsidRDefault="00B95D22" w:rsidP="006A5519">
                      <w:pPr>
                        <w:pStyle w:val="Lgende"/>
                        <w:jc w:val="center"/>
                        <w:rPr>
                          <w:rFonts w:ascii="Times New Roman" w:eastAsia="Times New Roman" w:hAnsi="Times New Roman" w:cs="Times New Roman"/>
                          <w:noProof/>
                          <w:color w:val="0000FF"/>
                          <w:sz w:val="24"/>
                          <w:szCs w:val="24"/>
                        </w:rPr>
                      </w:pPr>
                      <w:r w:rsidRPr="003037D5">
                        <w:t>Image du champ ultra-profond de Hubble, montrant le décalage vers le rouge des galaxies ultra lointaines</w:t>
                      </w:r>
                    </w:p>
                  </w:txbxContent>
                </v:textbox>
                <w10:wrap type="square"/>
              </v:shape>
            </w:pict>
          </mc:Fallback>
        </mc:AlternateContent>
      </w:r>
      <w:r w:rsidR="00D10CF1">
        <w:t xml:space="preserve">où </w:t>
      </w:r>
      <w:r w:rsidR="00D10CF1" w:rsidRPr="006A5519">
        <w:t xml:space="preserve">a(t) </w:t>
      </w:r>
      <w:r w:rsidR="00D10CF1">
        <w:t xml:space="preserve">est le </w:t>
      </w:r>
      <w:r w:rsidR="00D10CF1" w:rsidRPr="006A5519">
        <w:t>facteur d'échelle</w:t>
      </w:r>
      <w:r w:rsidR="00D10CF1">
        <w:t xml:space="preserve"> à l'époque où l'objet a émis la lumière qui nous parvient et </w:t>
      </w:r>
      <w:r w:rsidR="00D10CF1" w:rsidRPr="006A5519">
        <w:t>a</w:t>
      </w:r>
      <w:r w:rsidR="00D10CF1" w:rsidRPr="00D56CE8">
        <w:rPr>
          <w:vertAlign w:val="subscript"/>
        </w:rPr>
        <w:t>0</w:t>
      </w:r>
      <w:r w:rsidR="00D10CF1" w:rsidRPr="006A5519">
        <w:t xml:space="preserve"> </w:t>
      </w:r>
      <w:r w:rsidR="00D10CF1">
        <w:t xml:space="preserve">la valeur actuelle du facteur d'échelle. En pratique, le facteur d'échelle croît avec le temps, car l'Univers est en expansion. La quantité </w:t>
      </w:r>
      <w:r w:rsidR="00D10CF1" w:rsidRPr="006A5519">
        <w:t>a</w:t>
      </w:r>
      <w:r w:rsidR="00D10CF1" w:rsidRPr="00D56CE8">
        <w:rPr>
          <w:vertAlign w:val="subscript"/>
        </w:rPr>
        <w:t>0</w:t>
      </w:r>
      <w:r w:rsidR="00D56CE8">
        <w:t>/</w:t>
      </w:r>
      <w:r w:rsidR="00D10CF1" w:rsidRPr="006A5519">
        <w:t xml:space="preserve">a(t) </w:t>
      </w:r>
      <w:r w:rsidR="00D10CF1">
        <w:t xml:space="preserve">est donc supérieure à 1, et </w:t>
      </w:r>
      <w:r w:rsidR="00D10CF1" w:rsidRPr="006A5519">
        <w:t>z</w:t>
      </w:r>
      <w:r w:rsidR="00D10CF1">
        <w:t xml:space="preserve"> est positif, ce qui correspond comme attendu à un décalage vers le rouge. </w:t>
      </w:r>
    </w:p>
    <w:p w14:paraId="2F9FCAD6" w14:textId="5BD787D5" w:rsidR="00D10CF1" w:rsidRDefault="00D10CF1" w:rsidP="006A5519">
      <w:pPr>
        <w:pStyle w:val="NormalWeb"/>
        <w:jc w:val="both"/>
      </w:pPr>
      <w:r>
        <w:t xml:space="preserve">Le décalage vers le rouge cosmologique permet de définir le </w:t>
      </w:r>
      <w:r w:rsidRPr="006A5519">
        <w:t>temps de regard vers le passé</w:t>
      </w:r>
      <w:r>
        <w:t xml:space="preserve"> d'un objet et d'avoir une estimation de son âge. </w:t>
      </w:r>
    </w:p>
    <w:p w14:paraId="3867E3D8" w14:textId="73E41651" w:rsidR="00E26E0A" w:rsidRDefault="00E26E0A" w:rsidP="006A5519">
      <w:pPr>
        <w:pStyle w:val="NormalWeb"/>
        <w:jc w:val="both"/>
      </w:pPr>
      <w:r w:rsidRPr="00E26E0A">
        <w:rPr>
          <w:noProof/>
        </w:rPr>
        <w:drawing>
          <wp:anchor distT="0" distB="0" distL="114300" distR="114300" simplePos="0" relativeHeight="251665408" behindDoc="0" locked="0" layoutInCell="1" allowOverlap="1" wp14:anchorId="147EE6BE" wp14:editId="53DC621C">
            <wp:simplePos x="0" y="0"/>
            <wp:positionH relativeFrom="margin">
              <wp:posOffset>3041650</wp:posOffset>
            </wp:positionH>
            <wp:positionV relativeFrom="paragraph">
              <wp:posOffset>318135</wp:posOffset>
            </wp:positionV>
            <wp:extent cx="3143250" cy="406400"/>
            <wp:effectExtent l="0" t="0" r="0" b="0"/>
            <wp:wrapSquare wrapText="bothSides"/>
            <wp:docPr id="9" name="Image 9">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43250" cy="406400"/>
                    </a:xfrm>
                    <a:prstGeom prst="rect">
                      <a:avLst/>
                    </a:prstGeom>
                    <a:noFill/>
                    <a:ln>
                      <a:noFill/>
                    </a:ln>
                  </pic:spPr>
                </pic:pic>
              </a:graphicData>
            </a:graphic>
          </wp:anchor>
        </w:drawing>
      </w:r>
    </w:p>
    <w:p w14:paraId="5F2D9270" w14:textId="4955993A" w:rsidR="00E26E0A" w:rsidRPr="00E26E0A" w:rsidRDefault="00E26E0A" w:rsidP="00E26E0A">
      <w:pPr>
        <w:pStyle w:val="Titre1"/>
        <w:rPr>
          <w:b/>
          <w:bCs/>
        </w:rPr>
      </w:pPr>
      <w:bookmarkStart w:id="3" w:name="_Toc133070672"/>
      <w:r w:rsidRPr="00E26E0A">
        <w:rPr>
          <w:rStyle w:val="mw-headline"/>
          <w:b/>
          <w:bCs/>
        </w:rPr>
        <w:lastRenderedPageBreak/>
        <w:t>Le mouvement de la source</w:t>
      </w:r>
      <w:bookmarkEnd w:id="3"/>
    </w:p>
    <w:p w14:paraId="2413B6D5" w14:textId="657888F0" w:rsidR="00E26E0A" w:rsidRPr="00E26E0A" w:rsidRDefault="00E26E0A" w:rsidP="00E26E0A">
      <w:pPr>
        <w:pStyle w:val="NormalWeb"/>
        <w:jc w:val="both"/>
      </w:pPr>
      <w:r>
        <w:rPr>
          <w:noProof/>
        </w:rPr>
        <w:drawing>
          <wp:anchor distT="0" distB="0" distL="114300" distR="114300" simplePos="0" relativeHeight="251666432" behindDoc="0" locked="0" layoutInCell="1" allowOverlap="1" wp14:anchorId="7F4E6CD5" wp14:editId="129482EF">
            <wp:simplePos x="0" y="0"/>
            <wp:positionH relativeFrom="margin">
              <wp:align>left</wp:align>
            </wp:positionH>
            <wp:positionV relativeFrom="paragraph">
              <wp:posOffset>902335</wp:posOffset>
            </wp:positionV>
            <wp:extent cx="546100" cy="387350"/>
            <wp:effectExtent l="0" t="0" r="6350" b="0"/>
            <wp:wrapTopAndBottom/>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6100" cy="387350"/>
                    </a:xfrm>
                    <a:prstGeom prst="rect">
                      <a:avLst/>
                    </a:prstGeom>
                    <a:noFill/>
                    <a:ln>
                      <a:noFill/>
                    </a:ln>
                  </pic:spPr>
                </pic:pic>
              </a:graphicData>
            </a:graphic>
          </wp:anchor>
        </w:drawing>
      </w:r>
      <w:r>
        <w:t xml:space="preserve">L'effet Doppler dû au mouvement de la source est la première idée et encore la plus présente. Si </w:t>
      </w:r>
      <w:r w:rsidRPr="00E26E0A">
        <w:t>z &gt; 0</w:t>
      </w:r>
      <w:r>
        <w:t xml:space="preserve">, le décalage est vers le rouge, la source s'éloigne ; si </w:t>
      </w:r>
      <w:r w:rsidRPr="00E26E0A">
        <w:t>z &lt; 0</w:t>
      </w:r>
      <w:r>
        <w:t xml:space="preserve">, le décalage est vers le bleu, elle se rapproche. Quand la vitesse relative de la source projetée le long de la ligne de visée, </w:t>
      </w:r>
      <w:r w:rsidRPr="00E26E0A">
        <w:t>v</w:t>
      </w:r>
      <w:r>
        <w:t xml:space="preserve">, st petite par rapport à la </w:t>
      </w:r>
      <w:r w:rsidRPr="00E26E0A">
        <w:t>vitesse de la lumière</w:t>
      </w:r>
      <w:r>
        <w:t xml:space="preserve">, </w:t>
      </w:r>
      <w:r w:rsidRPr="00E26E0A">
        <w:t>c</w:t>
      </w:r>
      <w:r>
        <w:t xml:space="preserve">, le décalage vaut : </w:t>
      </w:r>
    </w:p>
    <w:p w14:paraId="3DCBEC3D" w14:textId="61FE5932" w:rsidR="00E26E0A" w:rsidRDefault="00E26E0A" w:rsidP="00E26E0A">
      <w:pPr>
        <w:pStyle w:val="NormalWeb"/>
        <w:jc w:val="both"/>
      </w:pPr>
      <w:r>
        <w:rPr>
          <w:rStyle w:val="mwe-math-mathml-inline"/>
          <w:noProof/>
        </w:rPr>
        <w:drawing>
          <wp:anchor distT="0" distB="0" distL="114300" distR="114300" simplePos="0" relativeHeight="251667456" behindDoc="0" locked="0" layoutInCell="1" allowOverlap="1" wp14:anchorId="1E29C40A" wp14:editId="34D7718A">
            <wp:simplePos x="0" y="0"/>
            <wp:positionH relativeFrom="margin">
              <wp:align>left</wp:align>
            </wp:positionH>
            <wp:positionV relativeFrom="paragraph">
              <wp:posOffset>601345</wp:posOffset>
            </wp:positionV>
            <wp:extent cx="1301750" cy="527050"/>
            <wp:effectExtent l="0" t="0" r="0" b="6350"/>
            <wp:wrapTopAndBottom/>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301750" cy="527050"/>
                    </a:xfrm>
                    <a:prstGeom prst="rect">
                      <a:avLst/>
                    </a:prstGeom>
                    <a:noFill/>
                    <a:ln>
                      <a:noFill/>
                    </a:ln>
                  </pic:spPr>
                </pic:pic>
              </a:graphicData>
            </a:graphic>
          </wp:anchor>
        </w:drawing>
      </w:r>
      <w:r>
        <w:t xml:space="preserve">Lorsque la vitesse de la source n'est pas petite devant celle de la lumière, il vaut mieux utiliser la formule : </w:t>
      </w:r>
    </w:p>
    <w:p w14:paraId="45726670" w14:textId="56E9B812" w:rsidR="00E26E0A" w:rsidRDefault="00E26E0A" w:rsidP="00E26E0A">
      <w:pPr>
        <w:pStyle w:val="NormalWeb"/>
        <w:jc w:val="both"/>
      </w:pPr>
      <w:r>
        <w:rPr>
          <w:rStyle w:val="mwe-math-mathml-inline"/>
          <w:vanish/>
        </w:rPr>
        <w:t xml:space="preserve">z + 1 = c + v c − v </w:t>
      </w:r>
      <w:r>
        <w:rPr>
          <w:noProof/>
        </w:rPr>
        <mc:AlternateContent>
          <mc:Choice Requires="wps">
            <w:drawing>
              <wp:inline distT="0" distB="0" distL="0" distR="0" wp14:anchorId="78FB63B8" wp14:editId="31246577">
                <wp:extent cx="304800" cy="304800"/>
                <wp:effectExtent l="0" t="0" r="0" b="0"/>
                <wp:docPr id="2" name="Rectangle 2" descr="{\displaystyle z+1={\sqrt {\frac {c+v}{c-v}}}}"/>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C6F01E" id="Rectangle 2" o:spid="_x0000_s1026" alt="{\displaystyle z+1={\sqrt {\frac {c+v}{c-v}}}}"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4C0EB11" w14:textId="1FD96DD5" w:rsidR="004A5083" w:rsidRDefault="004A5083" w:rsidP="006A5519">
      <w:pPr>
        <w:pStyle w:val="NormalWeb"/>
        <w:jc w:val="both"/>
      </w:pPr>
    </w:p>
    <w:p w14:paraId="73573514" w14:textId="77777777" w:rsidR="004A5083" w:rsidRDefault="004A5083" w:rsidP="006A5519">
      <w:pPr>
        <w:pStyle w:val="NormalWeb"/>
        <w:jc w:val="both"/>
      </w:pPr>
    </w:p>
    <w:p w14:paraId="051F02EE" w14:textId="77777777" w:rsidR="009221BC" w:rsidRDefault="009221BC" w:rsidP="009221BC">
      <w:pPr>
        <w:pStyle w:val="NormalWeb"/>
      </w:pPr>
    </w:p>
    <w:p w14:paraId="750E0F1A" w14:textId="77777777" w:rsidR="00D078BD" w:rsidRPr="00D078BD" w:rsidRDefault="00D078BD" w:rsidP="00D078BD"/>
    <w:sectPr w:rsidR="00D078BD" w:rsidRPr="00D078BD">
      <w:headerReference w:type="default" r:id="rId18"/>
      <w:footerReference w:type="default" r:id="rId1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4251E5" w14:textId="77777777" w:rsidR="00C539E7" w:rsidRDefault="00C539E7" w:rsidP="00D078BD">
      <w:pPr>
        <w:spacing w:after="0" w:line="240" w:lineRule="auto"/>
      </w:pPr>
      <w:r>
        <w:separator/>
      </w:r>
    </w:p>
  </w:endnote>
  <w:endnote w:type="continuationSeparator" w:id="0">
    <w:p w14:paraId="2CC9AAAE" w14:textId="77777777" w:rsidR="00C539E7" w:rsidRDefault="00C539E7" w:rsidP="00D078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9699532"/>
      <w:docPartObj>
        <w:docPartGallery w:val="Page Numbers (Bottom of Page)"/>
        <w:docPartUnique/>
      </w:docPartObj>
    </w:sdtPr>
    <w:sdtContent>
      <w:p w14:paraId="1D3E00DD" w14:textId="0482CC01" w:rsidR="00D078BD" w:rsidRDefault="00D078BD">
        <w:pPr>
          <w:pStyle w:val="Pieddepage"/>
          <w:jc w:val="right"/>
        </w:pPr>
        <w:r>
          <w:fldChar w:fldCharType="begin"/>
        </w:r>
        <w:r>
          <w:instrText>PAGE   \* MERGEFORMAT</w:instrText>
        </w:r>
        <w:r>
          <w:fldChar w:fldCharType="separate"/>
        </w:r>
        <w:r>
          <w:t>2</w:t>
        </w:r>
        <w:r>
          <w:fldChar w:fldCharType="end"/>
        </w:r>
      </w:p>
    </w:sdtContent>
  </w:sdt>
  <w:p w14:paraId="66FDB9EB" w14:textId="77777777" w:rsidR="00D078BD" w:rsidRDefault="00D078B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492347" w14:textId="77777777" w:rsidR="00C539E7" w:rsidRDefault="00C539E7" w:rsidP="00D078BD">
      <w:pPr>
        <w:spacing w:after="0" w:line="240" w:lineRule="auto"/>
      </w:pPr>
      <w:r>
        <w:separator/>
      </w:r>
    </w:p>
  </w:footnote>
  <w:footnote w:type="continuationSeparator" w:id="0">
    <w:p w14:paraId="1BCA3BB2" w14:textId="77777777" w:rsidR="00C539E7" w:rsidRDefault="00C539E7" w:rsidP="00D078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69239" w14:textId="3818A36B" w:rsidR="00D078BD" w:rsidRDefault="00D078BD">
    <w:pPr>
      <w:pStyle w:val="En-tte"/>
    </w:pPr>
    <w:r>
      <w:t xml:space="preserve">PHYSIQUE – </w:t>
    </w:r>
    <w:r w:rsidR="004E7F95" w:rsidRPr="004E7F95">
      <w:t>Redshift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5E5"/>
    <w:rsid w:val="003B22A5"/>
    <w:rsid w:val="004455E5"/>
    <w:rsid w:val="004A5083"/>
    <w:rsid w:val="004E7F95"/>
    <w:rsid w:val="006246EC"/>
    <w:rsid w:val="006A5519"/>
    <w:rsid w:val="0089092D"/>
    <w:rsid w:val="008D529C"/>
    <w:rsid w:val="009221BC"/>
    <w:rsid w:val="00975931"/>
    <w:rsid w:val="00B95D22"/>
    <w:rsid w:val="00C4156D"/>
    <w:rsid w:val="00C539E7"/>
    <w:rsid w:val="00D078BD"/>
    <w:rsid w:val="00D10CF1"/>
    <w:rsid w:val="00D56CE8"/>
    <w:rsid w:val="00E26E0A"/>
    <w:rsid w:val="00F57D9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42342"/>
  <w15:chartTrackingRefBased/>
  <w15:docId w15:val="{D69A6EDC-12E8-4B02-AD27-5E72A6C33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E7F9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semiHidden/>
    <w:unhideWhenUsed/>
    <w:qFormat/>
    <w:rsid w:val="009221B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D10CF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078BD"/>
    <w:pPr>
      <w:tabs>
        <w:tab w:val="center" w:pos="4536"/>
        <w:tab w:val="right" w:pos="9072"/>
      </w:tabs>
      <w:spacing w:after="0" w:line="240" w:lineRule="auto"/>
    </w:pPr>
  </w:style>
  <w:style w:type="character" w:customStyle="1" w:styleId="En-tteCar">
    <w:name w:val="En-tête Car"/>
    <w:basedOn w:val="Policepardfaut"/>
    <w:link w:val="En-tte"/>
    <w:uiPriority w:val="99"/>
    <w:rsid w:val="00D078BD"/>
  </w:style>
  <w:style w:type="paragraph" w:styleId="Pieddepage">
    <w:name w:val="footer"/>
    <w:basedOn w:val="Normal"/>
    <w:link w:val="PieddepageCar"/>
    <w:uiPriority w:val="99"/>
    <w:unhideWhenUsed/>
    <w:rsid w:val="00D078B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078BD"/>
  </w:style>
  <w:style w:type="paragraph" w:styleId="Titre">
    <w:name w:val="Title"/>
    <w:basedOn w:val="Normal"/>
    <w:next w:val="Normal"/>
    <w:link w:val="TitreCar"/>
    <w:uiPriority w:val="10"/>
    <w:qFormat/>
    <w:rsid w:val="00D078B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078BD"/>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4E7F95"/>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unhideWhenUsed/>
    <w:rsid w:val="00F57D99"/>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lang-en">
    <w:name w:val="lang-en"/>
    <w:basedOn w:val="Policepardfaut"/>
    <w:rsid w:val="00F57D99"/>
  </w:style>
  <w:style w:type="character" w:styleId="Lienhypertexte">
    <w:name w:val="Hyperlink"/>
    <w:basedOn w:val="Policepardfaut"/>
    <w:uiPriority w:val="99"/>
    <w:unhideWhenUsed/>
    <w:rsid w:val="00F57D99"/>
    <w:rPr>
      <w:color w:val="0000FF"/>
      <w:u w:val="single"/>
    </w:rPr>
  </w:style>
  <w:style w:type="character" w:customStyle="1" w:styleId="Titre2Car">
    <w:name w:val="Titre 2 Car"/>
    <w:basedOn w:val="Policepardfaut"/>
    <w:link w:val="Titre2"/>
    <w:uiPriority w:val="9"/>
    <w:semiHidden/>
    <w:rsid w:val="009221BC"/>
    <w:rPr>
      <w:rFonts w:asciiTheme="majorHAnsi" w:eastAsiaTheme="majorEastAsia" w:hAnsiTheme="majorHAnsi" w:cstheme="majorBidi"/>
      <w:color w:val="2F5496" w:themeColor="accent1" w:themeShade="BF"/>
      <w:sz w:val="26"/>
      <w:szCs w:val="26"/>
    </w:rPr>
  </w:style>
  <w:style w:type="character" w:customStyle="1" w:styleId="mw-headline">
    <w:name w:val="mw-headline"/>
    <w:basedOn w:val="Policepardfaut"/>
    <w:rsid w:val="009221BC"/>
  </w:style>
  <w:style w:type="character" w:customStyle="1" w:styleId="mwe-math-mathml-inline">
    <w:name w:val="mwe-math-mathml-inline"/>
    <w:basedOn w:val="Policepardfaut"/>
    <w:rsid w:val="009221BC"/>
  </w:style>
  <w:style w:type="character" w:customStyle="1" w:styleId="Titre3Car">
    <w:name w:val="Titre 3 Car"/>
    <w:basedOn w:val="Policepardfaut"/>
    <w:link w:val="Titre3"/>
    <w:uiPriority w:val="9"/>
    <w:semiHidden/>
    <w:rsid w:val="00D10CF1"/>
    <w:rPr>
      <w:rFonts w:asciiTheme="majorHAnsi" w:eastAsiaTheme="majorEastAsia" w:hAnsiTheme="majorHAnsi" w:cstheme="majorBidi"/>
      <w:color w:val="1F3763" w:themeColor="accent1" w:themeShade="7F"/>
      <w:sz w:val="24"/>
      <w:szCs w:val="24"/>
    </w:rPr>
  </w:style>
  <w:style w:type="paragraph" w:styleId="Lgende">
    <w:name w:val="caption"/>
    <w:basedOn w:val="Normal"/>
    <w:next w:val="Normal"/>
    <w:uiPriority w:val="35"/>
    <w:unhideWhenUsed/>
    <w:qFormat/>
    <w:rsid w:val="00B95D22"/>
    <w:pPr>
      <w:spacing w:after="200" w:line="240" w:lineRule="auto"/>
    </w:pPr>
    <w:rPr>
      <w:i/>
      <w:iCs/>
      <w:color w:val="44546A" w:themeColor="text2"/>
      <w:sz w:val="18"/>
      <w:szCs w:val="18"/>
    </w:rPr>
  </w:style>
  <w:style w:type="character" w:customStyle="1" w:styleId="texhtml">
    <w:name w:val="texhtml"/>
    <w:basedOn w:val="Policepardfaut"/>
    <w:rsid w:val="00E26E0A"/>
  </w:style>
  <w:style w:type="paragraph" w:styleId="En-ttedetabledesmatires">
    <w:name w:val="TOC Heading"/>
    <w:basedOn w:val="Titre1"/>
    <w:next w:val="Normal"/>
    <w:uiPriority w:val="39"/>
    <w:unhideWhenUsed/>
    <w:qFormat/>
    <w:rsid w:val="008D529C"/>
    <w:pPr>
      <w:outlineLvl w:val="9"/>
    </w:pPr>
    <w:rPr>
      <w:lang w:eastAsia="fr-FR"/>
    </w:rPr>
  </w:style>
  <w:style w:type="paragraph" w:styleId="TM1">
    <w:name w:val="toc 1"/>
    <w:basedOn w:val="Normal"/>
    <w:next w:val="Normal"/>
    <w:autoRedefine/>
    <w:uiPriority w:val="39"/>
    <w:unhideWhenUsed/>
    <w:rsid w:val="008D529C"/>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196853">
      <w:bodyDiv w:val="1"/>
      <w:marLeft w:val="0"/>
      <w:marRight w:val="0"/>
      <w:marTop w:val="0"/>
      <w:marBottom w:val="0"/>
      <w:divBdr>
        <w:top w:val="none" w:sz="0" w:space="0" w:color="auto"/>
        <w:left w:val="none" w:sz="0" w:space="0" w:color="auto"/>
        <w:bottom w:val="none" w:sz="0" w:space="0" w:color="auto"/>
        <w:right w:val="none" w:sz="0" w:space="0" w:color="auto"/>
      </w:divBdr>
    </w:div>
    <w:div w:id="823357081">
      <w:bodyDiv w:val="1"/>
      <w:marLeft w:val="0"/>
      <w:marRight w:val="0"/>
      <w:marTop w:val="0"/>
      <w:marBottom w:val="0"/>
      <w:divBdr>
        <w:top w:val="none" w:sz="0" w:space="0" w:color="auto"/>
        <w:left w:val="none" w:sz="0" w:space="0" w:color="auto"/>
        <w:bottom w:val="none" w:sz="0" w:space="0" w:color="auto"/>
        <w:right w:val="none" w:sz="0" w:space="0" w:color="auto"/>
      </w:divBdr>
    </w:div>
    <w:div w:id="968972932">
      <w:bodyDiv w:val="1"/>
      <w:marLeft w:val="0"/>
      <w:marRight w:val="0"/>
      <w:marTop w:val="0"/>
      <w:marBottom w:val="0"/>
      <w:divBdr>
        <w:top w:val="none" w:sz="0" w:space="0" w:color="auto"/>
        <w:left w:val="none" w:sz="0" w:space="0" w:color="auto"/>
        <w:bottom w:val="none" w:sz="0" w:space="0" w:color="auto"/>
        <w:right w:val="none" w:sz="0" w:space="0" w:color="auto"/>
      </w:divBdr>
      <w:divsChild>
        <w:div w:id="818039193">
          <w:marLeft w:val="0"/>
          <w:marRight w:val="0"/>
          <w:marTop w:val="0"/>
          <w:marBottom w:val="0"/>
          <w:divBdr>
            <w:top w:val="none" w:sz="0" w:space="0" w:color="auto"/>
            <w:left w:val="none" w:sz="0" w:space="0" w:color="auto"/>
            <w:bottom w:val="none" w:sz="0" w:space="0" w:color="auto"/>
            <w:right w:val="none" w:sz="0" w:space="0" w:color="auto"/>
          </w:divBdr>
          <w:divsChild>
            <w:div w:id="1455637790">
              <w:marLeft w:val="0"/>
              <w:marRight w:val="0"/>
              <w:marTop w:val="0"/>
              <w:marBottom w:val="0"/>
              <w:divBdr>
                <w:top w:val="none" w:sz="0" w:space="0" w:color="auto"/>
                <w:left w:val="none" w:sz="0" w:space="0" w:color="auto"/>
                <w:bottom w:val="none" w:sz="0" w:space="0" w:color="auto"/>
                <w:right w:val="none" w:sz="0" w:space="0" w:color="auto"/>
              </w:divBdr>
            </w:div>
          </w:divsChild>
        </w:div>
        <w:div w:id="526910710">
          <w:marLeft w:val="0"/>
          <w:marRight w:val="0"/>
          <w:marTop w:val="0"/>
          <w:marBottom w:val="0"/>
          <w:divBdr>
            <w:top w:val="none" w:sz="0" w:space="0" w:color="auto"/>
            <w:left w:val="none" w:sz="0" w:space="0" w:color="auto"/>
            <w:bottom w:val="none" w:sz="0" w:space="0" w:color="auto"/>
            <w:right w:val="none" w:sz="0" w:space="0" w:color="auto"/>
          </w:divBdr>
          <w:divsChild>
            <w:div w:id="357436558">
              <w:marLeft w:val="0"/>
              <w:marRight w:val="0"/>
              <w:marTop w:val="0"/>
              <w:marBottom w:val="0"/>
              <w:divBdr>
                <w:top w:val="none" w:sz="0" w:space="0" w:color="auto"/>
                <w:left w:val="none" w:sz="0" w:space="0" w:color="auto"/>
                <w:bottom w:val="none" w:sz="0" w:space="0" w:color="auto"/>
                <w:right w:val="none" w:sz="0" w:space="0" w:color="auto"/>
              </w:divBdr>
            </w:div>
          </w:divsChild>
        </w:div>
        <w:div w:id="903368954">
          <w:marLeft w:val="0"/>
          <w:marRight w:val="0"/>
          <w:marTop w:val="0"/>
          <w:marBottom w:val="0"/>
          <w:divBdr>
            <w:top w:val="none" w:sz="0" w:space="0" w:color="auto"/>
            <w:left w:val="none" w:sz="0" w:space="0" w:color="auto"/>
            <w:bottom w:val="none" w:sz="0" w:space="0" w:color="auto"/>
            <w:right w:val="none" w:sz="0" w:space="0" w:color="auto"/>
          </w:divBdr>
          <w:divsChild>
            <w:div w:id="738744324">
              <w:marLeft w:val="0"/>
              <w:marRight w:val="0"/>
              <w:marTop w:val="0"/>
              <w:marBottom w:val="0"/>
              <w:divBdr>
                <w:top w:val="none" w:sz="0" w:space="0" w:color="auto"/>
                <w:left w:val="none" w:sz="0" w:space="0" w:color="auto"/>
                <w:bottom w:val="none" w:sz="0" w:space="0" w:color="auto"/>
                <w:right w:val="none" w:sz="0" w:space="0" w:color="auto"/>
              </w:divBdr>
              <w:divsChild>
                <w:div w:id="169006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996935">
      <w:bodyDiv w:val="1"/>
      <w:marLeft w:val="0"/>
      <w:marRight w:val="0"/>
      <w:marTop w:val="0"/>
      <w:marBottom w:val="0"/>
      <w:divBdr>
        <w:top w:val="none" w:sz="0" w:space="0" w:color="auto"/>
        <w:left w:val="none" w:sz="0" w:space="0" w:color="auto"/>
        <w:bottom w:val="none" w:sz="0" w:space="0" w:color="auto"/>
        <w:right w:val="none" w:sz="0" w:space="0" w:color="auto"/>
      </w:divBdr>
      <w:divsChild>
        <w:div w:id="550073325">
          <w:marLeft w:val="0"/>
          <w:marRight w:val="0"/>
          <w:marTop w:val="0"/>
          <w:marBottom w:val="0"/>
          <w:divBdr>
            <w:top w:val="none" w:sz="0" w:space="0" w:color="auto"/>
            <w:left w:val="none" w:sz="0" w:space="0" w:color="auto"/>
            <w:bottom w:val="none" w:sz="0" w:space="0" w:color="auto"/>
            <w:right w:val="none" w:sz="0" w:space="0" w:color="auto"/>
          </w:divBdr>
          <w:divsChild>
            <w:div w:id="1412392591">
              <w:marLeft w:val="0"/>
              <w:marRight w:val="0"/>
              <w:marTop w:val="0"/>
              <w:marBottom w:val="0"/>
              <w:divBdr>
                <w:top w:val="none" w:sz="0" w:space="0" w:color="auto"/>
                <w:left w:val="none" w:sz="0" w:space="0" w:color="auto"/>
                <w:bottom w:val="none" w:sz="0" w:space="0" w:color="auto"/>
                <w:right w:val="none" w:sz="0" w:space="0" w:color="auto"/>
              </w:divBdr>
            </w:div>
          </w:divsChild>
        </w:div>
        <w:div w:id="499929923">
          <w:marLeft w:val="0"/>
          <w:marRight w:val="0"/>
          <w:marTop w:val="0"/>
          <w:marBottom w:val="0"/>
          <w:divBdr>
            <w:top w:val="none" w:sz="0" w:space="0" w:color="auto"/>
            <w:left w:val="none" w:sz="0" w:space="0" w:color="auto"/>
            <w:bottom w:val="none" w:sz="0" w:space="0" w:color="auto"/>
            <w:right w:val="none" w:sz="0" w:space="0" w:color="auto"/>
          </w:divBdr>
          <w:divsChild>
            <w:div w:id="1926919530">
              <w:marLeft w:val="0"/>
              <w:marRight w:val="0"/>
              <w:marTop w:val="0"/>
              <w:marBottom w:val="0"/>
              <w:divBdr>
                <w:top w:val="none" w:sz="0" w:space="0" w:color="auto"/>
                <w:left w:val="none" w:sz="0" w:space="0" w:color="auto"/>
                <w:bottom w:val="none" w:sz="0" w:space="0" w:color="auto"/>
                <w:right w:val="none" w:sz="0" w:space="0" w:color="auto"/>
              </w:divBdr>
            </w:div>
          </w:divsChild>
        </w:div>
        <w:div w:id="1285379685">
          <w:marLeft w:val="0"/>
          <w:marRight w:val="0"/>
          <w:marTop w:val="0"/>
          <w:marBottom w:val="0"/>
          <w:divBdr>
            <w:top w:val="none" w:sz="0" w:space="0" w:color="auto"/>
            <w:left w:val="none" w:sz="0" w:space="0" w:color="auto"/>
            <w:bottom w:val="none" w:sz="0" w:space="0" w:color="auto"/>
            <w:right w:val="none" w:sz="0" w:space="0" w:color="auto"/>
          </w:divBdr>
          <w:divsChild>
            <w:div w:id="260068270">
              <w:marLeft w:val="0"/>
              <w:marRight w:val="0"/>
              <w:marTop w:val="0"/>
              <w:marBottom w:val="0"/>
              <w:divBdr>
                <w:top w:val="none" w:sz="0" w:space="0" w:color="auto"/>
                <w:left w:val="none" w:sz="0" w:space="0" w:color="auto"/>
                <w:bottom w:val="none" w:sz="0" w:space="0" w:color="auto"/>
                <w:right w:val="none" w:sz="0" w:space="0" w:color="auto"/>
              </w:divBdr>
              <w:divsChild>
                <w:div w:id="113313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073879">
          <w:marLeft w:val="0"/>
          <w:marRight w:val="0"/>
          <w:marTop w:val="0"/>
          <w:marBottom w:val="0"/>
          <w:divBdr>
            <w:top w:val="none" w:sz="0" w:space="0" w:color="auto"/>
            <w:left w:val="none" w:sz="0" w:space="0" w:color="auto"/>
            <w:bottom w:val="none" w:sz="0" w:space="0" w:color="auto"/>
            <w:right w:val="none" w:sz="0" w:space="0" w:color="auto"/>
          </w:divBdr>
          <w:divsChild>
            <w:div w:id="1913732727">
              <w:marLeft w:val="0"/>
              <w:marRight w:val="0"/>
              <w:marTop w:val="0"/>
              <w:marBottom w:val="0"/>
              <w:divBdr>
                <w:top w:val="none" w:sz="0" w:space="0" w:color="auto"/>
                <w:left w:val="none" w:sz="0" w:space="0" w:color="auto"/>
                <w:bottom w:val="none" w:sz="0" w:space="0" w:color="auto"/>
                <w:right w:val="none" w:sz="0" w:space="0" w:color="auto"/>
              </w:divBdr>
            </w:div>
          </w:divsChild>
        </w:div>
        <w:div w:id="715011211">
          <w:marLeft w:val="0"/>
          <w:marRight w:val="0"/>
          <w:marTop w:val="0"/>
          <w:marBottom w:val="0"/>
          <w:divBdr>
            <w:top w:val="none" w:sz="0" w:space="0" w:color="auto"/>
            <w:left w:val="none" w:sz="0" w:space="0" w:color="auto"/>
            <w:bottom w:val="none" w:sz="0" w:space="0" w:color="auto"/>
            <w:right w:val="none" w:sz="0" w:space="0" w:color="auto"/>
          </w:divBdr>
          <w:divsChild>
            <w:div w:id="525485085">
              <w:marLeft w:val="0"/>
              <w:marRight w:val="0"/>
              <w:marTop w:val="0"/>
              <w:marBottom w:val="0"/>
              <w:divBdr>
                <w:top w:val="none" w:sz="0" w:space="0" w:color="auto"/>
                <w:left w:val="none" w:sz="0" w:space="0" w:color="auto"/>
                <w:bottom w:val="none" w:sz="0" w:space="0" w:color="auto"/>
                <w:right w:val="none" w:sz="0" w:space="0" w:color="auto"/>
              </w:divBdr>
              <w:divsChild>
                <w:div w:id="18402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5.jpeg"/><Relationship Id="rId17"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yperlink" Target="https://commons.wikimedia.org/wiki/File:Hubble_ultra_deep_field_high_rez_edit1.jpg?uselang=fr" TargetMode="External"/><Relationship Id="rId5" Type="http://schemas.openxmlformats.org/officeDocument/2006/relationships/endnotes" Target="endnotes.xml"/><Relationship Id="rId15" Type="http://schemas.openxmlformats.org/officeDocument/2006/relationships/image" Target="media/image7.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yperlink" Target="https://commons.wikimedia.org/wiki/File:Redshift.svg?uselang=fr" TargetMode="External"/><Relationship Id="rId14" Type="http://schemas.openxmlformats.org/officeDocument/2006/relationships/hyperlink" Target="https://commons.wikimedia.org/wiki/File:Schema_Redshift.svg?uselang=f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625</Words>
  <Characters>3443</Characters>
  <Application>Microsoft Office Word</Application>
  <DocSecurity>0</DocSecurity>
  <Lines>28</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cp:lastModifiedBy>
  <cp:revision>11</cp:revision>
  <dcterms:created xsi:type="dcterms:W3CDTF">2022-12-21T14:44:00Z</dcterms:created>
  <dcterms:modified xsi:type="dcterms:W3CDTF">2023-04-22T13:44:00Z</dcterms:modified>
</cp:coreProperties>
</file>