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106D48EE" w:rsidR="00B33482" w:rsidRPr="007E575E" w:rsidRDefault="008E0977" w:rsidP="00E016DE">
      <w:pPr>
        <w:pStyle w:val="Titre1"/>
      </w:pPr>
      <w:bookmarkStart w:id="0" w:name="_Toc205411139"/>
      <w:r w:rsidRPr="008E0977">
        <w:t xml:space="preserve">Laser </w:t>
      </w:r>
      <w:proofErr w:type="spellStart"/>
      <w:r w:rsidRPr="008E0977">
        <w:t>Interferometer</w:t>
      </w:r>
      <w:proofErr w:type="spellEnd"/>
      <w:r w:rsidRPr="008E0977">
        <w:t xml:space="preserve"> </w:t>
      </w:r>
      <w:proofErr w:type="spellStart"/>
      <w:r w:rsidRPr="008E0977">
        <w:t>Space</w:t>
      </w:r>
      <w:proofErr w:type="spellEnd"/>
      <w:r w:rsidRPr="008E0977">
        <w:t xml:space="preserve"> </w:t>
      </w:r>
      <w:proofErr w:type="spellStart"/>
      <w:r w:rsidRPr="008E0977">
        <w:t>Antenna</w:t>
      </w:r>
      <w:proofErr w:type="spellEnd"/>
      <w:r w:rsidRPr="008E0977">
        <w:t xml:space="preserve"> LISA</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1A7FC92A" w14:textId="54FBEF13" w:rsidR="008E0977"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11139" w:history="1">
            <w:r w:rsidR="008E0977" w:rsidRPr="001C3BEF">
              <w:rPr>
                <w:rStyle w:val="Lienhypertexte"/>
                <w:noProof/>
              </w:rPr>
              <w:t>Laser Interferometer Space Antenna LISA</w:t>
            </w:r>
            <w:r w:rsidR="008E0977">
              <w:rPr>
                <w:noProof/>
                <w:webHidden/>
              </w:rPr>
              <w:tab/>
            </w:r>
            <w:r w:rsidR="008E0977">
              <w:rPr>
                <w:noProof/>
                <w:webHidden/>
              </w:rPr>
              <w:fldChar w:fldCharType="begin"/>
            </w:r>
            <w:r w:rsidR="008E0977">
              <w:rPr>
                <w:noProof/>
                <w:webHidden/>
              </w:rPr>
              <w:instrText xml:space="preserve"> PAGEREF _Toc205411139 \h </w:instrText>
            </w:r>
            <w:r w:rsidR="008E0977">
              <w:rPr>
                <w:noProof/>
                <w:webHidden/>
              </w:rPr>
            </w:r>
            <w:r w:rsidR="008E0977">
              <w:rPr>
                <w:noProof/>
                <w:webHidden/>
              </w:rPr>
              <w:fldChar w:fldCharType="separate"/>
            </w:r>
            <w:r w:rsidR="008E0977">
              <w:rPr>
                <w:noProof/>
                <w:webHidden/>
              </w:rPr>
              <w:t>1</w:t>
            </w:r>
            <w:r w:rsidR="008E0977">
              <w:rPr>
                <w:noProof/>
                <w:webHidden/>
              </w:rPr>
              <w:fldChar w:fldCharType="end"/>
            </w:r>
          </w:hyperlink>
        </w:p>
        <w:p w14:paraId="335503F6" w14:textId="0EE58964"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0" w:history="1">
            <w:r w:rsidRPr="001C3BEF">
              <w:rPr>
                <w:rStyle w:val="Lienhypertexte"/>
                <w:noProof/>
              </w:rPr>
              <w:t>Introduction</w:t>
            </w:r>
            <w:r>
              <w:rPr>
                <w:noProof/>
                <w:webHidden/>
              </w:rPr>
              <w:tab/>
            </w:r>
            <w:r>
              <w:rPr>
                <w:noProof/>
                <w:webHidden/>
              </w:rPr>
              <w:fldChar w:fldCharType="begin"/>
            </w:r>
            <w:r>
              <w:rPr>
                <w:noProof/>
                <w:webHidden/>
              </w:rPr>
              <w:instrText xml:space="preserve"> PAGEREF _Toc205411140 \h </w:instrText>
            </w:r>
            <w:r>
              <w:rPr>
                <w:noProof/>
                <w:webHidden/>
              </w:rPr>
            </w:r>
            <w:r>
              <w:rPr>
                <w:noProof/>
                <w:webHidden/>
              </w:rPr>
              <w:fldChar w:fldCharType="separate"/>
            </w:r>
            <w:r>
              <w:rPr>
                <w:noProof/>
                <w:webHidden/>
              </w:rPr>
              <w:t>2</w:t>
            </w:r>
            <w:r>
              <w:rPr>
                <w:noProof/>
                <w:webHidden/>
              </w:rPr>
              <w:fldChar w:fldCharType="end"/>
            </w:r>
          </w:hyperlink>
        </w:p>
        <w:p w14:paraId="5F85C015" w14:textId="3104F936"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1" w:history="1">
            <w:r w:rsidRPr="001C3BEF">
              <w:rPr>
                <w:rStyle w:val="Lienhypertexte"/>
                <w:noProof/>
              </w:rPr>
              <w:t>Les ondes gravitationnelles : une nouvelle fenêtre sur l'Univers</w:t>
            </w:r>
            <w:r>
              <w:rPr>
                <w:noProof/>
                <w:webHidden/>
              </w:rPr>
              <w:tab/>
            </w:r>
            <w:r>
              <w:rPr>
                <w:noProof/>
                <w:webHidden/>
              </w:rPr>
              <w:fldChar w:fldCharType="begin"/>
            </w:r>
            <w:r>
              <w:rPr>
                <w:noProof/>
                <w:webHidden/>
              </w:rPr>
              <w:instrText xml:space="preserve"> PAGEREF _Toc205411141 \h </w:instrText>
            </w:r>
            <w:r>
              <w:rPr>
                <w:noProof/>
                <w:webHidden/>
              </w:rPr>
            </w:r>
            <w:r>
              <w:rPr>
                <w:noProof/>
                <w:webHidden/>
              </w:rPr>
              <w:fldChar w:fldCharType="separate"/>
            </w:r>
            <w:r>
              <w:rPr>
                <w:noProof/>
                <w:webHidden/>
              </w:rPr>
              <w:t>2</w:t>
            </w:r>
            <w:r>
              <w:rPr>
                <w:noProof/>
                <w:webHidden/>
              </w:rPr>
              <w:fldChar w:fldCharType="end"/>
            </w:r>
          </w:hyperlink>
        </w:p>
        <w:p w14:paraId="2926C14E" w14:textId="4556CF89"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2" w:history="1">
            <w:r w:rsidRPr="001C3BEF">
              <w:rPr>
                <w:rStyle w:val="Lienhypertexte"/>
                <w:noProof/>
              </w:rPr>
              <w:t>Les interféromètres terrestres et les premières observations</w:t>
            </w:r>
            <w:r>
              <w:rPr>
                <w:noProof/>
                <w:webHidden/>
              </w:rPr>
              <w:tab/>
            </w:r>
            <w:r>
              <w:rPr>
                <w:noProof/>
                <w:webHidden/>
              </w:rPr>
              <w:fldChar w:fldCharType="begin"/>
            </w:r>
            <w:r>
              <w:rPr>
                <w:noProof/>
                <w:webHidden/>
              </w:rPr>
              <w:instrText xml:space="preserve"> PAGEREF _Toc205411142 \h </w:instrText>
            </w:r>
            <w:r>
              <w:rPr>
                <w:noProof/>
                <w:webHidden/>
              </w:rPr>
            </w:r>
            <w:r>
              <w:rPr>
                <w:noProof/>
                <w:webHidden/>
              </w:rPr>
              <w:fldChar w:fldCharType="separate"/>
            </w:r>
            <w:r>
              <w:rPr>
                <w:noProof/>
                <w:webHidden/>
              </w:rPr>
              <w:t>2</w:t>
            </w:r>
            <w:r>
              <w:rPr>
                <w:noProof/>
                <w:webHidden/>
              </w:rPr>
              <w:fldChar w:fldCharType="end"/>
            </w:r>
          </w:hyperlink>
        </w:p>
        <w:p w14:paraId="4ED29D0F" w14:textId="51430344"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3" w:history="1">
            <w:r w:rsidRPr="001C3BEF">
              <w:rPr>
                <w:rStyle w:val="Lienhypertexte"/>
                <w:noProof/>
              </w:rPr>
              <w:t>Les premiers projets d'interféromètres spatiaux</w:t>
            </w:r>
            <w:r>
              <w:rPr>
                <w:noProof/>
                <w:webHidden/>
              </w:rPr>
              <w:tab/>
            </w:r>
            <w:r>
              <w:rPr>
                <w:noProof/>
                <w:webHidden/>
              </w:rPr>
              <w:fldChar w:fldCharType="begin"/>
            </w:r>
            <w:r>
              <w:rPr>
                <w:noProof/>
                <w:webHidden/>
              </w:rPr>
              <w:instrText xml:space="preserve"> PAGEREF _Toc205411143 \h </w:instrText>
            </w:r>
            <w:r>
              <w:rPr>
                <w:noProof/>
                <w:webHidden/>
              </w:rPr>
            </w:r>
            <w:r>
              <w:rPr>
                <w:noProof/>
                <w:webHidden/>
              </w:rPr>
              <w:fldChar w:fldCharType="separate"/>
            </w:r>
            <w:r>
              <w:rPr>
                <w:noProof/>
                <w:webHidden/>
              </w:rPr>
              <w:t>3</w:t>
            </w:r>
            <w:r>
              <w:rPr>
                <w:noProof/>
                <w:webHidden/>
              </w:rPr>
              <w:fldChar w:fldCharType="end"/>
            </w:r>
          </w:hyperlink>
        </w:p>
        <w:p w14:paraId="00E02C7C" w14:textId="39337081"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4" w:history="1">
            <w:r w:rsidRPr="001C3BEF">
              <w:rPr>
                <w:rStyle w:val="Lienhypertexte"/>
                <w:noProof/>
              </w:rPr>
              <w:t>Objectifs scientifiques</w:t>
            </w:r>
            <w:r>
              <w:rPr>
                <w:noProof/>
                <w:webHidden/>
              </w:rPr>
              <w:tab/>
            </w:r>
            <w:r>
              <w:rPr>
                <w:noProof/>
                <w:webHidden/>
              </w:rPr>
              <w:fldChar w:fldCharType="begin"/>
            </w:r>
            <w:r>
              <w:rPr>
                <w:noProof/>
                <w:webHidden/>
              </w:rPr>
              <w:instrText xml:space="preserve"> PAGEREF _Toc205411144 \h </w:instrText>
            </w:r>
            <w:r>
              <w:rPr>
                <w:noProof/>
                <w:webHidden/>
              </w:rPr>
            </w:r>
            <w:r>
              <w:rPr>
                <w:noProof/>
                <w:webHidden/>
              </w:rPr>
              <w:fldChar w:fldCharType="separate"/>
            </w:r>
            <w:r>
              <w:rPr>
                <w:noProof/>
                <w:webHidden/>
              </w:rPr>
              <w:t>3</w:t>
            </w:r>
            <w:r>
              <w:rPr>
                <w:noProof/>
                <w:webHidden/>
              </w:rPr>
              <w:fldChar w:fldCharType="end"/>
            </w:r>
          </w:hyperlink>
        </w:p>
        <w:p w14:paraId="331730F8" w14:textId="11C64793"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5" w:history="1">
            <w:r w:rsidRPr="001C3BEF">
              <w:rPr>
                <w:rStyle w:val="Lienhypertexte"/>
                <w:noProof/>
              </w:rPr>
              <w:t>Géométrie de LISA</w:t>
            </w:r>
            <w:r>
              <w:rPr>
                <w:noProof/>
                <w:webHidden/>
              </w:rPr>
              <w:tab/>
            </w:r>
            <w:r>
              <w:rPr>
                <w:noProof/>
                <w:webHidden/>
              </w:rPr>
              <w:fldChar w:fldCharType="begin"/>
            </w:r>
            <w:r>
              <w:rPr>
                <w:noProof/>
                <w:webHidden/>
              </w:rPr>
              <w:instrText xml:space="preserve"> PAGEREF _Toc205411145 \h </w:instrText>
            </w:r>
            <w:r>
              <w:rPr>
                <w:noProof/>
                <w:webHidden/>
              </w:rPr>
            </w:r>
            <w:r>
              <w:rPr>
                <w:noProof/>
                <w:webHidden/>
              </w:rPr>
              <w:fldChar w:fldCharType="separate"/>
            </w:r>
            <w:r>
              <w:rPr>
                <w:noProof/>
                <w:webHidden/>
              </w:rPr>
              <w:t>4</w:t>
            </w:r>
            <w:r>
              <w:rPr>
                <w:noProof/>
                <w:webHidden/>
              </w:rPr>
              <w:fldChar w:fldCharType="end"/>
            </w:r>
          </w:hyperlink>
        </w:p>
        <w:p w14:paraId="1BBE5C1C" w14:textId="36462374"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6" w:history="1">
            <w:r w:rsidRPr="001C3BEF">
              <w:rPr>
                <w:rStyle w:val="Lienhypertexte"/>
                <w:noProof/>
              </w:rPr>
              <w:t>Principe de fonctionnement de LISA</w:t>
            </w:r>
            <w:r>
              <w:rPr>
                <w:noProof/>
                <w:webHidden/>
              </w:rPr>
              <w:tab/>
            </w:r>
            <w:r>
              <w:rPr>
                <w:noProof/>
                <w:webHidden/>
              </w:rPr>
              <w:fldChar w:fldCharType="begin"/>
            </w:r>
            <w:r>
              <w:rPr>
                <w:noProof/>
                <w:webHidden/>
              </w:rPr>
              <w:instrText xml:space="preserve"> PAGEREF _Toc205411146 \h </w:instrText>
            </w:r>
            <w:r>
              <w:rPr>
                <w:noProof/>
                <w:webHidden/>
              </w:rPr>
            </w:r>
            <w:r>
              <w:rPr>
                <w:noProof/>
                <w:webHidden/>
              </w:rPr>
              <w:fldChar w:fldCharType="separate"/>
            </w:r>
            <w:r>
              <w:rPr>
                <w:noProof/>
                <w:webHidden/>
              </w:rPr>
              <w:t>4</w:t>
            </w:r>
            <w:r>
              <w:rPr>
                <w:noProof/>
                <w:webHidden/>
              </w:rPr>
              <w:fldChar w:fldCharType="end"/>
            </w:r>
          </w:hyperlink>
        </w:p>
        <w:p w14:paraId="70E05E1F" w14:textId="01B712C0" w:rsidR="008E0977" w:rsidRDefault="008E0977">
          <w:pPr>
            <w:pStyle w:val="TM2"/>
            <w:tabs>
              <w:tab w:val="right" w:leader="dot" w:pos="9062"/>
            </w:tabs>
            <w:rPr>
              <w:rFonts w:eastAsiaTheme="minorEastAsia"/>
              <w:noProof/>
              <w:kern w:val="2"/>
              <w:sz w:val="24"/>
              <w:szCs w:val="24"/>
              <w:lang w:eastAsia="fr-FR"/>
              <w14:ligatures w14:val="standardContextual"/>
            </w:rPr>
          </w:pPr>
          <w:hyperlink w:anchor="_Toc205411147" w:history="1">
            <w:r w:rsidRPr="001C3BEF">
              <w:rPr>
                <w:rStyle w:val="Lienhypertexte"/>
                <w:noProof/>
              </w:rPr>
              <w:t>Sensibilité de LISA</w:t>
            </w:r>
            <w:r>
              <w:rPr>
                <w:noProof/>
                <w:webHidden/>
              </w:rPr>
              <w:tab/>
            </w:r>
            <w:r>
              <w:rPr>
                <w:noProof/>
                <w:webHidden/>
              </w:rPr>
              <w:fldChar w:fldCharType="begin"/>
            </w:r>
            <w:r>
              <w:rPr>
                <w:noProof/>
                <w:webHidden/>
              </w:rPr>
              <w:instrText xml:space="preserve"> PAGEREF _Toc205411147 \h </w:instrText>
            </w:r>
            <w:r>
              <w:rPr>
                <w:noProof/>
                <w:webHidden/>
              </w:rPr>
            </w:r>
            <w:r>
              <w:rPr>
                <w:noProof/>
                <w:webHidden/>
              </w:rPr>
              <w:fldChar w:fldCharType="separate"/>
            </w:r>
            <w:r>
              <w:rPr>
                <w:noProof/>
                <w:webHidden/>
              </w:rPr>
              <w:t>5</w:t>
            </w:r>
            <w:r>
              <w:rPr>
                <w:noProof/>
                <w:webHidden/>
              </w:rPr>
              <w:fldChar w:fldCharType="end"/>
            </w:r>
          </w:hyperlink>
        </w:p>
        <w:p w14:paraId="4A2AE36D" w14:textId="6A87B97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A99DC29" w:rsidR="002D54BA" w:rsidRDefault="008E0977" w:rsidP="003604A0">
      <w:pPr>
        <w:pStyle w:val="Titre2"/>
      </w:pPr>
      <w:bookmarkStart w:id="1" w:name="_Toc168844575"/>
      <w:bookmarkStart w:id="2" w:name="_Toc168844587"/>
      <w:bookmarkStart w:id="3" w:name="_Toc205411140"/>
      <w:r>
        <w:rPr>
          <w:noProof/>
        </w:rPr>
        <w:lastRenderedPageBreak/>
        <w:drawing>
          <wp:anchor distT="0" distB="0" distL="114300" distR="114300" simplePos="0" relativeHeight="251658240" behindDoc="0" locked="0" layoutInCell="1" allowOverlap="1" wp14:anchorId="169C9DA0" wp14:editId="02BD5136">
            <wp:simplePos x="0" y="0"/>
            <wp:positionH relativeFrom="margin">
              <wp:align>right</wp:align>
            </wp:positionH>
            <wp:positionV relativeFrom="paragraph">
              <wp:posOffset>0</wp:posOffset>
            </wp:positionV>
            <wp:extent cx="3206750" cy="2404110"/>
            <wp:effectExtent l="0" t="0" r="0" b="0"/>
            <wp:wrapSquare wrapText="bothSides"/>
            <wp:docPr id="1478513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6750" cy="2404110"/>
                    </a:xfrm>
                    <a:prstGeom prst="rect">
                      <a:avLst/>
                    </a:prstGeom>
                    <a:noFill/>
                    <a:ln>
                      <a:noFill/>
                    </a:ln>
                  </pic:spPr>
                </pic:pic>
              </a:graphicData>
            </a:graphic>
          </wp:anchor>
        </w:drawing>
      </w:r>
      <w:r w:rsidR="00C17AEB">
        <w:t>I</w:t>
      </w:r>
      <w:r w:rsidR="003D5A98" w:rsidRPr="003604A0">
        <w:t>ntroduction</w:t>
      </w:r>
      <w:bookmarkEnd w:id="1"/>
      <w:bookmarkEnd w:id="2"/>
      <w:bookmarkEnd w:id="3"/>
    </w:p>
    <w:p w14:paraId="3683445F" w14:textId="5A881EEA" w:rsidR="00172500" w:rsidRDefault="008E0977" w:rsidP="00172500">
      <w:r w:rsidRPr="008E0977">
        <w:t xml:space="preserve">Laser </w:t>
      </w:r>
      <w:proofErr w:type="spellStart"/>
      <w:r w:rsidRPr="008E0977">
        <w:t>Interferometer</w:t>
      </w:r>
      <w:proofErr w:type="spellEnd"/>
      <w:r w:rsidRPr="008E0977">
        <w:t xml:space="preserve"> </w:t>
      </w:r>
      <w:proofErr w:type="spellStart"/>
      <w:r w:rsidRPr="008E0977">
        <w:t>Space</w:t>
      </w:r>
      <w:proofErr w:type="spellEnd"/>
      <w:r w:rsidRPr="008E0977">
        <w:t xml:space="preserve"> </w:t>
      </w:r>
      <w:proofErr w:type="spellStart"/>
      <w:r w:rsidRPr="008E0977">
        <w:t>Antenna</w:t>
      </w:r>
      <w:proofErr w:type="spellEnd"/>
      <w:r w:rsidRPr="008E0977">
        <w:t xml:space="preserve"> (LISA) est une future mission spatiale de l'Agence spatiale européenne (ESA) dont l'objectif est de détecter des ondes gravitationnelles de basse fréquence depuis l'espace. Il s'agit du premier observatoire spatial d'ondes gravitationnelles, les observatoires actuels, notamment LIGO et </w:t>
      </w:r>
      <w:proofErr w:type="spellStart"/>
      <w:r w:rsidRPr="008E0977">
        <w:t>Virgo</w:t>
      </w:r>
      <w:proofErr w:type="spellEnd"/>
      <w:r w:rsidRPr="008E0977">
        <w:t>, étant terrestres.</w:t>
      </w:r>
    </w:p>
    <w:p w14:paraId="7122915F" w14:textId="6BFA13C9" w:rsidR="008E0977" w:rsidRDefault="008E0977" w:rsidP="008E0977">
      <w:r>
        <w:t>LISA consiste en une constellation de trois satellites en orbite héliocentrique formant un triangle équilatéral de 2,5 millions de kilomètres de côté dont les trois bras sont reliés par six faisceaux laser.</w:t>
      </w:r>
    </w:p>
    <w:p w14:paraId="562FDE19" w14:textId="6B2E95D2" w:rsidR="008E0977" w:rsidRDefault="008E0977" w:rsidP="008E0977"/>
    <w:p w14:paraId="16E141CF" w14:textId="70196DE5" w:rsidR="008E0977" w:rsidRDefault="008E0977" w:rsidP="008E0977">
      <w:r>
        <w:t xml:space="preserve">LISA est conçue à partir de 1997 comme une collaboration entre l'ESA et la NASA, mais l'agence spatiale américaine se retire en 2011 pour des raisons financières. Le projet européen se voit alors fortement réduit et renommé successivement New </w:t>
      </w:r>
      <w:proofErr w:type="spellStart"/>
      <w:r>
        <w:t>Gravitational-wave</w:t>
      </w:r>
      <w:proofErr w:type="spellEnd"/>
      <w:r>
        <w:t xml:space="preserve"> </w:t>
      </w:r>
      <w:proofErr w:type="spellStart"/>
      <w:r>
        <w:t>Observatory</w:t>
      </w:r>
      <w:proofErr w:type="spellEnd"/>
      <w:r>
        <w:t xml:space="preserve"> (NGO) puis Evolved LISA (</w:t>
      </w:r>
      <w:proofErr w:type="spellStart"/>
      <w:r>
        <w:t>eLISA</w:t>
      </w:r>
      <w:proofErr w:type="spellEnd"/>
      <w:r>
        <w:t xml:space="preserve">). Après le succès de la mission du démonstrateur technologique LISA </w:t>
      </w:r>
      <w:proofErr w:type="spellStart"/>
      <w:r>
        <w:t>Pathfinder</w:t>
      </w:r>
      <w:proofErr w:type="spellEnd"/>
      <w:r>
        <w:t xml:space="preserve"> et surtout la première observation directe d'ondes gravitationnelles le 14 septembre 2015, la NASA fait son retour dans le projet en 2016. Reprenant le nom de LISA, le projet est de nouveau redéfini et se voit finalement sélectionné par l'ESA le 20 juin 2017 comme mission large L3 du programme </w:t>
      </w:r>
      <w:proofErr w:type="spellStart"/>
      <w:r>
        <w:t>Cosmic</w:t>
      </w:r>
      <w:proofErr w:type="spellEnd"/>
      <w:r>
        <w:t xml:space="preserve"> Vision pour un lancement en 2032.</w:t>
      </w:r>
      <w:r w:rsidRPr="008E0977">
        <w:t xml:space="preserve"> </w:t>
      </w:r>
    </w:p>
    <w:p w14:paraId="032F9AF1" w14:textId="77777777" w:rsidR="008E0977" w:rsidRDefault="008E0977" w:rsidP="008E0977"/>
    <w:p w14:paraId="1F513417" w14:textId="2E5255A7" w:rsidR="008E0977" w:rsidRDefault="008E0977" w:rsidP="008E0977">
      <w:pPr>
        <w:pStyle w:val="Titre2"/>
      </w:pPr>
      <w:bookmarkStart w:id="4" w:name="_Toc205411141"/>
      <w:r>
        <w:t>Les ondes gravitationnelles : une nouvelle fenêtre sur l'Univers</w:t>
      </w:r>
      <w:bookmarkEnd w:id="4"/>
    </w:p>
    <w:p w14:paraId="2D51AF2C" w14:textId="2557A499" w:rsidR="008E0977" w:rsidRDefault="008E0977" w:rsidP="008E0977">
      <w:r>
        <w:t>Les ondes gravitationnelles ou ondes de gravitation sont des oscillations de l'espace-temps qui se propagent à la vitesse de la lumière dans le vide à grande distance de leur point de formation. Leur existence est prédite par Albert Einstein dans sa théorie de la relativité générale en 1916. Les déformations engendrées sont cependant si faibles que les ondes détectables ne sont produites que par des masses soumises à de très grandes accélérations.</w:t>
      </w:r>
    </w:p>
    <w:p w14:paraId="2B7AE99E" w14:textId="18BA9690" w:rsidR="008E0977" w:rsidRDefault="008E0977" w:rsidP="008E0977">
      <w:r>
        <w:t>Au contraire des ondes électromagnétiques, les ondes gravitationnelles interagissent peu avec la matière. Elles se déplacent sur de grandes distances cosmiques sans être perturbées. Il est donc possible en les observant d'obtenir des informations inédites sur l'Univers. Notamment, elles peuvent permettre de mieux connaître les débuts de l'Univers, lors des 380 000 premières années après le Big Bang, à un moment où les ondes électromagnétiques, dont la lumière, ne circulent pas encore. Elles peuvent également fournir des données sur certains objets célestes comme les trous noirs, les étoiles à neutrons ou les supernovas</w:t>
      </w:r>
      <w:r>
        <w:t>.</w:t>
      </w:r>
    </w:p>
    <w:p w14:paraId="2540C735" w14:textId="77777777" w:rsidR="008E0977" w:rsidRDefault="008E0977" w:rsidP="008E0977"/>
    <w:p w14:paraId="411B375E" w14:textId="77777777" w:rsidR="008E0977" w:rsidRDefault="008E0977" w:rsidP="008E0977">
      <w:pPr>
        <w:pStyle w:val="Titre2"/>
      </w:pPr>
      <w:bookmarkStart w:id="5" w:name="_Toc205411142"/>
      <w:r>
        <w:t>Les interféromètres terrestres et les premières observations</w:t>
      </w:r>
      <w:bookmarkEnd w:id="5"/>
    </w:p>
    <w:p w14:paraId="2F78450D" w14:textId="131FD4D5" w:rsidR="008E0977" w:rsidRDefault="008E0977" w:rsidP="008E0977">
      <w:r>
        <w:t xml:space="preserve">Pour détecter les ondes gravitationnelles, les chercheurs utilisent la méthode de l'interférométrie. Des interféromètres terrestres tels que </w:t>
      </w:r>
      <w:proofErr w:type="spellStart"/>
      <w:r>
        <w:t>Virgo</w:t>
      </w:r>
      <w:proofErr w:type="spellEnd"/>
      <w:r>
        <w:t xml:space="preserve"> (construit à </w:t>
      </w:r>
      <w:proofErr w:type="spellStart"/>
      <w:r>
        <w:t>Cascina</w:t>
      </w:r>
      <w:proofErr w:type="spellEnd"/>
      <w:r>
        <w:t xml:space="preserve">, près de Pise en Italie) ou LIGO (Livingstone et </w:t>
      </w:r>
      <w:proofErr w:type="spellStart"/>
      <w:r>
        <w:t>Hanford</w:t>
      </w:r>
      <w:proofErr w:type="spellEnd"/>
      <w:r>
        <w:t xml:space="preserve"> aux États-Unis), existent déjà depuis le début les années 2000 et sont </w:t>
      </w:r>
      <w:r>
        <w:lastRenderedPageBreak/>
        <w:t>opérationnels. D'autres sont en projet : GEO600 en Allemagne, AIGO en Australie et TAMA au Japon. Leur sensibilité est cependant limitée aux hautes fréquences (10 Hz-10 kHz) par le bruit sismique, leur longueur de bras, et par les gradients de champs gravitationnels à l'intérieur de la Terre.</w:t>
      </w:r>
    </w:p>
    <w:p w14:paraId="29809925" w14:textId="0F5D8E11" w:rsidR="008E0977" w:rsidRDefault="008E0977" w:rsidP="008E0977">
      <w:r>
        <w:t xml:space="preserve">La première observation directe d'ondes gravitationnelles est annoncée le 11 février 2016 par les laboratoires LIGO et </w:t>
      </w:r>
      <w:proofErr w:type="spellStart"/>
      <w:r>
        <w:t>Virgo</w:t>
      </w:r>
      <w:proofErr w:type="spellEnd"/>
      <w:r>
        <w:t xml:space="preserve">. Le signal GW150914 est détecté le 14 septembre 2015 à 9 h 50 min 45 s TU sur les deux sites américains jumeaux LIGO. L'origine de ce signal est la coalescence (fusion) de deux trous noirs de 36 et 29 masses solaires, situés à plus d'un milliard d'années-lumière de la Terre. Une deuxième observation est faite le 26 décembre 2015, une troisième le 4 janvier 2017 et une quatrième le 14 août 2017. Ces découvertes sont récompensées par le Prix Nobel de physique en octobre 2017, décerné aux américains Rainer Weiss, Barry C. </w:t>
      </w:r>
      <w:proofErr w:type="spellStart"/>
      <w:r>
        <w:t>Barish</w:t>
      </w:r>
      <w:proofErr w:type="spellEnd"/>
      <w:r>
        <w:t xml:space="preserve"> et Kip </w:t>
      </w:r>
      <w:proofErr w:type="spellStart"/>
      <w:r>
        <w:t>Thorne</w:t>
      </w:r>
      <w:proofErr w:type="spellEnd"/>
      <w:r>
        <w:t>, responsables de l'expérience LIGO.</w:t>
      </w:r>
    </w:p>
    <w:p w14:paraId="11D27C0D" w14:textId="63BE9FD1" w:rsidR="008E0977" w:rsidRDefault="008E0977" w:rsidP="008E0977">
      <w:r>
        <w:t>Le 17 août 2017, la fusion de deux étoiles à neutrons est observée pour la première fois à la fois sous forme d'ondes gravitationnelles par les 3 interféromètres terrestres et sous forme lumineuse par 70 télescopes, sur terre et en orbite. Cet événement signe réellement le début de l'astronomie gravitationnelle.</w:t>
      </w:r>
    </w:p>
    <w:p w14:paraId="1F76DDC8" w14:textId="77777777" w:rsidR="008E0977" w:rsidRDefault="008E0977" w:rsidP="008E0977"/>
    <w:p w14:paraId="47686350" w14:textId="77777777" w:rsidR="008E0977" w:rsidRDefault="008E0977" w:rsidP="008E0977">
      <w:pPr>
        <w:pStyle w:val="Titre2"/>
      </w:pPr>
      <w:bookmarkStart w:id="6" w:name="_Toc205411143"/>
      <w:r>
        <w:t>Les premiers projets d'interféromètres spatiaux</w:t>
      </w:r>
      <w:bookmarkEnd w:id="6"/>
    </w:p>
    <w:p w14:paraId="672E1CF8" w14:textId="5C0F4596" w:rsidR="008E0977" w:rsidRDefault="008E0977" w:rsidP="008E0977">
      <w:r>
        <w:t>Les premiers travaux sur un dispositif spatial capable d'étudier les ondes gravitationnelles remontent à 1974. Une équipe de la NASA propose de construire un interféromètre de Michelson en forme de croix dont les bras font un kilomètre de long. Ce projet ambitieux est proposé en plein programme Apollo, cinq ans seulement après les premiers pas de l'Homme sur la Lune[7].</w:t>
      </w:r>
    </w:p>
    <w:p w14:paraId="2C42B53A" w14:textId="6F1A3925" w:rsidR="008E0977" w:rsidRDefault="008E0977" w:rsidP="008E0977">
      <w:r>
        <w:t xml:space="preserve">Le concept est approfondi les années suivantes, et en 1981, Peter Fender et James Faller, du Joint Institute for </w:t>
      </w:r>
      <w:proofErr w:type="spellStart"/>
      <w:r>
        <w:t>Laboratory</w:t>
      </w:r>
      <w:proofErr w:type="spellEnd"/>
      <w:r>
        <w:t xml:space="preserve"> </w:t>
      </w:r>
      <w:proofErr w:type="spellStart"/>
      <w:r>
        <w:t>Astrophysics</w:t>
      </w:r>
      <w:proofErr w:type="spellEnd"/>
      <w:r>
        <w:t xml:space="preserve"> (JILA) de l'université du Colorado à Boulder, proposent la mission LAGOS (Laser </w:t>
      </w:r>
      <w:proofErr w:type="spellStart"/>
      <w:r>
        <w:t>Antenna</w:t>
      </w:r>
      <w:proofErr w:type="spellEnd"/>
      <w:r>
        <w:t xml:space="preserve"> for </w:t>
      </w:r>
      <w:proofErr w:type="spellStart"/>
      <w:r>
        <w:t>Gravitational</w:t>
      </w:r>
      <w:proofErr w:type="spellEnd"/>
      <w:r>
        <w:t xml:space="preserve">-radiation Observation in </w:t>
      </w:r>
      <w:proofErr w:type="spellStart"/>
      <w:r>
        <w:t>Space</w:t>
      </w:r>
      <w:proofErr w:type="spellEnd"/>
      <w:r>
        <w:t>) : trois satellites avec compensation de trainée sont placés en orbite héliocentrique à un million de kilomètres les uns des autres. Malgré son intérêt pour le projet, la NASA refuse le projet en raison d'un manque de financement</w:t>
      </w:r>
    </w:p>
    <w:p w14:paraId="2F69F979" w14:textId="77777777" w:rsidR="008E0977" w:rsidRDefault="008E0977" w:rsidP="008E0977"/>
    <w:p w14:paraId="098C6FB3" w14:textId="77777777" w:rsidR="008E0977" w:rsidRDefault="008E0977" w:rsidP="008E0977">
      <w:pPr>
        <w:pStyle w:val="Titre2"/>
      </w:pPr>
      <w:bookmarkStart w:id="7" w:name="_Toc205411144"/>
      <w:r>
        <w:t>Objectifs scientifiques</w:t>
      </w:r>
      <w:bookmarkEnd w:id="7"/>
    </w:p>
    <w:p w14:paraId="582A587D" w14:textId="4C52939A" w:rsidR="008E0977" w:rsidRDefault="008E0977" w:rsidP="008E0977">
      <w:r>
        <w:t xml:space="preserve">LISA est le premier observatoire spatial d'ondes gravitationnelles. Il permet la détection d'ondes gravitationnelles de basse fréquence, comprises entre 0,1 </w:t>
      </w:r>
      <w:proofErr w:type="spellStart"/>
      <w:r>
        <w:t>mHz</w:t>
      </w:r>
      <w:proofErr w:type="spellEnd"/>
      <w:r>
        <w:t xml:space="preserve"> et 100 </w:t>
      </w:r>
      <w:proofErr w:type="spellStart"/>
      <w:r>
        <w:t>mHz</w:t>
      </w:r>
      <w:proofErr w:type="spellEnd"/>
      <w:r>
        <w:t>, inobservables par les interféromètres terrestres en raison de leur petite taille et des perturbations sismiques. Les ondes gravitationnelles de basse fréquence sont produites par des astres très massifs et très lointains, tels que les trous noirs supermassifs nichés au centre des galaxies.</w:t>
      </w:r>
    </w:p>
    <w:p w14:paraId="4D870A78" w14:textId="6B91A4D9" w:rsidR="008E0977" w:rsidRDefault="008E0977" w:rsidP="008E0977">
      <w:r>
        <w:t xml:space="preserve">La bande de fréquence observée par LISA est considérée comme la plus riche en ondes gravitationnelles. Ainsi la mission doit permettre de mieux comprendre la formation d'étoiles binaires dans la Voie lactée, de connaître l'histoire de l'Univers jusqu'à un décalage vers le rouge de l'ordre de 20 (premières étoiles formées après le Big Bang), de tester la théorie de la relativité générale dans les champs gravitationnels forts et d'observer les débuts de l'Univers mettant en œuvre des énergies de l'ordre du </w:t>
      </w:r>
      <w:proofErr w:type="spellStart"/>
      <w:r>
        <w:t>TeV</w:t>
      </w:r>
      <w:proofErr w:type="spellEnd"/>
    </w:p>
    <w:p w14:paraId="52DFE081" w14:textId="77777777" w:rsidR="008E0977" w:rsidRDefault="008E0977" w:rsidP="008E0977"/>
    <w:p w14:paraId="682289C0" w14:textId="77777777" w:rsidR="008E0977" w:rsidRDefault="008E0977" w:rsidP="008E0977"/>
    <w:p w14:paraId="2D732410" w14:textId="1BBE94F6" w:rsidR="008E0977" w:rsidRDefault="008E0977" w:rsidP="008E0977">
      <w:pPr>
        <w:pStyle w:val="Titre2"/>
      </w:pPr>
      <w:bookmarkStart w:id="8" w:name="_Toc205411145"/>
      <w:r>
        <w:lastRenderedPageBreak/>
        <w:t>Géométrie de LISA</w:t>
      </w:r>
      <w:bookmarkEnd w:id="8"/>
    </w:p>
    <w:p w14:paraId="42C028FC" w14:textId="7E38808B" w:rsidR="008E0977" w:rsidRDefault="008E0977" w:rsidP="008E0977">
      <w:r>
        <w:t>LISA consiste en une constellation de trois satellites artificiels placés en orbite héliocentrique formant un triangle équilatéral de 2,5 millions de kilomètres de côté. Les trois bras sont reliés par des liens optiques composés de faisceaux laser. La formation suit la Terre avec un retard de 20°, soit environ 50 millions de kilomètres. Le plan formé par le triangle de satellites est incliné de 60° par rapport au plan de l'écliptique.</w:t>
      </w:r>
    </w:p>
    <w:p w14:paraId="416FD60C" w14:textId="77777777" w:rsidR="008E0977" w:rsidRDefault="008E0977" w:rsidP="008E0977">
      <w:r>
        <w:t>Cette configuration est rendue possible par le fait que les lois de la mécanique céleste prédisent que trois orbites héliocentriques de même rayon et inclinées suivant un certain angle peuvent être parcourues par trois satellites formant un triangle équilatéral parfait si les positions relatives des satellites sur leurs orbites respectives sont choisies adéquatement. Le triangle fait un tour complet autour de son centre en une année.</w:t>
      </w:r>
    </w:p>
    <w:p w14:paraId="333A6752" w14:textId="7E8EA57E" w:rsidR="008E0977" w:rsidRDefault="008E0977" w:rsidP="008E0977">
      <w:r w:rsidRPr="008E0977">
        <w:drawing>
          <wp:inline distT="0" distB="0" distL="0" distR="0" wp14:anchorId="1D0D497F" wp14:editId="18779FE3">
            <wp:extent cx="3153007" cy="1657350"/>
            <wp:effectExtent l="0" t="0" r="9525" b="0"/>
            <wp:docPr id="1265872268" name="Image 5">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0422" cy="1661247"/>
                    </a:xfrm>
                    <a:prstGeom prst="rect">
                      <a:avLst/>
                    </a:prstGeom>
                    <a:noFill/>
                    <a:ln>
                      <a:noFill/>
                    </a:ln>
                  </pic:spPr>
                </pic:pic>
              </a:graphicData>
            </a:graphic>
          </wp:inline>
        </w:drawing>
      </w:r>
    </w:p>
    <w:p w14:paraId="4D8F5FB9" w14:textId="26FC2C40" w:rsidR="008E0977" w:rsidRDefault="008E0977" w:rsidP="008E0977">
      <w:r w:rsidRPr="008E0977">
        <w:t>Orbitographie des stations de LISA et mouvement périodique annuel de l'interféromètre en orbite héliocentrique.</w:t>
      </w:r>
    </w:p>
    <w:p w14:paraId="3930BAAE" w14:textId="77777777" w:rsidR="008E0977" w:rsidRDefault="008E0977" w:rsidP="008E0977"/>
    <w:p w14:paraId="6E5CA806" w14:textId="62698D15" w:rsidR="008E0977" w:rsidRDefault="008E0977" w:rsidP="008E0977">
      <w:pPr>
        <w:pStyle w:val="Titre2"/>
      </w:pPr>
      <w:bookmarkStart w:id="9" w:name="_Toc205411146"/>
      <w:r>
        <w:t>Principe de fonctionnement de LISA</w:t>
      </w:r>
      <w:bookmarkEnd w:id="9"/>
    </w:p>
    <w:p w14:paraId="73A6D833" w14:textId="77777777" w:rsidR="008E0977" w:rsidRDefault="008E0977" w:rsidP="008E0977">
      <w:r>
        <w:t>Vue stylisée des déformations induites au passage d'une onde gravitationnelle polarisée + sur les bras laser de l'interféromètre LISA.</w:t>
      </w:r>
    </w:p>
    <w:p w14:paraId="259A8221" w14:textId="08F3A1DD" w:rsidR="008E0977" w:rsidRDefault="008E0977" w:rsidP="008E0977">
      <w:r>
        <w:t xml:space="preserve">Comme tous les détecteurs modernes d'ondes gravitationnelles, LISA utilise la technique d'interférométrie laser </w:t>
      </w:r>
      <w:proofErr w:type="spellStart"/>
      <w:r>
        <w:t>heterodyne</w:t>
      </w:r>
      <w:proofErr w:type="spellEnd"/>
      <w:r>
        <w:t>, c'est-à-dire que les deux faisceaux interférant n'ont pas la même fréquence, générant un battement optique oscillant à la période égale à la différence de fréquence entre les deux lasers. Les trois satellites composant LISA forment en effet un interféromètre de Michelson géant où les trois satellites jouent le rôle de miroir et celui de source et d'observateur. Au passage d’une onde gravitationnelle les distances des trois bras de LISA sont perturbées du fait des déformations de l'espace-temps produites par l'onde gravitationnelle.</w:t>
      </w:r>
    </w:p>
    <w:p w14:paraId="2A600F94" w14:textId="05954FAA" w:rsidR="008E0977" w:rsidRDefault="008E0977" w:rsidP="008E0977">
      <w:r>
        <w:t>En pratique, on mesure donc une variation relative de phase d'un laser distant par rapport à un laser local, par le principe d'interférences lumineuses. La comparaison entre la fréquence du faisceau reçu et celle de l'oscillateur local porte donc la signature des perturbations produites par une onde gravitationnelle.</w:t>
      </w:r>
    </w:p>
    <w:p w14:paraId="424268FF" w14:textId="13542954" w:rsidR="008E0977" w:rsidRDefault="008E0977" w:rsidP="008E0977">
      <w:r>
        <w:t>Chaque satellite possède deux lasers qui pointent chacun vers l'un des deux autres satellites. Du fait de la distance, le faisceau laser reçu par un satellite lointain ne peut pas être réfléchi tel quel vers l'autre satellite car le signal est finalement trop atténué. Pour ce faire, chaque satellite réémet un faisceau laser généré localement mais synchronisé en phase avec le faisceau laser reçu.</w:t>
      </w:r>
    </w:p>
    <w:p w14:paraId="08C2DC60" w14:textId="77777777" w:rsidR="008E0977" w:rsidRDefault="008E0977" w:rsidP="008E0977"/>
    <w:p w14:paraId="5BF618FA" w14:textId="1CB82799" w:rsidR="008E0977" w:rsidRDefault="008E0977" w:rsidP="008E0977">
      <w:r>
        <w:lastRenderedPageBreak/>
        <w:t>Afin d'éliminer les autres forces non gravitationnelles, telles que le vent solaire et la pression de rayonnement, auxquelles sont soumis chacun des trois satellites, la référence de mesure interférométrique est une masse inertielle (un cube de 46 mm de côté constitué de 75 % d'or et 25 % de platine), en chute libre dans l'espace, que contient et suit le satellite, suivant un principe déjà expérimenté par d'autres missions spatiales telle Gravity Probe B.</w:t>
      </w:r>
    </w:p>
    <w:p w14:paraId="668A60AB" w14:textId="0B291088" w:rsidR="008E0977" w:rsidRDefault="008E0977" w:rsidP="008E0977">
      <w:r>
        <w:t>Chaque satellite mesure ces contraintes (grâce à un accéléromètre capacitif) et les compense (grâce à des micro-accélérateurs). Le dispositif assure que chaque satellite reste bien centré par rapport à sa masse d'épreuve.</w:t>
      </w:r>
    </w:p>
    <w:p w14:paraId="669EFD8E" w14:textId="244B7DBD" w:rsidR="008E0977" w:rsidRDefault="008E0977" w:rsidP="008E0977">
      <w:r>
        <w:rPr>
          <w:noProof/>
        </w:rPr>
        <w:drawing>
          <wp:inline distT="0" distB="0" distL="0" distR="0" wp14:anchorId="18B2501B" wp14:editId="69556B65">
            <wp:extent cx="3067050" cy="2077415"/>
            <wp:effectExtent l="0" t="0" r="0" b="0"/>
            <wp:docPr id="18771749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8548" cy="2085203"/>
                    </a:xfrm>
                    <a:prstGeom prst="rect">
                      <a:avLst/>
                    </a:prstGeom>
                    <a:noFill/>
                    <a:ln>
                      <a:noFill/>
                    </a:ln>
                  </pic:spPr>
                </pic:pic>
              </a:graphicData>
            </a:graphic>
          </wp:inline>
        </w:drawing>
      </w:r>
    </w:p>
    <w:p w14:paraId="5DF44E57" w14:textId="5DC912CA" w:rsidR="008E0977" w:rsidRDefault="008E0977" w:rsidP="008E0977">
      <w:r w:rsidRPr="008E0977">
        <w:t>Vue stylisée des déformations induites au passage d'une onde gravitationnelle polarisée + sur les bras laser de l'interféromètre LISA.</w:t>
      </w:r>
    </w:p>
    <w:p w14:paraId="354DBBDF" w14:textId="77777777" w:rsidR="008E0977" w:rsidRDefault="008E0977" w:rsidP="008E0977"/>
    <w:p w14:paraId="1B2B5F9B" w14:textId="2EC0484F" w:rsidR="008E0977" w:rsidRDefault="008E0977" w:rsidP="008E0977">
      <w:pPr>
        <w:pStyle w:val="Titre2"/>
      </w:pPr>
      <w:bookmarkStart w:id="10" w:name="_Toc205411147"/>
      <w:r>
        <w:t>Sensibilité de LISA</w:t>
      </w:r>
      <w:bookmarkEnd w:id="10"/>
    </w:p>
    <w:p w14:paraId="077FA1BB" w14:textId="5E5B558F" w:rsidR="008E0977" w:rsidRDefault="008E0977" w:rsidP="008E0977">
      <w:r>
        <w:t xml:space="preserve">Les dimensions de l'interféromètre LISA et son isolation des sources terrestres de bruits permettent ainsi d’obtenir une sensibilité comparable à celle des interféromètres terrestres (sensibilité objective 10 pm sur une distance de 1 million de kilomètres, soit une variation relative de distance </w:t>
      </w:r>
      <w:proofErr w:type="spellStart"/>
      <w:r>
        <w:t>δL</w:t>
      </w:r>
      <w:proofErr w:type="spellEnd"/>
      <w:r>
        <w:t>/L &lt; 10</w:t>
      </w:r>
      <w:r w:rsidRPr="008E0977">
        <w:rPr>
          <w:vertAlign w:val="superscript"/>
        </w:rPr>
        <w:t>-21</w:t>
      </w:r>
      <w:r>
        <w:t xml:space="preserve">), mais dans une bande de fréquences allant de 0,1 </w:t>
      </w:r>
      <w:proofErr w:type="spellStart"/>
      <w:r>
        <w:t>mHz</w:t>
      </w:r>
      <w:proofErr w:type="spellEnd"/>
      <w:r>
        <w:t xml:space="preserve"> à 1 Hz approximativement. Cette bande de fréquence est complémentaire de celle des antennes du type VIRGO ou LIGO, et donne accès à une autre classe d'événements astrophysiques.</w:t>
      </w:r>
    </w:p>
    <w:p w14:paraId="3F8FF5E7" w14:textId="2C545B05" w:rsidR="008E0977" w:rsidRDefault="008E0977" w:rsidP="008E0977">
      <w:r>
        <w:t>La physique visée par LISA est principalement celle qui se déroule autour des trous noirs supermassifs abrités par la quasi-totalité des bulbes galactiques. On souhaite observer à travers les signaux gravitationnels les captures d’astres compacts par des trous noirs, voire les coalescences de trous noirs supermassifs.</w:t>
      </w:r>
    </w:p>
    <w:p w14:paraId="1A33CEFE" w14:textId="68D41C73" w:rsidR="008E0977" w:rsidRPr="007C7B4A" w:rsidRDefault="008E0977" w:rsidP="008E0977">
      <w:r>
        <w:t xml:space="preserve">En effet, la fréquence des ondes gravitationnelles est directement reliée à la période de révolution du système qui les génère. Or la période de révolution d'un système de deux trous noirs sur le point de fusionner est directement fonction de leur masse : plus la masse est élevée, plus la période est grande et la fréquence des ondes produites est basse. La bande de fréquence des interféromètres terrestres correspond à des émissions produites par des étoiles à neutrons ou des trous noirs stellaires. Celle de LISA correspond à celle des trous noirs supermassifs. Les événements impliquant les trous noirs supermassifs sont a priori plus rares que ceux impliquant des trous noirs stellaires, mais sont détectables sur de plus grandes distances. Un risque lié à la mission LISA est que le signal gravitationnel soit pollué par un ensemble de systèmes de deux naines blanches, générant des ondes à ces </w:t>
      </w:r>
      <w:proofErr w:type="spellStart"/>
      <w:r>
        <w:lastRenderedPageBreak/>
        <w:t>fréquences là</w:t>
      </w:r>
      <w:proofErr w:type="spellEnd"/>
      <w:r>
        <w:t>, de plus faible amplitude, mais néanmoins détectable du fait de leur plus grande proximité.</w:t>
      </w:r>
    </w:p>
    <w:sectPr w:rsidR="008E0977" w:rsidRPr="007C7B4A">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0CE68" w14:textId="77777777" w:rsidR="00187C83" w:rsidRDefault="00187C83" w:rsidP="00B33482">
      <w:pPr>
        <w:spacing w:after="0" w:line="240" w:lineRule="auto"/>
      </w:pPr>
      <w:r>
        <w:separator/>
      </w:r>
    </w:p>
  </w:endnote>
  <w:endnote w:type="continuationSeparator" w:id="0">
    <w:p w14:paraId="7D2EEC3B" w14:textId="77777777" w:rsidR="00187C83" w:rsidRDefault="00187C8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6B784" w14:textId="77777777" w:rsidR="00187C83" w:rsidRDefault="00187C83" w:rsidP="00B33482">
      <w:pPr>
        <w:spacing w:after="0" w:line="240" w:lineRule="auto"/>
      </w:pPr>
      <w:r>
        <w:separator/>
      </w:r>
    </w:p>
  </w:footnote>
  <w:footnote w:type="continuationSeparator" w:id="0">
    <w:p w14:paraId="60D51FBC" w14:textId="77777777" w:rsidR="00187C83" w:rsidRDefault="00187C8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B7DCF95" w:rsidR="00B33482" w:rsidRPr="00F67AFF" w:rsidRDefault="00F67AFF" w:rsidP="00F67AFF">
    <w:pPr>
      <w:pStyle w:val="En-tte"/>
    </w:pPr>
    <w:r>
      <w:t>S</w:t>
    </w:r>
    <w:r w:rsidR="00B94464">
      <w:t>I</w:t>
    </w:r>
    <w:r>
      <w:t xml:space="preserve"> –</w:t>
    </w:r>
    <w:r w:rsidR="00C17AEB">
      <w:t xml:space="preserve"> </w:t>
    </w:r>
    <w:r w:rsidR="008E0977" w:rsidRPr="008E0977">
      <w:t xml:space="preserve">Laser </w:t>
    </w:r>
    <w:proofErr w:type="spellStart"/>
    <w:r w:rsidR="008E0977" w:rsidRPr="008E0977">
      <w:t>Interferometer</w:t>
    </w:r>
    <w:proofErr w:type="spellEnd"/>
    <w:r w:rsidR="008E0977" w:rsidRPr="008E0977">
      <w:t xml:space="preserve"> </w:t>
    </w:r>
    <w:proofErr w:type="spellStart"/>
    <w:r w:rsidR="008E0977" w:rsidRPr="008E0977">
      <w:t>Space</w:t>
    </w:r>
    <w:proofErr w:type="spellEnd"/>
    <w:r w:rsidR="008E0977" w:rsidRPr="008E0977">
      <w:t xml:space="preserve"> </w:t>
    </w:r>
    <w:proofErr w:type="spellStart"/>
    <w:r w:rsidR="008E0977" w:rsidRPr="008E0977">
      <w:t>Antenna</w:t>
    </w:r>
    <w:proofErr w:type="spellEnd"/>
    <w:r w:rsidR="008E0977" w:rsidRPr="008E0977">
      <w:t xml:space="preserve"> LISA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1"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4"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9"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0"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1"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39"/>
  </w:num>
  <w:num w:numId="2" w16cid:durableId="581375566">
    <w:abstractNumId w:val="112"/>
  </w:num>
  <w:num w:numId="3" w16cid:durableId="1576433304">
    <w:abstractNumId w:val="39"/>
  </w:num>
  <w:num w:numId="4" w16cid:durableId="1758863331">
    <w:abstractNumId w:val="4"/>
  </w:num>
  <w:num w:numId="5" w16cid:durableId="1346327887">
    <w:abstractNumId w:val="143"/>
  </w:num>
  <w:num w:numId="6" w16cid:durableId="1344431055">
    <w:abstractNumId w:val="74"/>
  </w:num>
  <w:num w:numId="7" w16cid:durableId="2024015979">
    <w:abstractNumId w:val="125"/>
  </w:num>
  <w:num w:numId="8" w16cid:durableId="1765303503">
    <w:abstractNumId w:val="35"/>
  </w:num>
  <w:num w:numId="9" w16cid:durableId="75444367">
    <w:abstractNumId w:val="47"/>
  </w:num>
  <w:num w:numId="10" w16cid:durableId="1588880234">
    <w:abstractNumId w:val="15"/>
  </w:num>
  <w:num w:numId="11" w16cid:durableId="1676960713">
    <w:abstractNumId w:val="34"/>
  </w:num>
  <w:num w:numId="12" w16cid:durableId="437485136">
    <w:abstractNumId w:val="40"/>
  </w:num>
  <w:num w:numId="13" w16cid:durableId="220361977">
    <w:abstractNumId w:val="73"/>
  </w:num>
  <w:num w:numId="14" w16cid:durableId="448820950">
    <w:abstractNumId w:val="101"/>
  </w:num>
  <w:num w:numId="15" w16cid:durableId="1887913298">
    <w:abstractNumId w:val="51"/>
  </w:num>
  <w:num w:numId="16" w16cid:durableId="1049066289">
    <w:abstractNumId w:val="114"/>
  </w:num>
  <w:num w:numId="17" w16cid:durableId="665939388">
    <w:abstractNumId w:val="50"/>
  </w:num>
  <w:num w:numId="18" w16cid:durableId="1923752419">
    <w:abstractNumId w:val="68"/>
  </w:num>
  <w:num w:numId="19" w16cid:durableId="1381975882">
    <w:abstractNumId w:val="24"/>
  </w:num>
  <w:num w:numId="20" w16cid:durableId="1651785566">
    <w:abstractNumId w:val="93"/>
  </w:num>
  <w:num w:numId="21" w16cid:durableId="102920044">
    <w:abstractNumId w:val="132"/>
  </w:num>
  <w:num w:numId="22" w16cid:durableId="1819608093">
    <w:abstractNumId w:val="72"/>
  </w:num>
  <w:num w:numId="23" w16cid:durableId="1273904835">
    <w:abstractNumId w:val="146"/>
  </w:num>
  <w:num w:numId="24" w16cid:durableId="1995792255">
    <w:abstractNumId w:val="140"/>
  </w:num>
  <w:num w:numId="25" w16cid:durableId="1895895183">
    <w:abstractNumId w:val="119"/>
  </w:num>
  <w:num w:numId="26" w16cid:durableId="1158037684">
    <w:abstractNumId w:val="113"/>
  </w:num>
  <w:num w:numId="27" w16cid:durableId="484587024">
    <w:abstractNumId w:val="20"/>
  </w:num>
  <w:num w:numId="28" w16cid:durableId="1936667293">
    <w:abstractNumId w:val="0"/>
  </w:num>
  <w:num w:numId="29" w16cid:durableId="1736471304">
    <w:abstractNumId w:val="109"/>
  </w:num>
  <w:num w:numId="30" w16cid:durableId="174616334">
    <w:abstractNumId w:val="49"/>
  </w:num>
  <w:num w:numId="31" w16cid:durableId="1037663965">
    <w:abstractNumId w:val="52"/>
  </w:num>
  <w:num w:numId="32" w16cid:durableId="90471715">
    <w:abstractNumId w:val="17"/>
  </w:num>
  <w:num w:numId="33" w16cid:durableId="874536988">
    <w:abstractNumId w:val="134"/>
  </w:num>
  <w:num w:numId="34" w16cid:durableId="1006402377">
    <w:abstractNumId w:val="126"/>
  </w:num>
  <w:num w:numId="35" w16cid:durableId="699626777">
    <w:abstractNumId w:val="85"/>
  </w:num>
  <w:num w:numId="36" w16cid:durableId="1127549319">
    <w:abstractNumId w:val="44"/>
  </w:num>
  <w:num w:numId="37" w16cid:durableId="648947424">
    <w:abstractNumId w:val="10"/>
  </w:num>
  <w:num w:numId="38" w16cid:durableId="1446191048">
    <w:abstractNumId w:val="117"/>
  </w:num>
  <w:num w:numId="39" w16cid:durableId="1904827982">
    <w:abstractNumId w:val="91"/>
  </w:num>
  <w:num w:numId="40" w16cid:durableId="1490050150">
    <w:abstractNumId w:val="54"/>
  </w:num>
  <w:num w:numId="41" w16cid:durableId="1975287572">
    <w:abstractNumId w:val="138"/>
  </w:num>
  <w:num w:numId="42" w16cid:durableId="1081294862">
    <w:abstractNumId w:val="8"/>
  </w:num>
  <w:num w:numId="43" w16cid:durableId="142160107">
    <w:abstractNumId w:val="6"/>
  </w:num>
  <w:num w:numId="44" w16cid:durableId="1038702340">
    <w:abstractNumId w:val="104"/>
  </w:num>
  <w:num w:numId="45" w16cid:durableId="2039042633">
    <w:abstractNumId w:val="13"/>
  </w:num>
  <w:num w:numId="46" w16cid:durableId="1213619380">
    <w:abstractNumId w:val="22"/>
  </w:num>
  <w:num w:numId="47" w16cid:durableId="865604687">
    <w:abstractNumId w:val="67"/>
  </w:num>
  <w:num w:numId="48" w16cid:durableId="975993828">
    <w:abstractNumId w:val="65"/>
  </w:num>
  <w:num w:numId="49" w16cid:durableId="1745758578">
    <w:abstractNumId w:val="45"/>
  </w:num>
  <w:num w:numId="50" w16cid:durableId="240338908">
    <w:abstractNumId w:val="137"/>
  </w:num>
  <w:num w:numId="51" w16cid:durableId="639844422">
    <w:abstractNumId w:val="1"/>
  </w:num>
  <w:num w:numId="52" w16cid:durableId="1051416224">
    <w:abstractNumId w:val="18"/>
  </w:num>
  <w:num w:numId="53" w16cid:durableId="1603610307">
    <w:abstractNumId w:val="102"/>
  </w:num>
  <w:num w:numId="54" w16cid:durableId="2115319808">
    <w:abstractNumId w:val="42"/>
  </w:num>
  <w:num w:numId="55" w16cid:durableId="384062388">
    <w:abstractNumId w:val="23"/>
  </w:num>
  <w:num w:numId="56" w16cid:durableId="595360428">
    <w:abstractNumId w:val="110"/>
  </w:num>
  <w:num w:numId="57" w16cid:durableId="1541242334">
    <w:abstractNumId w:val="121"/>
  </w:num>
  <w:num w:numId="58" w16cid:durableId="1359699977">
    <w:abstractNumId w:val="147"/>
  </w:num>
  <w:num w:numId="59" w16cid:durableId="2135707130">
    <w:abstractNumId w:val="21"/>
  </w:num>
  <w:num w:numId="60" w16cid:durableId="285428409">
    <w:abstractNumId w:val="81"/>
  </w:num>
  <w:num w:numId="61" w16cid:durableId="1682853772">
    <w:abstractNumId w:val="28"/>
  </w:num>
  <w:num w:numId="62" w16cid:durableId="1536775378">
    <w:abstractNumId w:val="124"/>
  </w:num>
  <w:num w:numId="63" w16cid:durableId="524563893">
    <w:abstractNumId w:val="83"/>
  </w:num>
  <w:num w:numId="64" w16cid:durableId="1704788406">
    <w:abstractNumId w:val="58"/>
  </w:num>
  <w:num w:numId="65" w16cid:durableId="142431312">
    <w:abstractNumId w:val="16"/>
  </w:num>
  <w:num w:numId="66" w16cid:durableId="135685048">
    <w:abstractNumId w:val="144"/>
  </w:num>
  <w:num w:numId="67" w16cid:durableId="2060662086">
    <w:abstractNumId w:val="135"/>
  </w:num>
  <w:num w:numId="68" w16cid:durableId="391008206">
    <w:abstractNumId w:val="100"/>
  </w:num>
  <w:num w:numId="69" w16cid:durableId="1346009074">
    <w:abstractNumId w:val="92"/>
  </w:num>
  <w:num w:numId="70" w16cid:durableId="1897280301">
    <w:abstractNumId w:val="26"/>
  </w:num>
  <w:num w:numId="71" w16cid:durableId="599798430">
    <w:abstractNumId w:val="36"/>
  </w:num>
  <w:num w:numId="72" w16cid:durableId="127012256">
    <w:abstractNumId w:val="111"/>
  </w:num>
  <w:num w:numId="73" w16cid:durableId="907345925">
    <w:abstractNumId w:val="122"/>
  </w:num>
  <w:num w:numId="74" w16cid:durableId="2114855719">
    <w:abstractNumId w:val="87"/>
  </w:num>
  <w:num w:numId="75" w16cid:durableId="1297565778">
    <w:abstractNumId w:val="127"/>
  </w:num>
  <w:num w:numId="76" w16cid:durableId="1597590367">
    <w:abstractNumId w:val="56"/>
  </w:num>
  <w:num w:numId="77" w16cid:durableId="538591263">
    <w:abstractNumId w:val="70"/>
  </w:num>
  <w:num w:numId="78" w16cid:durableId="919604885">
    <w:abstractNumId w:val="37"/>
  </w:num>
  <w:num w:numId="79" w16cid:durableId="1291325948">
    <w:abstractNumId w:val="43"/>
  </w:num>
  <w:num w:numId="80" w16cid:durableId="32121905">
    <w:abstractNumId w:val="63"/>
  </w:num>
  <w:num w:numId="81" w16cid:durableId="747195222">
    <w:abstractNumId w:val="61"/>
  </w:num>
  <w:num w:numId="82" w16cid:durableId="1915628834">
    <w:abstractNumId w:val="133"/>
  </w:num>
  <w:num w:numId="83" w16cid:durableId="248001456">
    <w:abstractNumId w:val="77"/>
  </w:num>
  <w:num w:numId="84" w16cid:durableId="1494300665">
    <w:abstractNumId w:val="33"/>
  </w:num>
  <w:num w:numId="85" w16cid:durableId="2010210960">
    <w:abstractNumId w:val="14"/>
  </w:num>
  <w:num w:numId="86" w16cid:durableId="1816412640">
    <w:abstractNumId w:val="19"/>
  </w:num>
  <w:num w:numId="87" w16cid:durableId="700208159">
    <w:abstractNumId w:val="66"/>
  </w:num>
  <w:num w:numId="88" w16cid:durableId="175970055">
    <w:abstractNumId w:val="136"/>
  </w:num>
  <w:num w:numId="89" w16cid:durableId="1558005105">
    <w:abstractNumId w:val="25"/>
  </w:num>
  <w:num w:numId="90" w16cid:durableId="154955487">
    <w:abstractNumId w:val="71"/>
  </w:num>
  <w:num w:numId="91" w16cid:durableId="848250944">
    <w:abstractNumId w:val="46"/>
  </w:num>
  <w:num w:numId="92" w16cid:durableId="1884906977">
    <w:abstractNumId w:val="97"/>
  </w:num>
  <w:num w:numId="93" w16cid:durableId="1206721746">
    <w:abstractNumId w:val="84"/>
  </w:num>
  <w:num w:numId="94" w16cid:durableId="893353053">
    <w:abstractNumId w:val="105"/>
  </w:num>
  <w:num w:numId="95" w16cid:durableId="1759250294">
    <w:abstractNumId w:val="107"/>
  </w:num>
  <w:num w:numId="96" w16cid:durableId="1324890122">
    <w:abstractNumId w:val="141"/>
  </w:num>
  <w:num w:numId="97" w16cid:durableId="872154857">
    <w:abstractNumId w:val="30"/>
  </w:num>
  <w:num w:numId="98" w16cid:durableId="203907024">
    <w:abstractNumId w:val="78"/>
  </w:num>
  <w:num w:numId="99" w16cid:durableId="507670096">
    <w:abstractNumId w:val="9"/>
  </w:num>
  <w:num w:numId="100" w16cid:durableId="366680495">
    <w:abstractNumId w:val="76"/>
  </w:num>
  <w:num w:numId="101" w16cid:durableId="2073505911">
    <w:abstractNumId w:val="148"/>
  </w:num>
  <w:num w:numId="102" w16cid:durableId="1289818744">
    <w:abstractNumId w:val="82"/>
  </w:num>
  <w:num w:numId="103" w16cid:durableId="739794432">
    <w:abstractNumId w:val="131"/>
  </w:num>
  <w:num w:numId="104" w16cid:durableId="1495561837">
    <w:abstractNumId w:val="149"/>
  </w:num>
  <w:num w:numId="105" w16cid:durableId="879629155">
    <w:abstractNumId w:val="128"/>
  </w:num>
  <w:num w:numId="106" w16cid:durableId="1094089855">
    <w:abstractNumId w:val="123"/>
  </w:num>
  <w:num w:numId="107" w16cid:durableId="801457768">
    <w:abstractNumId w:val="80"/>
  </w:num>
  <w:num w:numId="108" w16cid:durableId="1480540028">
    <w:abstractNumId w:val="89"/>
  </w:num>
  <w:num w:numId="109" w16cid:durableId="1455444808">
    <w:abstractNumId w:val="88"/>
  </w:num>
  <w:num w:numId="110" w16cid:durableId="1182473210">
    <w:abstractNumId w:val="129"/>
  </w:num>
  <w:num w:numId="111" w16cid:durableId="1937862120">
    <w:abstractNumId w:val="60"/>
  </w:num>
  <w:num w:numId="112" w16cid:durableId="1848592209">
    <w:abstractNumId w:val="48"/>
  </w:num>
  <w:num w:numId="113" w16cid:durableId="695621450">
    <w:abstractNumId w:val="11"/>
  </w:num>
  <w:num w:numId="114" w16cid:durableId="1679233220">
    <w:abstractNumId w:val="108"/>
  </w:num>
  <w:num w:numId="115" w16cid:durableId="1664965734">
    <w:abstractNumId w:val="12"/>
  </w:num>
  <w:num w:numId="116" w16cid:durableId="964043853">
    <w:abstractNumId w:val="103"/>
  </w:num>
  <w:num w:numId="117" w16cid:durableId="101850642">
    <w:abstractNumId w:val="95"/>
  </w:num>
  <w:num w:numId="118" w16cid:durableId="1175530832">
    <w:abstractNumId w:val="32"/>
  </w:num>
  <w:num w:numId="119" w16cid:durableId="115221258">
    <w:abstractNumId w:val="130"/>
  </w:num>
  <w:num w:numId="120" w16cid:durableId="1346134902">
    <w:abstractNumId w:val="38"/>
  </w:num>
  <w:num w:numId="121" w16cid:durableId="587545451">
    <w:abstractNumId w:val="116"/>
  </w:num>
  <w:num w:numId="122" w16cid:durableId="1876187860">
    <w:abstractNumId w:val="90"/>
  </w:num>
  <w:num w:numId="123" w16cid:durableId="1827938486">
    <w:abstractNumId w:val="53"/>
  </w:num>
  <w:num w:numId="124" w16cid:durableId="1448037247">
    <w:abstractNumId w:val="118"/>
  </w:num>
  <w:num w:numId="125" w16cid:durableId="1405685203">
    <w:abstractNumId w:val="94"/>
  </w:num>
  <w:num w:numId="126" w16cid:durableId="579600483">
    <w:abstractNumId w:val="3"/>
  </w:num>
  <w:num w:numId="127" w16cid:durableId="1725179263">
    <w:abstractNumId w:val="31"/>
  </w:num>
  <w:num w:numId="128" w16cid:durableId="2013216628">
    <w:abstractNumId w:val="79"/>
  </w:num>
  <w:num w:numId="129" w16cid:durableId="1334606275">
    <w:abstractNumId w:val="5"/>
  </w:num>
  <w:num w:numId="130" w16cid:durableId="1522478389">
    <w:abstractNumId w:val="142"/>
  </w:num>
  <w:num w:numId="131" w16cid:durableId="932009864">
    <w:abstractNumId w:val="86"/>
  </w:num>
  <w:num w:numId="132" w16cid:durableId="1008485224">
    <w:abstractNumId w:val="64"/>
  </w:num>
  <w:num w:numId="133" w16cid:durableId="250311258">
    <w:abstractNumId w:val="69"/>
  </w:num>
  <w:num w:numId="134" w16cid:durableId="110783056">
    <w:abstractNumId w:val="27"/>
  </w:num>
  <w:num w:numId="135" w16cid:durableId="1130125438">
    <w:abstractNumId w:val="99"/>
  </w:num>
  <w:num w:numId="136" w16cid:durableId="119567367">
    <w:abstractNumId w:val="62"/>
  </w:num>
  <w:num w:numId="137" w16cid:durableId="810949944">
    <w:abstractNumId w:val="29"/>
  </w:num>
  <w:num w:numId="138" w16cid:durableId="322047288">
    <w:abstractNumId w:val="115"/>
  </w:num>
  <w:num w:numId="139" w16cid:durableId="1423186135">
    <w:abstractNumId w:val="41"/>
  </w:num>
  <w:num w:numId="140" w16cid:durableId="797725724">
    <w:abstractNumId w:val="55"/>
  </w:num>
  <w:num w:numId="141" w16cid:durableId="934635423">
    <w:abstractNumId w:val="145"/>
  </w:num>
  <w:num w:numId="142" w16cid:durableId="2044211445">
    <w:abstractNumId w:val="120"/>
  </w:num>
  <w:num w:numId="143" w16cid:durableId="211380597">
    <w:abstractNumId w:val="98"/>
  </w:num>
  <w:num w:numId="144" w16cid:durableId="1580745130">
    <w:abstractNumId w:val="2"/>
  </w:num>
  <w:num w:numId="145" w16cid:durableId="785461875">
    <w:abstractNumId w:val="59"/>
  </w:num>
  <w:num w:numId="146" w16cid:durableId="9112581">
    <w:abstractNumId w:val="7"/>
  </w:num>
  <w:num w:numId="147" w16cid:durableId="1396198803">
    <w:abstractNumId w:val="106"/>
  </w:num>
  <w:num w:numId="148" w16cid:durableId="2034111540">
    <w:abstractNumId w:val="75"/>
  </w:num>
  <w:num w:numId="149" w16cid:durableId="481973001">
    <w:abstractNumId w:val="96"/>
  </w:num>
  <w:num w:numId="150" w16cid:durableId="189388300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102983"/>
    <w:rsid w:val="0011098D"/>
    <w:rsid w:val="00112920"/>
    <w:rsid w:val="001278EF"/>
    <w:rsid w:val="00172500"/>
    <w:rsid w:val="00177D52"/>
    <w:rsid w:val="00182BCA"/>
    <w:rsid w:val="00183892"/>
    <w:rsid w:val="00187C83"/>
    <w:rsid w:val="00196DE9"/>
    <w:rsid w:val="001A20AD"/>
    <w:rsid w:val="001D1E4C"/>
    <w:rsid w:val="0020290C"/>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267B7"/>
    <w:rsid w:val="00545225"/>
    <w:rsid w:val="005913FA"/>
    <w:rsid w:val="005A1B48"/>
    <w:rsid w:val="005C020A"/>
    <w:rsid w:val="005C5CCE"/>
    <w:rsid w:val="005C6481"/>
    <w:rsid w:val="005D3D3D"/>
    <w:rsid w:val="005D3FD9"/>
    <w:rsid w:val="00600406"/>
    <w:rsid w:val="00624C78"/>
    <w:rsid w:val="006358D7"/>
    <w:rsid w:val="00635AA5"/>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0977"/>
    <w:rsid w:val="008E7FE0"/>
    <w:rsid w:val="008F052C"/>
    <w:rsid w:val="008F3D54"/>
    <w:rsid w:val="009003B4"/>
    <w:rsid w:val="00920623"/>
    <w:rsid w:val="00925DE7"/>
    <w:rsid w:val="009A75D8"/>
    <w:rsid w:val="009E5585"/>
    <w:rsid w:val="00A31C0F"/>
    <w:rsid w:val="00A52763"/>
    <w:rsid w:val="00A833E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hyperlink" Target="https://fr.m.wikipedia.org/wiki/Fichier:LISA_motion.gi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6045</TotalTime>
  <Pages>6</Pages>
  <Words>1895</Words>
  <Characters>10426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66</cp:revision>
  <dcterms:created xsi:type="dcterms:W3CDTF">2022-11-21T18:39:00Z</dcterms:created>
  <dcterms:modified xsi:type="dcterms:W3CDTF">2025-08-06T20:18:00Z</dcterms:modified>
</cp:coreProperties>
</file>