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22A14" w14:textId="3DFD081B" w:rsidR="003B22A5" w:rsidRDefault="00D143DE" w:rsidP="00D143DE">
      <w:pPr>
        <w:pStyle w:val="Titre"/>
        <w:rPr>
          <w:b/>
          <w:bCs/>
        </w:rPr>
      </w:pPr>
      <w:r w:rsidRPr="00D143DE">
        <w:rPr>
          <w:b/>
          <w:bCs/>
        </w:rPr>
        <w:t>Pi</w:t>
      </w:r>
    </w:p>
    <w:sdt>
      <w:sdtPr>
        <w:id w:val="-15453675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7BB7226" w14:textId="2E2152FD" w:rsidR="00F437D6" w:rsidRDefault="00F437D6">
          <w:pPr>
            <w:pStyle w:val="En-ttedetabledesmatires"/>
          </w:pPr>
          <w:r>
            <w:t>Table des matières</w:t>
          </w:r>
        </w:p>
        <w:p w14:paraId="5BFFF7B9" w14:textId="69FBCAD6" w:rsidR="00F437D6" w:rsidRDefault="00F437D6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7933" w:history="1">
            <w:r w:rsidRPr="00FD1918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F50E6" w14:textId="0D8E94FE" w:rsidR="00F437D6" w:rsidRDefault="00F437D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7934" w:history="1">
            <w:r w:rsidRPr="00FD1918">
              <w:rPr>
                <w:rStyle w:val="Lienhypertexte"/>
                <w:b/>
                <w:bCs/>
                <w:noProof/>
              </w:rPr>
              <w:t>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2F1D" w14:textId="1E6D708A" w:rsidR="00F437D6" w:rsidRDefault="00F437D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7935" w:history="1">
            <w:r w:rsidRPr="00FD1918">
              <w:rPr>
                <w:rStyle w:val="Lienhypertexte"/>
                <w:b/>
                <w:bCs/>
                <w:noProof/>
              </w:rPr>
              <w:t>Autres définitions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BC44" w14:textId="4406567F" w:rsidR="00D143DE" w:rsidRDefault="00F437D6" w:rsidP="00D143DE">
          <w:r>
            <w:rPr>
              <w:b/>
              <w:bCs/>
            </w:rPr>
            <w:fldChar w:fldCharType="end"/>
          </w:r>
        </w:p>
      </w:sdtContent>
    </w:sdt>
    <w:p w14:paraId="30DF9B94" w14:textId="5596DC79" w:rsidR="00D143DE" w:rsidRDefault="00D143DE" w:rsidP="00D143DE">
      <w:pPr>
        <w:pStyle w:val="Titre1"/>
        <w:rPr>
          <w:b/>
          <w:bCs/>
        </w:rPr>
      </w:pPr>
      <w:bookmarkStart w:id="0" w:name="_Toc133067933"/>
      <w:r w:rsidRPr="00D143DE">
        <w:rPr>
          <w:b/>
          <w:bCs/>
        </w:rPr>
        <w:t>Introduction</w:t>
      </w:r>
      <w:bookmarkEnd w:id="0"/>
    </w:p>
    <w:p w14:paraId="70D1F91B" w14:textId="30B657E2" w:rsidR="00996B1C" w:rsidRPr="00DA7112" w:rsidRDefault="00996B1C" w:rsidP="00DA7112">
      <w:pPr>
        <w:pStyle w:val="NormalWeb"/>
        <w:jc w:val="both"/>
      </w:pPr>
      <w:r w:rsidRPr="00DA7112">
        <w:rPr>
          <w:rStyle w:val="texhtml"/>
        </w:rPr>
        <w:t>π</w:t>
      </w:r>
      <w:r w:rsidRPr="00DA7112">
        <w:t xml:space="preserve"> (pi), appelé parfois constante d’Archimède</w:t>
      </w:r>
      <w:r w:rsidRPr="00DA7112">
        <w:rPr>
          <w:vertAlign w:val="superscript"/>
        </w:rPr>
        <w:t>a</w:t>
      </w:r>
      <w:r w:rsidRPr="00DA7112">
        <w:t xml:space="preserve">, est un nombre représenté par la lettre grecque du même nom en minuscule (π). C’est le rapport constant de la circonférence d’un cercle à son diamètre dans un plan euclidien. On peut également le définir comme le rapport de l'aire d'un disque au carré de son rayon. </w:t>
      </w:r>
    </w:p>
    <w:p w14:paraId="424E74B9" w14:textId="275FE2EC" w:rsidR="00996B1C" w:rsidRPr="00DA7112" w:rsidRDefault="00996B1C" w:rsidP="00DA7112">
      <w:pPr>
        <w:pStyle w:val="NormalWeb"/>
        <w:jc w:val="both"/>
      </w:pPr>
      <w:r w:rsidRPr="00DA7112">
        <w:t>Sa valeur approchée par défaut à moins de 0,5×10</w:t>
      </w:r>
      <w:r w:rsidRPr="00DA7112">
        <w:rPr>
          <w:vertAlign w:val="superscript"/>
        </w:rPr>
        <w:t>–15</w:t>
      </w:r>
      <w:r w:rsidRPr="00DA7112">
        <w:t xml:space="preserve"> près</w:t>
      </w:r>
      <w:r w:rsidRPr="00DA7112">
        <w:rPr>
          <w:vertAlign w:val="superscript"/>
        </w:rPr>
        <w:t>b</w:t>
      </w:r>
      <w:r w:rsidRPr="00DA7112">
        <w:t xml:space="preserve"> est 3,141592653589793 en écriture décimale</w:t>
      </w:r>
    </w:p>
    <w:p w14:paraId="1794FF7A" w14:textId="7409829B" w:rsidR="00D143DE" w:rsidRDefault="00996B1C" w:rsidP="00D143DE">
      <w:r>
        <w:rPr>
          <w:noProof/>
        </w:rPr>
        <w:drawing>
          <wp:anchor distT="0" distB="0" distL="114300" distR="114300" simplePos="0" relativeHeight="251658240" behindDoc="0" locked="0" layoutInCell="1" allowOverlap="1" wp14:anchorId="3DC96E64" wp14:editId="72A8CD07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4038600" cy="1278979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7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3143A" w14:textId="11DDA122" w:rsidR="00A06400" w:rsidRPr="00DA7112" w:rsidRDefault="00DA7112" w:rsidP="00DA7112">
      <w:pPr>
        <w:pStyle w:val="Titre1"/>
        <w:rPr>
          <w:b/>
          <w:bCs/>
        </w:rPr>
      </w:pPr>
      <w:bookmarkStart w:id="1" w:name="_Toc133067934"/>
      <w:r>
        <w:rPr>
          <w:noProof/>
          <w:color w:val="0000FF"/>
        </w:rPr>
        <w:drawing>
          <wp:anchor distT="0" distB="0" distL="114300" distR="114300" simplePos="0" relativeHeight="251659264" behindDoc="0" locked="0" layoutInCell="1" allowOverlap="1" wp14:anchorId="21891F02" wp14:editId="7AFC5102">
            <wp:simplePos x="0" y="0"/>
            <wp:positionH relativeFrom="column">
              <wp:posOffset>3964305</wp:posOffset>
            </wp:positionH>
            <wp:positionV relativeFrom="paragraph">
              <wp:posOffset>320675</wp:posOffset>
            </wp:positionV>
            <wp:extent cx="2095500" cy="2032000"/>
            <wp:effectExtent l="0" t="0" r="0" b="6350"/>
            <wp:wrapSquare wrapText="bothSides"/>
            <wp:docPr id="4" name="Image 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6400" w:rsidRPr="003A173B">
        <w:rPr>
          <w:rStyle w:val="mw-headline"/>
          <w:b/>
          <w:bCs/>
        </w:rPr>
        <w:t>Définition</w:t>
      </w:r>
      <w:bookmarkEnd w:id="1"/>
    </w:p>
    <w:p w14:paraId="2D079243" w14:textId="1056147C" w:rsidR="00A06400" w:rsidRDefault="00A06400" w:rsidP="00DA7112">
      <w:pPr>
        <w:pStyle w:val="NormalWeb"/>
        <w:jc w:val="both"/>
      </w:pPr>
      <w:r>
        <w:t xml:space="preserve">Dans les dictionnaires et ouvrages généralistes, </w:t>
      </w:r>
      <w:r>
        <w:rPr>
          <w:rStyle w:val="texhtml"/>
          <w:rFonts w:eastAsiaTheme="majorEastAsia"/>
        </w:rPr>
        <w:t>π</w:t>
      </w:r>
      <w:r>
        <w:t xml:space="preserve"> est défini comme le rapport, constant dans le plan usuel qu'est le </w:t>
      </w:r>
      <w:r w:rsidRPr="00DA7112">
        <w:t>plan euclidien</w:t>
      </w:r>
      <w:r>
        <w:t xml:space="preserve">, entre la </w:t>
      </w:r>
      <w:r w:rsidRPr="00DA7112">
        <w:t>circonférence</w:t>
      </w:r>
      <w:r>
        <w:t xml:space="preserve"> d’un </w:t>
      </w:r>
      <w:r w:rsidRPr="00DA7112">
        <w:t>cercle</w:t>
      </w:r>
      <w:r>
        <w:t xml:space="preserve"> et son </w:t>
      </w:r>
      <w:r w:rsidRPr="00DA7112">
        <w:t>diamètre</w:t>
      </w:r>
      <w:r>
        <w:t xml:space="preserve">. Ce rapport ne dépend pas du cercle choisi, en particulier de sa taille. En effet, tous les cercles sont </w:t>
      </w:r>
      <w:r w:rsidRPr="00DA7112">
        <w:t>semblables</w:t>
      </w:r>
      <w:r>
        <w:t xml:space="preserve"> et pour passer d’un cercle à un autre il suffit de connaître le rapport de la similitude. Par suite, pour tout réel positif </w:t>
      </w:r>
      <w:r>
        <w:rPr>
          <w:rStyle w:val="texhtml"/>
          <w:rFonts w:eastAsiaTheme="majorEastAsia"/>
          <w:i/>
          <w:iCs/>
        </w:rPr>
        <w:t>k</w:t>
      </w:r>
      <w:r>
        <w:t xml:space="preserve">, si un cercle possède un rayon </w:t>
      </w:r>
      <w:r>
        <w:rPr>
          <w:rStyle w:val="texhtml"/>
          <w:rFonts w:eastAsiaTheme="majorEastAsia"/>
          <w:i/>
          <w:iCs/>
        </w:rPr>
        <w:t>r</w:t>
      </w:r>
      <w:r>
        <w:t xml:space="preserve"> (ou un diamètre </w:t>
      </w:r>
      <w:r>
        <w:rPr>
          <w:rStyle w:val="texhtml"/>
          <w:rFonts w:eastAsiaTheme="majorEastAsia"/>
          <w:i/>
          <w:iCs/>
        </w:rPr>
        <w:t>d</w:t>
      </w:r>
      <w:r>
        <w:rPr>
          <w:rStyle w:val="texhtml"/>
          <w:rFonts w:eastAsiaTheme="majorEastAsia"/>
        </w:rPr>
        <w:t xml:space="preserve"> = 2</w:t>
      </w:r>
      <w:r>
        <w:rPr>
          <w:rStyle w:val="texhtml"/>
          <w:rFonts w:eastAsiaTheme="majorEastAsia"/>
          <w:i/>
          <w:iCs/>
        </w:rPr>
        <w:t>r</w:t>
      </w:r>
      <w:r>
        <w:t xml:space="preserve">) </w:t>
      </w:r>
      <w:r>
        <w:rPr>
          <w:rStyle w:val="texhtml"/>
          <w:rFonts w:eastAsiaTheme="majorEastAsia"/>
          <w:i/>
          <w:iCs/>
        </w:rPr>
        <w:t>k</w:t>
      </w:r>
      <w:r>
        <w:t xml:space="preserve"> fois plus grand qu’un autre, alors son </w:t>
      </w:r>
      <w:r w:rsidRPr="00DA7112">
        <w:t>périmètre</w:t>
      </w:r>
      <w:r>
        <w:t xml:space="preserve"> </w:t>
      </w:r>
      <w:r>
        <w:rPr>
          <w:rStyle w:val="texhtml"/>
          <w:rFonts w:eastAsiaTheme="majorEastAsia"/>
          <w:i/>
          <w:iCs/>
        </w:rPr>
        <w:t>P</w:t>
      </w:r>
      <w:r>
        <w:t xml:space="preserve"> sera aussi </w:t>
      </w:r>
      <w:r>
        <w:rPr>
          <w:rStyle w:val="texhtml"/>
          <w:rFonts w:eastAsiaTheme="majorEastAsia"/>
          <w:i/>
          <w:iCs/>
        </w:rPr>
        <w:t>k</w:t>
      </w:r>
      <w:r>
        <w:t xml:space="preserve"> fois plus grand, ce qui prouve la constance du rapport. </w:t>
      </w:r>
    </w:p>
    <w:p w14:paraId="1682DBD3" w14:textId="7B77748C" w:rsidR="00A06400" w:rsidRDefault="00A06400" w:rsidP="00DA7112">
      <w:pPr>
        <w:jc w:val="both"/>
      </w:pPr>
      <w:r>
        <w:rPr>
          <w:rStyle w:val="mwe-math-mathml-inline"/>
          <w:vanish/>
        </w:rPr>
        <w:t xml:space="preserve">π = P 2 r = P d </w:t>
      </w:r>
      <w:r>
        <w:rPr>
          <w:rStyle w:val="mwe-math-mathml-inline"/>
          <w:noProof/>
        </w:rPr>
        <w:drawing>
          <wp:inline distT="0" distB="0" distL="0" distR="0" wp14:anchorId="4CA00A26" wp14:editId="031FF144">
            <wp:extent cx="1060450" cy="546100"/>
            <wp:effectExtent l="0" t="0" r="635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7EC12" w14:textId="3EE217FB" w:rsidR="00A06400" w:rsidRDefault="00A06400" w:rsidP="00DA7112">
      <w:pPr>
        <w:pStyle w:val="NormalWeb"/>
        <w:jc w:val="both"/>
      </w:pPr>
      <w:r>
        <w:lastRenderedPageBreak/>
        <w:t>Par ailleurs, cette même similitude multipliera l’</w:t>
      </w:r>
      <w:r w:rsidRPr="00DA7112">
        <w:t>aire</w:t>
      </w:r>
      <w:r>
        <w:t xml:space="preserve"> </w:t>
      </w:r>
      <w:r>
        <w:rPr>
          <w:rStyle w:val="texhtml"/>
          <w:rFonts w:eastAsiaTheme="majorEastAsia"/>
          <w:i/>
          <w:iCs/>
        </w:rPr>
        <w:t>A</w:t>
      </w:r>
      <w:r>
        <w:t xml:space="preserve"> par le carré de </w:t>
      </w:r>
      <w:r>
        <w:rPr>
          <w:rStyle w:val="texhtml"/>
          <w:rFonts w:eastAsiaTheme="majorEastAsia"/>
          <w:i/>
          <w:iCs/>
        </w:rPr>
        <w:t>k</w:t>
      </w:r>
      <w:r>
        <w:t xml:space="preserve">, ce qui prouve maintenant que le rapport </w:t>
      </w:r>
      <w:r>
        <w:rPr>
          <w:rStyle w:val="texhtml"/>
          <w:rFonts w:eastAsiaTheme="majorEastAsia"/>
          <w:i/>
          <w:iCs/>
        </w:rPr>
        <w:t>A</w:t>
      </w:r>
      <w:r>
        <w:rPr>
          <w:rStyle w:val="texhtml"/>
          <w:rFonts w:eastAsiaTheme="majorEastAsia"/>
        </w:rPr>
        <w:t>/</w:t>
      </w:r>
      <w:r>
        <w:rPr>
          <w:rStyle w:val="texhtml"/>
          <w:rFonts w:eastAsiaTheme="majorEastAsia"/>
          <w:i/>
          <w:iCs/>
        </w:rPr>
        <w:t>r</w:t>
      </w:r>
      <w:r>
        <w:rPr>
          <w:rStyle w:val="texhtml"/>
          <w:rFonts w:eastAsiaTheme="majorEastAsia"/>
          <w:vertAlign w:val="superscript"/>
        </w:rPr>
        <w:t>2</w:t>
      </w:r>
      <w:r>
        <w:t xml:space="preserve"> est constant. On peut montrer, par exemple </w:t>
      </w:r>
      <w:r w:rsidRPr="00DA7112">
        <w:t>par la méthode des indivisibles</w:t>
      </w:r>
      <w:r>
        <w:t xml:space="preserve">, que cette constante vaut également </w:t>
      </w:r>
      <w:r>
        <w:rPr>
          <w:rStyle w:val="texhtml"/>
          <w:rFonts w:eastAsiaTheme="majorEastAsia"/>
        </w:rPr>
        <w:t>π</w:t>
      </w:r>
      <w:r>
        <w:t xml:space="preserve">. </w:t>
      </w:r>
    </w:p>
    <w:p w14:paraId="3D682DC7" w14:textId="1BDAE477" w:rsidR="00A06400" w:rsidRDefault="00A06400" w:rsidP="00DA7112">
      <w:pPr>
        <w:jc w:val="both"/>
      </w:pPr>
      <w:r>
        <w:rPr>
          <w:rStyle w:val="mwe-math-mathml-inline"/>
          <w:vanish/>
        </w:rPr>
        <w:t xml:space="preserve">π = A r 2 </w:t>
      </w:r>
      <w:r>
        <w:rPr>
          <w:rStyle w:val="mwe-math-mathml-inline"/>
          <w:noProof/>
        </w:rPr>
        <w:drawing>
          <wp:inline distT="0" distB="0" distL="0" distR="0" wp14:anchorId="5082C4ED" wp14:editId="10976A6F">
            <wp:extent cx="635000" cy="4254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10D2" w14:textId="167CD9D0" w:rsidR="00A06400" w:rsidRDefault="00A06400" w:rsidP="00DA7112">
      <w:pPr>
        <w:pStyle w:val="NormalWeb"/>
        <w:jc w:val="both"/>
      </w:pPr>
      <w:r>
        <w:t>Le dessin ci-contre illustre une autre méthode, essentiellement due à Archimède (</w:t>
      </w:r>
      <w:r w:rsidRPr="00DA7112">
        <w:t xml:space="preserve">voir </w:t>
      </w:r>
      <w:r w:rsidRPr="00DA7112">
        <w:rPr>
          <w:i/>
          <w:iCs/>
        </w:rPr>
        <w:t>infra</w:t>
      </w:r>
      <w:r>
        <w:t xml:space="preserve">) : le périmètre du </w:t>
      </w:r>
      <w:r w:rsidRPr="00DA7112">
        <w:t>polygone</w:t>
      </w:r>
      <w:r>
        <w:t xml:space="preserve"> vaut à peu près </w:t>
      </w:r>
      <w:r>
        <w:rPr>
          <w:rStyle w:val="texhtml"/>
          <w:rFonts w:eastAsiaTheme="majorEastAsia"/>
        </w:rPr>
        <w:t>2π</w:t>
      </w:r>
      <w:r>
        <w:rPr>
          <w:rStyle w:val="texhtml"/>
          <w:rFonts w:eastAsiaTheme="majorEastAsia"/>
          <w:i/>
          <w:iCs/>
        </w:rPr>
        <w:t>r</w:t>
      </w:r>
      <w:r>
        <w:t xml:space="preserve"> alors qu’en redistribuant les triangles formés on remarque que son aire vaut à peu près </w:t>
      </w:r>
      <w:r>
        <w:rPr>
          <w:rStyle w:val="texhtml"/>
          <w:rFonts w:eastAsiaTheme="majorEastAsia"/>
        </w:rPr>
        <w:t>π</w:t>
      </w:r>
      <w:r>
        <w:rPr>
          <w:rStyle w:val="texhtml"/>
          <w:rFonts w:eastAsiaTheme="majorEastAsia"/>
          <w:i/>
          <w:iCs/>
        </w:rPr>
        <w:t>r</w:t>
      </w:r>
      <w:r>
        <w:rPr>
          <w:rStyle w:val="texhtml"/>
          <w:rFonts w:eastAsiaTheme="majorEastAsia"/>
          <w:vertAlign w:val="superscript"/>
        </w:rPr>
        <w:t>2</w:t>
      </w:r>
      <w:r>
        <w:t xml:space="preserve">. Pour formaliser le « à peu près », il faudrait faire tendre le nombre de côtés du polygone vers l’infini, ce qui illustre déjà la nature « analytique » de </w:t>
      </w:r>
      <w:r>
        <w:rPr>
          <w:rStyle w:val="texhtml"/>
          <w:rFonts w:eastAsiaTheme="majorEastAsia"/>
        </w:rPr>
        <w:t>π</w:t>
      </w:r>
      <w:r>
        <w:t xml:space="preserve">. </w:t>
      </w:r>
    </w:p>
    <w:p w14:paraId="664CD292" w14:textId="77777777" w:rsidR="003A173B" w:rsidRPr="003A173B" w:rsidRDefault="003A173B" w:rsidP="003A173B">
      <w:pPr>
        <w:pStyle w:val="Titre1"/>
        <w:rPr>
          <w:b/>
          <w:bCs/>
        </w:rPr>
      </w:pPr>
      <w:bookmarkStart w:id="2" w:name="_Toc133067935"/>
      <w:r w:rsidRPr="003A173B">
        <w:rPr>
          <w:rStyle w:val="mw-headline"/>
          <w:b/>
          <w:bCs/>
        </w:rPr>
        <w:t>Autres définitions</w:t>
      </w:r>
      <w:bookmarkEnd w:id="2"/>
    </w:p>
    <w:p w14:paraId="2C370BC6" w14:textId="0E2BFBFE" w:rsidR="003A173B" w:rsidRDefault="003A173B" w:rsidP="00DA7112">
      <w:pPr>
        <w:pStyle w:val="NormalWeb"/>
        <w:jc w:val="both"/>
      </w:pPr>
      <w:r>
        <w:t xml:space="preserve">La définition géométrique ci-dessus, historiquement la première et très intuitive, n'est pas la plus directe pour définir </w:t>
      </w:r>
      <w:r>
        <w:rPr>
          <w:rStyle w:val="texhtml"/>
        </w:rPr>
        <w:t>π</w:t>
      </w:r>
      <w:r>
        <w:t xml:space="preserve"> mathématiquement en toute rigueur. Les ouvrages plus spécialisés, par exemple</w:t>
      </w:r>
      <w:r w:rsidRPr="00DA7112">
        <w:rPr>
          <w:rFonts w:eastAsiaTheme="majorEastAsia"/>
          <w:vertAlign w:val="superscript"/>
        </w:rPr>
        <w:t>6</w:t>
      </w:r>
      <w:r>
        <w:t xml:space="preserve"> définissent </w:t>
      </w:r>
      <w:r>
        <w:rPr>
          <w:rStyle w:val="texhtml"/>
        </w:rPr>
        <w:t>π</w:t>
      </w:r>
      <w:r>
        <w:t xml:space="preserve"> par l'</w:t>
      </w:r>
      <w:r w:rsidRPr="00DA7112">
        <w:rPr>
          <w:rFonts w:eastAsiaTheme="majorEastAsia"/>
        </w:rPr>
        <w:t>analyse réelle</w:t>
      </w:r>
      <w:r>
        <w:t xml:space="preserve">, parfois à l'aide des </w:t>
      </w:r>
      <w:r w:rsidRPr="00DA7112">
        <w:rPr>
          <w:rFonts w:eastAsiaTheme="majorEastAsia"/>
        </w:rPr>
        <w:t>fonctions trigonométriques</w:t>
      </w:r>
      <w:r>
        <w:t xml:space="preserve">, mais introduites sans référence à la géométrie : </w:t>
      </w:r>
    </w:p>
    <w:p w14:paraId="56CB7183" w14:textId="3D7AA7CA" w:rsidR="003A173B" w:rsidRDefault="003A173B" w:rsidP="00DA71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Un choix fréquent est de définir </w:t>
      </w:r>
      <w:r>
        <w:rPr>
          <w:rStyle w:val="texhtml"/>
        </w:rPr>
        <w:t>π</w:t>
      </w:r>
      <w:r>
        <w:t xml:space="preserve"> comme le double du plus petit nombre positif </w:t>
      </w:r>
      <w:r>
        <w:rPr>
          <w:rStyle w:val="texhtml"/>
          <w:i/>
          <w:iCs/>
        </w:rPr>
        <w:t>x</w:t>
      </w:r>
      <w:r>
        <w:t xml:space="preserve"> tel que </w:t>
      </w:r>
      <w:r w:rsidRPr="00DA7112">
        <w:rPr>
          <w:rStyle w:val="texhtml"/>
        </w:rPr>
        <w:t>cos</w:t>
      </w:r>
      <w:r>
        <w:rPr>
          <w:rStyle w:val="texhtml"/>
        </w:rPr>
        <w:t>(</w:t>
      </w:r>
      <w:r>
        <w:rPr>
          <w:rStyle w:val="texhtml"/>
          <w:i/>
          <w:iCs/>
        </w:rPr>
        <w:t>x</w:t>
      </w:r>
      <w:r>
        <w:rPr>
          <w:rStyle w:val="texhtml"/>
        </w:rPr>
        <w:t>) = 0</w:t>
      </w:r>
      <w:r>
        <w:t xml:space="preserve">, où </w:t>
      </w:r>
      <w:r>
        <w:rPr>
          <w:rStyle w:val="texhtml"/>
        </w:rPr>
        <w:t>cos</w:t>
      </w:r>
      <w:r>
        <w:t xml:space="preserve"> peut être définie comme la partie réelle de l’exponentielle complexe</w:t>
      </w:r>
      <w:r w:rsidRPr="00DA7112">
        <w:rPr>
          <w:vertAlign w:val="superscript"/>
        </w:rPr>
        <w:t>7</w:t>
      </w:r>
      <w:r>
        <w:rPr>
          <w:vertAlign w:val="superscript"/>
        </w:rPr>
        <w:t>,</w:t>
      </w:r>
      <w:r w:rsidRPr="00DA7112">
        <w:rPr>
          <w:vertAlign w:val="superscript"/>
        </w:rPr>
        <w:t>8</w:t>
      </w:r>
      <w:r>
        <w:t xml:space="preserve">, ou comme la </w:t>
      </w:r>
      <w:r w:rsidRPr="00DA7112">
        <w:t>solution d'un problème de Cauchy</w:t>
      </w:r>
      <w:r>
        <w:t>.</w:t>
      </w:r>
    </w:p>
    <w:p w14:paraId="55CE8C79" w14:textId="517F667B" w:rsidR="003A173B" w:rsidRDefault="003A173B" w:rsidP="00DA71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Une autre définition est envisageable en considérant les propriétés algébriques de la fonction </w:t>
      </w:r>
      <w:r w:rsidRPr="00DA7112">
        <w:t>exponentielle complexe</w:t>
      </w:r>
      <w:r>
        <w:t xml:space="preserve"> qui découlent de sa définition par une série entière et qui font que l’application </w:t>
      </w:r>
      <w:r>
        <w:rPr>
          <w:rStyle w:val="nowrap"/>
          <w:i/>
          <w:iCs/>
        </w:rPr>
        <w:t xml:space="preserve">t </w:t>
      </w:r>
      <w:r>
        <w:rPr>
          <w:rStyle w:val="nowrap"/>
          <w:rFonts w:ascii="Cambria Math" w:hAnsi="Cambria Math" w:cs="Cambria Math"/>
        </w:rPr>
        <w:t>↦</w:t>
      </w:r>
      <w:r>
        <w:rPr>
          <w:rStyle w:val="nowrap"/>
        </w:rPr>
        <w:t xml:space="preserve"> exp(i</w:t>
      </w:r>
      <w:r>
        <w:rPr>
          <w:rStyle w:val="nowrap"/>
          <w:i/>
          <w:iCs/>
        </w:rPr>
        <w:t>t</w:t>
      </w:r>
      <w:r>
        <w:rPr>
          <w:rStyle w:val="nowrap"/>
        </w:rPr>
        <w:t>)</w:t>
      </w:r>
      <w:r>
        <w:t xml:space="preserve"> est un </w:t>
      </w:r>
      <w:r w:rsidRPr="00DA7112">
        <w:t>morphisme de groupes</w:t>
      </w:r>
      <w:r>
        <w:t xml:space="preserve"> </w:t>
      </w:r>
      <w:r w:rsidRPr="00DA7112">
        <w:t>continu</w:t>
      </w:r>
      <w:r>
        <w:t xml:space="preserve"> et </w:t>
      </w:r>
      <w:r w:rsidRPr="00DA7112">
        <w:t>surjectif</w:t>
      </w:r>
      <w:r>
        <w:t xml:space="preserve"> de (</w:t>
      </w:r>
      <w:r>
        <w:rPr>
          <w:rFonts w:ascii="Cambria Math" w:hAnsi="Cambria Math" w:cs="Cambria Math"/>
        </w:rPr>
        <w:t>ℝ</w:t>
      </w:r>
      <w:r>
        <w:t xml:space="preserve">, +) vers le </w:t>
      </w:r>
      <w:r w:rsidRPr="00DA7112">
        <w:t>groupe (</w:t>
      </w:r>
      <w:r w:rsidRPr="00DA7112">
        <w:rPr>
          <w:rFonts w:ascii="Cambria Math" w:hAnsi="Cambria Math" w:cs="Cambria Math"/>
        </w:rPr>
        <w:t>𝕌</w:t>
      </w:r>
      <w:r w:rsidRPr="00DA7112">
        <w:t xml:space="preserve">, ×) des complexes de module </w:t>
      </w:r>
      <w:r>
        <w:rPr>
          <w:rStyle w:val="texhtml"/>
          <w:color w:val="0000FF"/>
          <w:u w:val="single"/>
        </w:rPr>
        <w:t>1</w:t>
      </w:r>
      <w:r>
        <w:t xml:space="preserve">. On démontre alors que l’ensemble des nombres réels </w:t>
      </w:r>
      <w:r>
        <w:rPr>
          <w:rStyle w:val="texhtml"/>
          <w:i/>
          <w:iCs/>
        </w:rPr>
        <w:t>t</w:t>
      </w:r>
      <w:r>
        <w:t xml:space="preserve"> tels que </w:t>
      </w:r>
      <w:r>
        <w:rPr>
          <w:rStyle w:val="texhtml"/>
        </w:rPr>
        <w:t>exp(i</w:t>
      </w:r>
      <w:r>
        <w:rPr>
          <w:rStyle w:val="texhtml"/>
          <w:i/>
          <w:iCs/>
        </w:rPr>
        <w:t>t</w:t>
      </w:r>
      <w:r>
        <w:rPr>
          <w:rStyle w:val="texhtml"/>
        </w:rPr>
        <w:t>) = 1</w:t>
      </w:r>
      <w:r>
        <w:t xml:space="preserve"> est de la forme </w:t>
      </w:r>
      <w:r>
        <w:rPr>
          <w:rStyle w:val="texhtml"/>
          <w:i/>
          <w:iCs/>
        </w:rPr>
        <w:t>a</w:t>
      </w:r>
      <w:r>
        <w:rPr>
          <w:rFonts w:ascii="Cambria Math" w:hAnsi="Cambria Math" w:cs="Cambria Math"/>
        </w:rPr>
        <w:t>ℤ</w:t>
      </w:r>
      <w:r>
        <w:t xml:space="preserve"> où </w:t>
      </w:r>
      <w:r>
        <w:rPr>
          <w:rStyle w:val="texhtml"/>
          <w:i/>
          <w:iCs/>
        </w:rPr>
        <w:t>a</w:t>
      </w:r>
      <w:r>
        <w:t xml:space="preserve"> est un réel strictement positif</w:t>
      </w:r>
      <w:r w:rsidRPr="00DA7112">
        <w:rPr>
          <w:vertAlign w:val="superscript"/>
        </w:rPr>
        <w:t>9</w:t>
      </w:r>
      <w:r>
        <w:t xml:space="preserve">. On pose alors </w:t>
      </w:r>
      <w:r>
        <w:rPr>
          <w:rStyle w:val="texhtml"/>
        </w:rPr>
        <w:t xml:space="preserve">π = </w:t>
      </w:r>
      <w:r>
        <w:rPr>
          <w:rStyle w:val="texhtml"/>
          <w:i/>
          <w:iCs/>
        </w:rPr>
        <w:t>a</w:t>
      </w:r>
      <w:r>
        <w:rPr>
          <w:rStyle w:val="texhtml"/>
        </w:rPr>
        <w:t>/2</w:t>
      </w:r>
      <w:r>
        <w:t>. Le calcul intégral permet ensuite de vérifier que cette définition abstraite correspond bien à celle de la géométrie euclidienne.</w:t>
      </w:r>
    </w:p>
    <w:p w14:paraId="6FEFEEA6" w14:textId="450C8127" w:rsidR="003A173B" w:rsidRDefault="003A173B" w:rsidP="00DA71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Le </w:t>
      </w:r>
      <w:r w:rsidRPr="00DA7112">
        <w:t>groupe Bourbaki</w:t>
      </w:r>
      <w:r>
        <w:t xml:space="preserve"> propose une autre définition très voisine en démontrant</w:t>
      </w:r>
      <w:r w:rsidRPr="00DA7112">
        <w:rPr>
          <w:vertAlign w:val="superscript"/>
        </w:rPr>
        <w:t>10</w:t>
      </w:r>
      <w:r>
        <w:t xml:space="preserve"> l’existence d’un morphisme de </w:t>
      </w:r>
      <w:r w:rsidRPr="00DA7112">
        <w:t>groupes topologiques</w:t>
      </w:r>
      <w:r>
        <w:t xml:space="preserve"> </w:t>
      </w:r>
      <w:r>
        <w:rPr>
          <w:rStyle w:val="texhtml"/>
          <w:i/>
          <w:iCs/>
        </w:rPr>
        <w:t>f</w:t>
      </w:r>
      <w:r>
        <w:t xml:space="preserve"> de (</w:t>
      </w:r>
      <w:r>
        <w:rPr>
          <w:rFonts w:ascii="Cambria Math" w:hAnsi="Cambria Math" w:cs="Cambria Math"/>
        </w:rPr>
        <w:t>ℝ</w:t>
      </w:r>
      <w:r>
        <w:t>, +) vers (</w:t>
      </w:r>
      <w:r>
        <w:rPr>
          <w:rFonts w:ascii="Cambria Math" w:hAnsi="Cambria Math" w:cs="Cambria Math"/>
        </w:rPr>
        <w:t>𝕌</w:t>
      </w:r>
      <w:r>
        <w:t xml:space="preserve">, ×), périodique de </w:t>
      </w:r>
      <w:r>
        <w:rPr>
          <w:rStyle w:val="nowrap"/>
        </w:rPr>
        <w:t>période 1</w:t>
      </w:r>
      <w:r>
        <w:t xml:space="preserve">, tel que </w:t>
      </w:r>
      <w:r>
        <w:rPr>
          <w:rStyle w:val="texhtml"/>
          <w:i/>
          <w:iCs/>
        </w:rPr>
        <w:t>f</w:t>
      </w:r>
      <w:r>
        <w:rPr>
          <w:rStyle w:val="texhtml"/>
        </w:rPr>
        <w:t>(1/4) = i</w:t>
      </w:r>
      <w:r>
        <w:t>. Il démontre</w:t>
      </w:r>
      <w:r w:rsidRPr="00DA7112">
        <w:rPr>
          <w:vertAlign w:val="superscript"/>
        </w:rPr>
        <w:t>11</w:t>
      </w:r>
      <w:r>
        <w:t xml:space="preserve"> que </w:t>
      </w:r>
      <w:r>
        <w:rPr>
          <w:rStyle w:val="texhtml"/>
          <w:i/>
          <w:iCs/>
        </w:rPr>
        <w:t>f</w:t>
      </w:r>
      <w:r>
        <w:t xml:space="preserve"> est </w:t>
      </w:r>
      <w:r w:rsidRPr="00DA7112">
        <w:t>dérivable</w:t>
      </w:r>
      <w:r>
        <w:t xml:space="preserve"> et que sa </w:t>
      </w:r>
      <w:r w:rsidRPr="00DA7112">
        <w:t>dérivée</w:t>
      </w:r>
      <w:r>
        <w:t xml:space="preserve"> en </w:t>
      </w:r>
      <w:r>
        <w:rPr>
          <w:rStyle w:val="texhtml"/>
        </w:rPr>
        <w:t>0</w:t>
      </w:r>
      <w:r>
        <w:t xml:space="preserve"> est de la forme </w:t>
      </w:r>
      <w:r>
        <w:rPr>
          <w:rStyle w:val="texhtml"/>
          <w:i/>
          <w:iCs/>
        </w:rPr>
        <w:t>α</w:t>
      </w:r>
      <w:r>
        <w:rPr>
          <w:rStyle w:val="texhtml"/>
        </w:rPr>
        <w:t>i</w:t>
      </w:r>
      <w:r>
        <w:t xml:space="preserve"> pour un certain réel </w:t>
      </w:r>
      <w:r>
        <w:rPr>
          <w:rStyle w:val="texhtml"/>
          <w:i/>
          <w:iCs/>
        </w:rPr>
        <w:t>α</w:t>
      </w:r>
      <w:r>
        <w:rPr>
          <w:rStyle w:val="texhtml"/>
        </w:rPr>
        <w:t xml:space="preserve"> &gt; 0</w:t>
      </w:r>
      <w:r>
        <w:t xml:space="preserve">, qu'il note </w:t>
      </w:r>
      <w:r>
        <w:rPr>
          <w:rStyle w:val="texhtml"/>
        </w:rPr>
        <w:t>2π</w:t>
      </w:r>
      <w:r>
        <w:t>.</w:t>
      </w:r>
    </w:p>
    <w:p w14:paraId="62A33756" w14:textId="77777777" w:rsidR="003A173B" w:rsidRDefault="003A173B" w:rsidP="00DA7112">
      <w:pPr>
        <w:pStyle w:val="NormalWeb"/>
        <w:jc w:val="both"/>
      </w:pPr>
      <w:r>
        <w:t xml:space="preserve">Les deux méthodes précédentes consistent en réalité à calculer le périmètre du cercle, qu’on a défini par la fonction </w:t>
      </w:r>
      <w:r>
        <w:rPr>
          <w:rStyle w:val="nowrap"/>
          <w:i/>
          <w:iCs/>
        </w:rPr>
        <w:t xml:space="preserve">t </w:t>
      </w:r>
      <w:r>
        <w:rPr>
          <w:rStyle w:val="nowrap"/>
          <w:rFonts w:ascii="Cambria Math" w:hAnsi="Cambria Math" w:cs="Cambria Math"/>
        </w:rPr>
        <w:t>↦</w:t>
      </w:r>
      <w:r>
        <w:rPr>
          <w:rStyle w:val="nowrap"/>
        </w:rPr>
        <w:t xml:space="preserve"> exp(i</w:t>
      </w:r>
      <w:r>
        <w:rPr>
          <w:rStyle w:val="nowrap"/>
          <w:i/>
          <w:iCs/>
        </w:rPr>
        <w:t>t</w:t>
      </w:r>
      <w:r>
        <w:rPr>
          <w:rStyle w:val="nowrap"/>
        </w:rPr>
        <w:t>),</w:t>
      </w:r>
      <w:r>
        <w:t xml:space="preserve"> ou la fonction </w:t>
      </w:r>
      <w:r>
        <w:rPr>
          <w:rStyle w:val="nowrap"/>
          <w:i/>
          <w:iCs/>
        </w:rPr>
        <w:t xml:space="preserve">t </w:t>
      </w:r>
      <w:r>
        <w:rPr>
          <w:rStyle w:val="nowrap"/>
          <w:rFonts w:ascii="Cambria Math" w:hAnsi="Cambria Math" w:cs="Cambria Math"/>
        </w:rPr>
        <w:t>↦</w:t>
      </w:r>
      <w:r>
        <w:rPr>
          <w:rStyle w:val="nowrap"/>
        </w:rPr>
        <w:t xml:space="preserve"> exp(2i</w:t>
      </w:r>
      <w:r>
        <w:rPr>
          <w:rStyle w:val="texhtml"/>
        </w:rPr>
        <w:t>π</w:t>
      </w:r>
      <w:r>
        <w:rPr>
          <w:rStyle w:val="nowrap"/>
          <w:i/>
          <w:iCs/>
        </w:rPr>
        <w:t>t</w:t>
      </w:r>
      <w:r>
        <w:rPr>
          <w:rStyle w:val="nowrap"/>
        </w:rPr>
        <w:t>)</w:t>
      </w:r>
      <w:r>
        <w:t xml:space="preserve">. </w:t>
      </w:r>
    </w:p>
    <w:p w14:paraId="01638CE0" w14:textId="7FBD2DD0" w:rsidR="00A06400" w:rsidRDefault="00DA7112" w:rsidP="00A06400">
      <w:pPr>
        <w:pStyle w:val="NormalWeb"/>
      </w:pPr>
      <w:r>
        <w:rPr>
          <w:noProof/>
        </w:rPr>
        <w:lastRenderedPageBreak/>
        <w:drawing>
          <wp:inline distT="0" distB="0" distL="0" distR="0" wp14:anchorId="20F60C95" wp14:editId="274E3E6A">
            <wp:extent cx="6253383" cy="426085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150" cy="426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8571" w14:textId="77777777" w:rsidR="00DA7112" w:rsidRDefault="00DA7112" w:rsidP="00A06400">
      <w:pPr>
        <w:pStyle w:val="NormalWeb"/>
      </w:pPr>
    </w:p>
    <w:p w14:paraId="2BE45CFC" w14:textId="77777777" w:rsidR="00996B1C" w:rsidRPr="00D143DE" w:rsidRDefault="00996B1C" w:rsidP="00D143DE"/>
    <w:sectPr w:rsidR="00996B1C" w:rsidRPr="00D143DE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59CDE" w14:textId="77777777" w:rsidR="00AD7633" w:rsidRDefault="00AD7633" w:rsidP="00D143DE">
      <w:pPr>
        <w:spacing w:after="0" w:line="240" w:lineRule="auto"/>
      </w:pPr>
      <w:r>
        <w:separator/>
      </w:r>
    </w:p>
  </w:endnote>
  <w:endnote w:type="continuationSeparator" w:id="0">
    <w:p w14:paraId="22A41C9B" w14:textId="77777777" w:rsidR="00AD7633" w:rsidRDefault="00AD7633" w:rsidP="00D14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7721285"/>
      <w:docPartObj>
        <w:docPartGallery w:val="Page Numbers (Bottom of Page)"/>
        <w:docPartUnique/>
      </w:docPartObj>
    </w:sdtPr>
    <w:sdtContent>
      <w:p w14:paraId="6CC090E0" w14:textId="5DC20E60" w:rsidR="00D143DE" w:rsidRDefault="00D143D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AAAD73" w14:textId="77777777" w:rsidR="00D143DE" w:rsidRDefault="00D143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7FC3F" w14:textId="77777777" w:rsidR="00AD7633" w:rsidRDefault="00AD7633" w:rsidP="00D143DE">
      <w:pPr>
        <w:spacing w:after="0" w:line="240" w:lineRule="auto"/>
      </w:pPr>
      <w:r>
        <w:separator/>
      </w:r>
    </w:p>
  </w:footnote>
  <w:footnote w:type="continuationSeparator" w:id="0">
    <w:p w14:paraId="30CEDB12" w14:textId="77777777" w:rsidR="00AD7633" w:rsidRDefault="00AD7633" w:rsidP="00D14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C7BF5" w14:textId="5BAE545B" w:rsidR="00D143DE" w:rsidRDefault="00D143DE">
    <w:pPr>
      <w:pStyle w:val="En-tte"/>
    </w:pPr>
    <w:r>
      <w:t>MATHS - 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2078B"/>
    <w:multiLevelType w:val="multilevel"/>
    <w:tmpl w:val="053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99"/>
    <w:rsid w:val="00241099"/>
    <w:rsid w:val="0035518C"/>
    <w:rsid w:val="003A173B"/>
    <w:rsid w:val="003B22A5"/>
    <w:rsid w:val="00975931"/>
    <w:rsid w:val="00996B1C"/>
    <w:rsid w:val="00A06400"/>
    <w:rsid w:val="00AD7633"/>
    <w:rsid w:val="00D143DE"/>
    <w:rsid w:val="00DA7112"/>
    <w:rsid w:val="00F4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0AE0"/>
  <w15:chartTrackingRefBased/>
  <w15:docId w15:val="{0D5419B0-FF34-4055-B267-28198548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43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4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14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43DE"/>
  </w:style>
  <w:style w:type="paragraph" w:styleId="Pieddepage">
    <w:name w:val="footer"/>
    <w:basedOn w:val="Normal"/>
    <w:link w:val="PieddepageCar"/>
    <w:uiPriority w:val="99"/>
    <w:unhideWhenUsed/>
    <w:rsid w:val="00D14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43DE"/>
  </w:style>
  <w:style w:type="paragraph" w:styleId="Titre">
    <w:name w:val="Title"/>
    <w:basedOn w:val="Normal"/>
    <w:next w:val="Normal"/>
    <w:link w:val="TitreCar"/>
    <w:uiPriority w:val="10"/>
    <w:qFormat/>
    <w:rsid w:val="00D143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14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96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html">
    <w:name w:val="texhtml"/>
    <w:basedOn w:val="Policepardfaut"/>
    <w:rsid w:val="00996B1C"/>
  </w:style>
  <w:style w:type="character" w:styleId="Lienhypertexte">
    <w:name w:val="Hyperlink"/>
    <w:basedOn w:val="Policepardfaut"/>
    <w:uiPriority w:val="99"/>
    <w:unhideWhenUsed/>
    <w:rsid w:val="00996B1C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A064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A06400"/>
  </w:style>
  <w:style w:type="character" w:customStyle="1" w:styleId="mwe-math-mathml-inline">
    <w:name w:val="mwe-math-mathml-inline"/>
    <w:basedOn w:val="Policepardfaut"/>
    <w:rsid w:val="00A06400"/>
  </w:style>
  <w:style w:type="character" w:customStyle="1" w:styleId="nowrap">
    <w:name w:val="nowrap"/>
    <w:basedOn w:val="Policepardfaut"/>
    <w:rsid w:val="003A173B"/>
  </w:style>
  <w:style w:type="paragraph" w:styleId="En-ttedetabledesmatires">
    <w:name w:val="TOC Heading"/>
    <w:basedOn w:val="Titre1"/>
    <w:next w:val="Normal"/>
    <w:uiPriority w:val="39"/>
    <w:unhideWhenUsed/>
    <w:qFormat/>
    <w:rsid w:val="00F437D6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437D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9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Cercle12CircArea.svg?uselang=f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565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7</cp:revision>
  <dcterms:created xsi:type="dcterms:W3CDTF">2022-12-20T10:56:00Z</dcterms:created>
  <dcterms:modified xsi:type="dcterms:W3CDTF">2023-04-22T12:58:00Z</dcterms:modified>
</cp:coreProperties>
</file>