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D4C1B" w14:textId="77777777" w:rsidR="003D0321" w:rsidRDefault="003D0321">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3D0321">
        <w:rPr>
          <w:rFonts w:ascii="Times New Roman" w:eastAsia="Times New Roman" w:hAnsi="Times New Roman" w:cs="Times New Roman"/>
          <w:b/>
          <w:bCs/>
          <w:color w:val="auto"/>
          <w:kern w:val="36"/>
          <w:sz w:val="48"/>
          <w:szCs w:val="48"/>
        </w:rPr>
        <w:t xml:space="preserve">Émission </w:t>
      </w:r>
      <w:proofErr w:type="spellStart"/>
      <w:r w:rsidRPr="003D0321">
        <w:rPr>
          <w:rFonts w:ascii="Times New Roman" w:eastAsia="Times New Roman" w:hAnsi="Times New Roman" w:cs="Times New Roman"/>
          <w:b/>
          <w:bCs/>
          <w:color w:val="auto"/>
          <w:kern w:val="36"/>
          <w:sz w:val="48"/>
          <w:szCs w:val="48"/>
        </w:rPr>
        <w:t>thermoionique</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239D0B0A" w:rsidR="00182B43" w:rsidRDefault="00182B43">
          <w:pPr>
            <w:pStyle w:val="En-ttedetabledesmatires"/>
          </w:pPr>
          <w:r>
            <w:t>Table des matières</w:t>
          </w:r>
        </w:p>
        <w:p w14:paraId="40B32065" w14:textId="26F5DFB2" w:rsidR="003D0321"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97389" w:history="1">
            <w:r w:rsidR="003D0321" w:rsidRPr="00A90D9D">
              <w:rPr>
                <w:rStyle w:val="Lienhypertexte"/>
                <w:noProof/>
              </w:rPr>
              <w:t>Introduction</w:t>
            </w:r>
            <w:r w:rsidR="003D0321">
              <w:rPr>
                <w:noProof/>
                <w:webHidden/>
              </w:rPr>
              <w:tab/>
            </w:r>
            <w:r w:rsidR="003D0321">
              <w:rPr>
                <w:noProof/>
                <w:webHidden/>
              </w:rPr>
              <w:fldChar w:fldCharType="begin"/>
            </w:r>
            <w:r w:rsidR="003D0321">
              <w:rPr>
                <w:noProof/>
                <w:webHidden/>
              </w:rPr>
              <w:instrText xml:space="preserve"> PAGEREF _Toc148697389 \h </w:instrText>
            </w:r>
            <w:r w:rsidR="003D0321">
              <w:rPr>
                <w:noProof/>
                <w:webHidden/>
              </w:rPr>
            </w:r>
            <w:r w:rsidR="003D0321">
              <w:rPr>
                <w:noProof/>
                <w:webHidden/>
              </w:rPr>
              <w:fldChar w:fldCharType="separate"/>
            </w:r>
            <w:r w:rsidR="003D0321">
              <w:rPr>
                <w:noProof/>
                <w:webHidden/>
              </w:rPr>
              <w:t>2</w:t>
            </w:r>
            <w:r w:rsidR="003D0321">
              <w:rPr>
                <w:noProof/>
                <w:webHidden/>
              </w:rPr>
              <w:fldChar w:fldCharType="end"/>
            </w:r>
          </w:hyperlink>
        </w:p>
        <w:p w14:paraId="32EE9DA8" w14:textId="168E68E5" w:rsidR="003D0321" w:rsidRDefault="003D0321">
          <w:pPr>
            <w:pStyle w:val="TM2"/>
            <w:tabs>
              <w:tab w:val="right" w:leader="dot" w:pos="9062"/>
            </w:tabs>
            <w:rPr>
              <w:rFonts w:eastAsiaTheme="minorEastAsia"/>
              <w:noProof/>
              <w:kern w:val="2"/>
              <w:lang w:eastAsia="fr-FR"/>
              <w14:ligatures w14:val="standardContextual"/>
            </w:rPr>
          </w:pPr>
          <w:hyperlink w:anchor="_Toc148697390" w:history="1">
            <w:r w:rsidRPr="00A90D9D">
              <w:rPr>
                <w:rStyle w:val="Lienhypertexte"/>
                <w:noProof/>
              </w:rPr>
              <w:t>Loi de Richardson</w:t>
            </w:r>
            <w:r>
              <w:rPr>
                <w:noProof/>
                <w:webHidden/>
              </w:rPr>
              <w:tab/>
            </w:r>
            <w:r>
              <w:rPr>
                <w:noProof/>
                <w:webHidden/>
              </w:rPr>
              <w:fldChar w:fldCharType="begin"/>
            </w:r>
            <w:r>
              <w:rPr>
                <w:noProof/>
                <w:webHidden/>
              </w:rPr>
              <w:instrText xml:space="preserve"> PAGEREF _Toc148697390 \h </w:instrText>
            </w:r>
            <w:r>
              <w:rPr>
                <w:noProof/>
                <w:webHidden/>
              </w:rPr>
            </w:r>
            <w:r>
              <w:rPr>
                <w:noProof/>
                <w:webHidden/>
              </w:rPr>
              <w:fldChar w:fldCharType="separate"/>
            </w:r>
            <w:r>
              <w:rPr>
                <w:noProof/>
                <w:webHidden/>
              </w:rPr>
              <w:t>2</w:t>
            </w:r>
            <w:r>
              <w:rPr>
                <w:noProof/>
                <w:webHidden/>
              </w:rPr>
              <w:fldChar w:fldCharType="end"/>
            </w:r>
          </w:hyperlink>
        </w:p>
        <w:p w14:paraId="0722FD24" w14:textId="109E74EC" w:rsidR="003D0321" w:rsidRDefault="003D0321">
          <w:pPr>
            <w:pStyle w:val="TM2"/>
            <w:tabs>
              <w:tab w:val="right" w:leader="dot" w:pos="9062"/>
            </w:tabs>
            <w:rPr>
              <w:rFonts w:eastAsiaTheme="minorEastAsia"/>
              <w:noProof/>
              <w:kern w:val="2"/>
              <w:lang w:eastAsia="fr-FR"/>
              <w14:ligatures w14:val="standardContextual"/>
            </w:rPr>
          </w:pPr>
          <w:hyperlink w:anchor="_Toc148697391" w:history="1">
            <w:r w:rsidRPr="00A90D9D">
              <w:rPr>
                <w:rStyle w:val="Lienhypertexte"/>
                <w:noProof/>
              </w:rPr>
              <w:t>Effet Edison</w:t>
            </w:r>
            <w:r>
              <w:rPr>
                <w:noProof/>
                <w:webHidden/>
              </w:rPr>
              <w:tab/>
            </w:r>
            <w:r>
              <w:rPr>
                <w:noProof/>
                <w:webHidden/>
              </w:rPr>
              <w:fldChar w:fldCharType="begin"/>
            </w:r>
            <w:r>
              <w:rPr>
                <w:noProof/>
                <w:webHidden/>
              </w:rPr>
              <w:instrText xml:space="preserve"> PAGEREF _Toc148697391 \h </w:instrText>
            </w:r>
            <w:r>
              <w:rPr>
                <w:noProof/>
                <w:webHidden/>
              </w:rPr>
            </w:r>
            <w:r>
              <w:rPr>
                <w:noProof/>
                <w:webHidden/>
              </w:rPr>
              <w:fldChar w:fldCharType="separate"/>
            </w:r>
            <w:r>
              <w:rPr>
                <w:noProof/>
                <w:webHidden/>
              </w:rPr>
              <w:t>4</w:t>
            </w:r>
            <w:r>
              <w:rPr>
                <w:noProof/>
                <w:webHidden/>
              </w:rPr>
              <w:fldChar w:fldCharType="end"/>
            </w:r>
          </w:hyperlink>
        </w:p>
        <w:p w14:paraId="64561003" w14:textId="3A384604" w:rsidR="003D0321" w:rsidRDefault="003D0321">
          <w:pPr>
            <w:pStyle w:val="TM2"/>
            <w:tabs>
              <w:tab w:val="right" w:leader="dot" w:pos="9062"/>
            </w:tabs>
            <w:rPr>
              <w:rFonts w:eastAsiaTheme="minorEastAsia"/>
              <w:noProof/>
              <w:kern w:val="2"/>
              <w:lang w:eastAsia="fr-FR"/>
              <w14:ligatures w14:val="standardContextual"/>
            </w:rPr>
          </w:pPr>
          <w:hyperlink w:anchor="_Toc148697392" w:history="1">
            <w:r w:rsidRPr="00A90D9D">
              <w:rPr>
                <w:rStyle w:val="Lienhypertexte"/>
                <w:noProof/>
              </w:rPr>
              <w:t>Diode à vide</w:t>
            </w:r>
            <w:r>
              <w:rPr>
                <w:noProof/>
                <w:webHidden/>
              </w:rPr>
              <w:tab/>
            </w:r>
            <w:r>
              <w:rPr>
                <w:noProof/>
                <w:webHidden/>
              </w:rPr>
              <w:fldChar w:fldCharType="begin"/>
            </w:r>
            <w:r>
              <w:rPr>
                <w:noProof/>
                <w:webHidden/>
              </w:rPr>
              <w:instrText xml:space="preserve"> PAGEREF _Toc148697392 \h </w:instrText>
            </w:r>
            <w:r>
              <w:rPr>
                <w:noProof/>
                <w:webHidden/>
              </w:rPr>
            </w:r>
            <w:r>
              <w:rPr>
                <w:noProof/>
                <w:webHidden/>
              </w:rPr>
              <w:fldChar w:fldCharType="separate"/>
            </w:r>
            <w:r>
              <w:rPr>
                <w:noProof/>
                <w:webHidden/>
              </w:rPr>
              <w:t>4</w:t>
            </w:r>
            <w:r>
              <w:rPr>
                <w:noProof/>
                <w:webHidden/>
              </w:rPr>
              <w:fldChar w:fldCharType="end"/>
            </w:r>
          </w:hyperlink>
        </w:p>
        <w:p w14:paraId="54B13D4C" w14:textId="1AA28560" w:rsidR="003D0321" w:rsidRDefault="003D0321">
          <w:pPr>
            <w:pStyle w:val="TM2"/>
            <w:tabs>
              <w:tab w:val="right" w:leader="dot" w:pos="9062"/>
            </w:tabs>
            <w:rPr>
              <w:rFonts w:eastAsiaTheme="minorEastAsia"/>
              <w:noProof/>
              <w:kern w:val="2"/>
              <w:lang w:eastAsia="fr-FR"/>
              <w14:ligatures w14:val="standardContextual"/>
            </w:rPr>
          </w:pPr>
          <w:hyperlink w:anchor="_Toc148697393" w:history="1">
            <w:r w:rsidRPr="00A90D9D">
              <w:rPr>
                <w:rStyle w:val="Lienhypertexte"/>
                <w:noProof/>
              </w:rPr>
              <w:t>Émission Schottky</w:t>
            </w:r>
            <w:r>
              <w:rPr>
                <w:noProof/>
                <w:webHidden/>
              </w:rPr>
              <w:tab/>
            </w:r>
            <w:r>
              <w:rPr>
                <w:noProof/>
                <w:webHidden/>
              </w:rPr>
              <w:fldChar w:fldCharType="begin"/>
            </w:r>
            <w:r>
              <w:rPr>
                <w:noProof/>
                <w:webHidden/>
              </w:rPr>
              <w:instrText xml:space="preserve"> PAGEREF _Toc148697393 \h </w:instrText>
            </w:r>
            <w:r>
              <w:rPr>
                <w:noProof/>
                <w:webHidden/>
              </w:rPr>
            </w:r>
            <w:r>
              <w:rPr>
                <w:noProof/>
                <w:webHidden/>
              </w:rPr>
              <w:fldChar w:fldCharType="separate"/>
            </w:r>
            <w:r>
              <w:rPr>
                <w:noProof/>
                <w:webHidden/>
              </w:rPr>
              <w:t>4</w:t>
            </w:r>
            <w:r>
              <w:rPr>
                <w:noProof/>
                <w:webHidden/>
              </w:rPr>
              <w:fldChar w:fldCharType="end"/>
            </w:r>
          </w:hyperlink>
        </w:p>
        <w:p w14:paraId="2268661A" w14:textId="2E897044"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41B77E4F" w:rsidR="00CA5F17" w:rsidRPr="00AF4BE3" w:rsidRDefault="00454729" w:rsidP="00AF4BE3">
      <w:pPr>
        <w:pStyle w:val="Titre2"/>
        <w:rPr>
          <w:rFonts w:eastAsiaTheme="minorHAnsi"/>
        </w:rPr>
      </w:pPr>
      <w:bookmarkStart w:id="2" w:name="_Toc148535513"/>
      <w:bookmarkStart w:id="3" w:name="_Toc148697389"/>
      <w:r w:rsidRPr="00AF4BE3">
        <w:rPr>
          <w:rFonts w:eastAsiaTheme="minorHAnsi"/>
        </w:rPr>
        <w:lastRenderedPageBreak/>
        <w:t>Introduction</w:t>
      </w:r>
      <w:bookmarkEnd w:id="0"/>
      <w:bookmarkEnd w:id="1"/>
      <w:bookmarkEnd w:id="2"/>
      <w:bookmarkEnd w:id="3"/>
    </w:p>
    <w:p w14:paraId="2C44791E" w14:textId="365C9D6E" w:rsidR="002754EA" w:rsidRPr="003D0321" w:rsidRDefault="003D0321" w:rsidP="003D0321">
      <w:r w:rsidRPr="003D0321">
        <w:drawing>
          <wp:anchor distT="0" distB="0" distL="114300" distR="114300" simplePos="0" relativeHeight="251658240" behindDoc="0" locked="0" layoutInCell="1" allowOverlap="1" wp14:anchorId="1684915D" wp14:editId="3C4659F6">
            <wp:simplePos x="0" y="0"/>
            <wp:positionH relativeFrom="margin">
              <wp:align>right</wp:align>
            </wp:positionH>
            <wp:positionV relativeFrom="paragraph">
              <wp:posOffset>902970</wp:posOffset>
            </wp:positionV>
            <wp:extent cx="2095500" cy="1950720"/>
            <wp:effectExtent l="0" t="0" r="0" b="0"/>
            <wp:wrapSquare wrapText="bothSides"/>
            <wp:docPr id="132246236"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950720"/>
                    </a:xfrm>
                    <a:prstGeom prst="rect">
                      <a:avLst/>
                    </a:prstGeom>
                    <a:noFill/>
                    <a:ln>
                      <a:noFill/>
                    </a:ln>
                  </pic:spPr>
                </pic:pic>
              </a:graphicData>
            </a:graphic>
          </wp:anchor>
        </w:drawing>
      </w:r>
      <w:r w:rsidRPr="003D0321">
        <w:t>Une émission thermoïonique (ou émission thermoélectronique) est un flux d'électrons provenant d'un métal ou d'un oxyde métallique, qui est provoqué par les vibrations des atomes dues à l'énergie thermique lorsque ceux-ci parviennent à surmonter les forces électrostatiques. L'effet croît de manière importante avec l'augmentation de la température, mais est toujours présent pour les températures au-dessus du zéro absolu. Les particules chargées étaient appelées « </w:t>
      </w:r>
      <w:proofErr w:type="spellStart"/>
      <w:r w:rsidRPr="003D0321">
        <w:t>thermions</w:t>
      </w:r>
      <w:proofErr w:type="spellEnd"/>
      <w:r w:rsidRPr="003D0321">
        <w:t> » avant que l'on découvre qu'il s'agissait d'électrons.</w:t>
      </w:r>
    </w:p>
    <w:p w14:paraId="1194F6F1" w14:textId="19472B7E" w:rsidR="003D0321" w:rsidRDefault="003D0321" w:rsidP="003D0321">
      <w:r>
        <w:t>Gros plan du </w:t>
      </w:r>
      <w:r w:rsidRPr="003D0321">
        <w:t>filament</w:t>
      </w:r>
      <w:r>
        <w:t> d'une </w:t>
      </w:r>
      <w:r w:rsidRPr="003D0321">
        <w:t>lampe à vapeur de mercure basse pression</w:t>
      </w:r>
      <w:r>
        <w:t> à </w:t>
      </w:r>
      <w:r w:rsidRPr="003D0321">
        <w:t>cathode chaude</w:t>
      </w:r>
      <w:r>
        <w:t>, montrant dans sa partie centrale l'enrobage blanc (typiquement constitué d'un mélange d'oxydes de </w:t>
      </w:r>
      <w:r w:rsidRPr="003D0321">
        <w:t>baryum</w:t>
      </w:r>
      <w:r>
        <w:t>, </w:t>
      </w:r>
      <w:r w:rsidRPr="003D0321">
        <w:t>strontium</w:t>
      </w:r>
      <w:r>
        <w:t> et </w:t>
      </w:r>
      <w:r w:rsidRPr="003D0321">
        <w:t>calcium</w:t>
      </w:r>
      <w:r>
        <w:t>) responsable de l'émission thermoïonique. Au cours d'une utilisation normale, cet enrobage subit une érosion (cf. procédé de </w:t>
      </w:r>
      <w:r w:rsidRPr="003D0321">
        <w:t>pulvérisation cathodique</w:t>
      </w:r>
      <w:r>
        <w:t>) qui finit souvent par conduire à une panne de la lampe.</w:t>
      </w:r>
    </w:p>
    <w:p w14:paraId="5A52A72E" w14:textId="77777777" w:rsidR="003D0321" w:rsidRDefault="003D0321" w:rsidP="002754EA">
      <w:pPr>
        <w:pStyle w:val="NormalWeb"/>
        <w:shd w:val="clear" w:color="auto" w:fill="FFFFFF"/>
        <w:spacing w:before="120" w:beforeAutospacing="0" w:after="120" w:afterAutospacing="0"/>
      </w:pPr>
    </w:p>
    <w:p w14:paraId="7460D2D5" w14:textId="69A1A7FD" w:rsidR="003D0321" w:rsidRPr="003D0321" w:rsidRDefault="003D0321" w:rsidP="003D0321">
      <w:pPr>
        <w:pStyle w:val="Titre2"/>
      </w:pPr>
      <w:bookmarkStart w:id="4" w:name="_Toc148697390"/>
      <w:r w:rsidRPr="003D0321">
        <w:rPr>
          <w:rStyle w:val="mw-headline"/>
        </w:rPr>
        <w:t>Loi de Richardson</w:t>
      </w:r>
      <w:bookmarkEnd w:id="4"/>
    </w:p>
    <w:p w14:paraId="4185264C" w14:textId="292DE34D" w:rsidR="003D0321" w:rsidRPr="003D0321" w:rsidRDefault="003D0321" w:rsidP="003D0321">
      <w:r w:rsidRPr="003D0321">
        <w:t>Dans chaque métal, un ou deux électrons libres peuvent se déplacer d'un atome à un autre. Cela est parfois appelé « mer d'électrons ». Leur énergie suit une distribution statistique, au lieu d'être uniforme, et sous certaines conditions un électron peut avoir une énergie suffisante pour quitter le métal sans y revenir. L'énergie minimum nécessaire pour qu'un électron puisse quitter la surface est appelée le travail de sortie et varie d'un métal à l'autre. Pour les tubes électroniques, une fine couche d'oxyde métallique est souvent appliquée à la surface du métal pour obtenir un travail de sortie plus bas, ce qui facilite le départ des électrons de la surface.</w:t>
      </w:r>
    </w:p>
    <w:p w14:paraId="2C1B0142" w14:textId="4F1F9C30" w:rsidR="003D0321" w:rsidRPr="003D0321" w:rsidRDefault="003D0321" w:rsidP="003D0321">
      <w:r w:rsidRPr="003D0321">
        <w:t>L'équation de Richardson énonce que la densité de courant émis J (A/m2) est reliée à la température T par l'équation :</w:t>
      </w:r>
    </w:p>
    <w:p w14:paraId="5A739A2A" w14:textId="77777777" w:rsidR="003D0321" w:rsidRPr="003D0321" w:rsidRDefault="003D0321" w:rsidP="003D0321">
      <w:r w:rsidRPr="003D0321">
        <w:drawing>
          <wp:inline distT="0" distB="0" distL="0" distR="0" wp14:anchorId="757D686A" wp14:editId="671BAD2E">
            <wp:extent cx="1104996" cy="419136"/>
            <wp:effectExtent l="0" t="0" r="0" b="0"/>
            <wp:docPr id="820737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37202" name=""/>
                    <pic:cNvPicPr/>
                  </pic:nvPicPr>
                  <pic:blipFill>
                    <a:blip r:embed="rId10"/>
                    <a:stretch>
                      <a:fillRect/>
                    </a:stretch>
                  </pic:blipFill>
                  <pic:spPr>
                    <a:xfrm>
                      <a:off x="0" y="0"/>
                      <a:ext cx="1104996" cy="419136"/>
                    </a:xfrm>
                    <a:prstGeom prst="rect">
                      <a:avLst/>
                    </a:prstGeom>
                  </pic:spPr>
                </pic:pic>
              </a:graphicData>
            </a:graphic>
          </wp:inline>
        </w:drawing>
      </w:r>
    </w:p>
    <w:p w14:paraId="22E9300A" w14:textId="20D71B88" w:rsidR="003D0321" w:rsidRPr="003D0321" w:rsidRDefault="003D0321" w:rsidP="003D0321">
      <w:r w:rsidRPr="003D0321">
        <w:t>Où T est la température du métal en kelvins, W est le travail de sortie du métal en électrons-volts, k est la constante de Boltzmann et AG la constante de Richardson. Du fait de l'exponentielle dans l'équation, le courant émis augmente rapidement avec la température, à mesure que kT se rapproche de W (pratiquement tout métal fond avant que kT n'atteigne W), et tend à devenir proportionnel au carré de celle-ci pour les températures élevées.</w:t>
      </w:r>
    </w:p>
    <w:p w14:paraId="66E4B145" w14:textId="0C9ED847" w:rsidR="003D0321" w:rsidRPr="003D0321" w:rsidRDefault="003D0321" w:rsidP="003D0321">
      <w:r w:rsidRPr="003D0321">
        <w:t xml:space="preserve">Les équations de l'émission </w:t>
      </w:r>
      <w:proofErr w:type="spellStart"/>
      <w:r w:rsidRPr="003D0321">
        <w:t>thermoionique</w:t>
      </w:r>
      <w:proofErr w:type="spellEnd"/>
      <w:r w:rsidRPr="003D0321">
        <w:t xml:space="preserve"> sont importantes dans la conception des semi-conducteurs.</w:t>
      </w:r>
    </w:p>
    <w:p w14:paraId="6E718266" w14:textId="7B22719C" w:rsidR="003D0321" w:rsidRPr="003D0321" w:rsidRDefault="003D0321" w:rsidP="003D0321">
      <w:r w:rsidRPr="003D0321">
        <w:t>De 1911 à 1930, comme la compréhension physique du comportement des électrons dans les métaux augmente, plusieurs expressions théoriques sont proposées pour AG par Richardson, </w:t>
      </w:r>
      <w:proofErr w:type="spellStart"/>
      <w:r w:rsidRPr="003D0321">
        <w:t>Dushman</w:t>
      </w:r>
      <w:proofErr w:type="spellEnd"/>
      <w:r w:rsidRPr="003D0321">
        <w:t>, Fowler, Sommerfeld et Nordheim. Au début du </w:t>
      </w:r>
      <w:proofErr w:type="spellStart"/>
      <w:r w:rsidRPr="003D0321">
        <w:t>xxie</w:t>
      </w:r>
      <w:proofErr w:type="spellEnd"/>
      <w:r w:rsidRPr="003D0321">
        <w:t> siècle, la forme précise de cette expression est encore débattue par les spécialistes théoriques, mais il est convenu que AG devrait s'écrire sous la forme :</w:t>
      </w:r>
    </w:p>
    <w:p w14:paraId="02122C96" w14:textId="77777777" w:rsidR="003D0321" w:rsidRPr="003D0321" w:rsidRDefault="003D0321" w:rsidP="003D0321">
      <w:r w:rsidRPr="003D0321">
        <w:lastRenderedPageBreak/>
        <w:drawing>
          <wp:inline distT="0" distB="0" distL="0" distR="0" wp14:anchorId="68965D46" wp14:editId="6B853073">
            <wp:extent cx="891617" cy="243861"/>
            <wp:effectExtent l="0" t="0" r="3810" b="3810"/>
            <wp:docPr id="790275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75696" name=""/>
                    <pic:cNvPicPr/>
                  </pic:nvPicPr>
                  <pic:blipFill>
                    <a:blip r:embed="rId11"/>
                    <a:stretch>
                      <a:fillRect/>
                    </a:stretch>
                  </pic:blipFill>
                  <pic:spPr>
                    <a:xfrm>
                      <a:off x="0" y="0"/>
                      <a:ext cx="891617" cy="243861"/>
                    </a:xfrm>
                    <a:prstGeom prst="rect">
                      <a:avLst/>
                    </a:prstGeom>
                  </pic:spPr>
                </pic:pic>
              </a:graphicData>
            </a:graphic>
          </wp:inline>
        </w:drawing>
      </w:r>
    </w:p>
    <w:p w14:paraId="277D819F" w14:textId="6FA0ACCD" w:rsidR="003D0321" w:rsidRPr="003D0321" w:rsidRDefault="003D0321" w:rsidP="003D0321">
      <w:proofErr w:type="gramStart"/>
      <w:r w:rsidRPr="003D0321">
        <w:t>où</w:t>
      </w:r>
      <w:proofErr w:type="gramEnd"/>
      <w:r w:rsidRPr="003D0321">
        <w:t> </w:t>
      </w:r>
      <w:proofErr w:type="spellStart"/>
      <w:r w:rsidRPr="003D0321">
        <w:t>λR</w:t>
      </w:r>
      <w:proofErr w:type="spellEnd"/>
      <w:r w:rsidRPr="003D0321">
        <w:t> est un facteur correctif lié au matériau (d'une valeur proche de 0,5) et A0 est une constante universelle donnée par</w:t>
      </w:r>
    </w:p>
    <w:p w14:paraId="14E27D0B" w14:textId="17FCF651" w:rsidR="003D0321" w:rsidRPr="003D0321" w:rsidRDefault="003D0321" w:rsidP="003D0321">
      <w:r w:rsidRPr="003D0321">
        <w:drawing>
          <wp:inline distT="0" distB="0" distL="0" distR="0" wp14:anchorId="00B88E20" wp14:editId="433118EC">
            <wp:extent cx="3132091" cy="381033"/>
            <wp:effectExtent l="0" t="0" r="0" b="0"/>
            <wp:docPr id="951637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37545" name=""/>
                    <pic:cNvPicPr/>
                  </pic:nvPicPr>
                  <pic:blipFill>
                    <a:blip r:embed="rId12"/>
                    <a:stretch>
                      <a:fillRect/>
                    </a:stretch>
                  </pic:blipFill>
                  <pic:spPr>
                    <a:xfrm>
                      <a:off x="0" y="0"/>
                      <a:ext cx="3132091" cy="381033"/>
                    </a:xfrm>
                    <a:prstGeom prst="rect">
                      <a:avLst/>
                    </a:prstGeom>
                  </pic:spPr>
                </pic:pic>
              </a:graphicData>
            </a:graphic>
          </wp:inline>
        </w:drawing>
      </w:r>
    </w:p>
    <w:p w14:paraId="4FE3BF06" w14:textId="5ED53D53" w:rsidR="003D0321" w:rsidRPr="003D0321" w:rsidRDefault="003D0321" w:rsidP="003D0321">
      <w:proofErr w:type="gramStart"/>
      <w:r w:rsidRPr="003D0321">
        <w:t>où</w:t>
      </w:r>
      <w:proofErr w:type="gramEnd"/>
      <w:r w:rsidRPr="003D0321">
        <w:t> m et e représentent la masse et la charge de l'électron, et h est la constante de Planck.</w:t>
      </w:r>
    </w:p>
    <w:p w14:paraId="6F243393" w14:textId="77777777" w:rsidR="003D0321" w:rsidRPr="003D0321" w:rsidRDefault="003D0321" w:rsidP="003D0321">
      <w:r w:rsidRPr="003D0321">
        <w:t>Vers 1930, il y avait déjà accord sur le fait que, à cause de la nature ondulatoire de l'électron, une partie </w:t>
      </w:r>
      <w:proofErr w:type="spellStart"/>
      <w:r w:rsidRPr="003D0321">
        <w:t>rav</w:t>
      </w:r>
      <w:proofErr w:type="spellEnd"/>
      <w:r w:rsidRPr="003D0321">
        <w:t> des électrons sortants sont réfléchis lorsqu'ils atteignent la surface de l'émetteur, ce qui réduit la densité du courant d'émission : </w:t>
      </w:r>
      <w:proofErr w:type="spellStart"/>
      <w:r w:rsidRPr="003D0321">
        <w:t>λR</w:t>
      </w:r>
      <w:proofErr w:type="spellEnd"/>
      <w:r w:rsidRPr="003D0321">
        <w:t xml:space="preserve"> aurait la valeur (1-rav). C'est pourquoi l'équation de l'émission </w:t>
      </w:r>
      <w:proofErr w:type="spellStart"/>
      <w:r w:rsidRPr="003D0321">
        <w:t>thermoionique</w:t>
      </w:r>
      <w:proofErr w:type="spellEnd"/>
      <w:r w:rsidRPr="003D0321">
        <w:t xml:space="preserve"> est parfois écrite</w:t>
      </w:r>
    </w:p>
    <w:p w14:paraId="5ADB8BE8" w14:textId="5E823427" w:rsidR="003D0321" w:rsidRPr="003D0321" w:rsidRDefault="003D0321" w:rsidP="003D0321">
      <w:r w:rsidRPr="003D0321">
        <w:drawing>
          <wp:inline distT="0" distB="0" distL="0" distR="0" wp14:anchorId="460B0D44" wp14:editId="3108CD96">
            <wp:extent cx="1691787" cy="381033"/>
            <wp:effectExtent l="0" t="0" r="3810" b="0"/>
            <wp:docPr id="1381315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15039" name=""/>
                    <pic:cNvPicPr/>
                  </pic:nvPicPr>
                  <pic:blipFill>
                    <a:blip r:embed="rId13"/>
                    <a:stretch>
                      <a:fillRect/>
                    </a:stretch>
                  </pic:blipFill>
                  <pic:spPr>
                    <a:xfrm>
                      <a:off x="0" y="0"/>
                      <a:ext cx="1691787" cy="381033"/>
                    </a:xfrm>
                    <a:prstGeom prst="rect">
                      <a:avLst/>
                    </a:prstGeom>
                  </pic:spPr>
                </pic:pic>
              </a:graphicData>
            </a:graphic>
          </wp:inline>
        </w:drawing>
      </w:r>
    </w:p>
    <w:p w14:paraId="59A3B369" w14:textId="6D493E79" w:rsidR="003D0321" w:rsidRPr="003D0321" w:rsidRDefault="003D0321" w:rsidP="003D0321">
      <w:r w:rsidRPr="003D0321">
        <w:t xml:space="preserve">Cependant, un traitement théorique plus récent par </w:t>
      </w:r>
      <w:proofErr w:type="spellStart"/>
      <w:r w:rsidRPr="003D0321">
        <w:t>Modinos</w:t>
      </w:r>
      <w:proofErr w:type="spellEnd"/>
      <w:r w:rsidRPr="003D0321">
        <w:t xml:space="preserve"> fait l'hypothèse que la bande de valence du matériau émetteur doit aussi être prise en compte. Cela introduit un deuxième facteur de correction </w:t>
      </w:r>
      <w:proofErr w:type="spellStart"/>
      <w:r w:rsidRPr="003D0321">
        <w:t>λB</w:t>
      </w:r>
      <w:proofErr w:type="spellEnd"/>
      <w:r w:rsidRPr="003D0321">
        <w:t> pour </w:t>
      </w:r>
      <w:proofErr w:type="spellStart"/>
      <w:r w:rsidRPr="003D0321">
        <w:t>λR</w:t>
      </w:r>
      <w:proofErr w:type="spellEnd"/>
      <w:r w:rsidRPr="003D0321">
        <w:t>, ce qui donne</w:t>
      </w:r>
    </w:p>
    <w:p w14:paraId="339326B6" w14:textId="31A8C1CD" w:rsidR="003D0321" w:rsidRPr="003D0321" w:rsidRDefault="003D0321" w:rsidP="003D0321">
      <w:r w:rsidRPr="003D0321">
        <w:t> </w:t>
      </w:r>
      <w:r w:rsidRPr="003D0321">
        <w:drawing>
          <wp:inline distT="0" distB="0" distL="0" distR="0" wp14:anchorId="0BF96288" wp14:editId="7945C26F">
            <wp:extent cx="1501270" cy="320068"/>
            <wp:effectExtent l="0" t="0" r="3810" b="3810"/>
            <wp:docPr id="832127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7489" name=""/>
                    <pic:cNvPicPr/>
                  </pic:nvPicPr>
                  <pic:blipFill>
                    <a:blip r:embed="rId14"/>
                    <a:stretch>
                      <a:fillRect/>
                    </a:stretch>
                  </pic:blipFill>
                  <pic:spPr>
                    <a:xfrm>
                      <a:off x="0" y="0"/>
                      <a:ext cx="1501270" cy="320068"/>
                    </a:xfrm>
                    <a:prstGeom prst="rect">
                      <a:avLst/>
                    </a:prstGeom>
                  </pic:spPr>
                </pic:pic>
              </a:graphicData>
            </a:graphic>
          </wp:inline>
        </w:drawing>
      </w:r>
    </w:p>
    <w:p w14:paraId="2F40EF62" w14:textId="51A22C6C" w:rsidR="003D0321" w:rsidRPr="003D0321" w:rsidRDefault="003D0321" w:rsidP="003D0321">
      <w:r w:rsidRPr="003D0321">
        <w:t>Les valeurs expérimentales du coefficient AG sont généralement du même ordre de grandeur que A0, mais diffèrent sensiblement entre les matériaux émetteurs, ainsi que selon la face cristallographique du même matériau. De façon qualitative, ces différences expérimentales s'expliquent par des valeurs différentes de </w:t>
      </w:r>
      <w:proofErr w:type="spellStart"/>
      <w:r w:rsidRPr="003D0321">
        <w:t>λR</w:t>
      </w:r>
      <w:proofErr w:type="spellEnd"/>
      <w:r w:rsidRPr="003D0321">
        <w:t>.</w:t>
      </w:r>
    </w:p>
    <w:p w14:paraId="692C3F37" w14:textId="77777777" w:rsidR="003D0321" w:rsidRPr="003D0321" w:rsidRDefault="003D0321" w:rsidP="003D0321">
      <w:r w:rsidRPr="003D0321">
        <w:t>Une confusion importante existe dans la littérature à ce sujet car : (1) plusieurs articles ne distinguent pas AG de A0, n'utilisant que A (ou parfois le terme « constante de Richardson ») ; (2) les équations qui ont recours ou non au facteur de correction (</w:t>
      </w:r>
      <w:proofErr w:type="spellStart"/>
      <w:r w:rsidRPr="003D0321">
        <w:t>λR</w:t>
      </w:r>
      <w:proofErr w:type="spellEnd"/>
      <w:r w:rsidRPr="003D0321">
        <w:t xml:space="preserve">) reçoivent le même nom ; et (3) différents noms sont donnés à ces équations, dont « équation de Richardson », « équation de </w:t>
      </w:r>
      <w:proofErr w:type="spellStart"/>
      <w:r w:rsidRPr="003D0321">
        <w:t>Dushman</w:t>
      </w:r>
      <w:proofErr w:type="spellEnd"/>
      <w:r w:rsidRPr="003D0321">
        <w:t> », « équation de Richardson-</w:t>
      </w:r>
      <w:proofErr w:type="spellStart"/>
      <w:r w:rsidRPr="003D0321">
        <w:t>Dushman</w:t>
      </w:r>
      <w:proofErr w:type="spellEnd"/>
      <w:r w:rsidRPr="003D0321">
        <w:t> » et « équation de Richardson-Laue-</w:t>
      </w:r>
      <w:proofErr w:type="spellStart"/>
      <w:r w:rsidRPr="003D0321">
        <w:t>Dushman</w:t>
      </w:r>
      <w:proofErr w:type="spellEnd"/>
      <w:r w:rsidRPr="003D0321">
        <w:t> ».</w:t>
      </w:r>
    </w:p>
    <w:p w14:paraId="7D0DB975" w14:textId="6DCCC2FD" w:rsidR="003D0321" w:rsidRDefault="003D0321" w:rsidP="003D0321">
      <w:pPr>
        <w:pStyle w:val="NormalWeb"/>
        <w:shd w:val="clear" w:color="auto" w:fill="FFFFFF"/>
        <w:spacing w:before="120" w:beforeAutospacing="0" w:after="120" w:afterAutospacing="0"/>
        <w:rPr>
          <w:rFonts w:ascii="Arial" w:hAnsi="Arial" w:cs="Arial"/>
          <w:color w:val="202122"/>
          <w:sz w:val="21"/>
          <w:szCs w:val="21"/>
        </w:rPr>
      </w:pPr>
    </w:p>
    <w:p w14:paraId="61821F28" w14:textId="07DCC465" w:rsidR="003D0321" w:rsidRPr="003D0321" w:rsidRDefault="003D0321" w:rsidP="003D0321">
      <w:pPr>
        <w:pStyle w:val="Titre2"/>
      </w:pPr>
      <w:bookmarkStart w:id="5" w:name="_Toc148697391"/>
      <w:r>
        <w:rPr>
          <w:noProof/>
        </w:rPr>
        <w:lastRenderedPageBreak/>
        <mc:AlternateContent>
          <mc:Choice Requires="wps">
            <w:drawing>
              <wp:anchor distT="0" distB="0" distL="114300" distR="114300" simplePos="0" relativeHeight="251661312" behindDoc="0" locked="0" layoutInCell="1" allowOverlap="1" wp14:anchorId="3B6706F2" wp14:editId="5A6C7BC0">
                <wp:simplePos x="0" y="0"/>
                <wp:positionH relativeFrom="column">
                  <wp:posOffset>4663440</wp:posOffset>
                </wp:positionH>
                <wp:positionV relativeFrom="paragraph">
                  <wp:posOffset>3130550</wp:posOffset>
                </wp:positionV>
                <wp:extent cx="1097280" cy="635"/>
                <wp:effectExtent l="0" t="0" r="0" b="0"/>
                <wp:wrapSquare wrapText="bothSides"/>
                <wp:docPr id="321009097" name="Zone de texte 1"/>
                <wp:cNvGraphicFramePr/>
                <a:graphic xmlns:a="http://schemas.openxmlformats.org/drawingml/2006/main">
                  <a:graphicData uri="http://schemas.microsoft.com/office/word/2010/wordprocessingShape">
                    <wps:wsp>
                      <wps:cNvSpPr txBox="1"/>
                      <wps:spPr>
                        <a:xfrm>
                          <a:off x="0" y="0"/>
                          <a:ext cx="1097280" cy="635"/>
                        </a:xfrm>
                        <a:prstGeom prst="rect">
                          <a:avLst/>
                        </a:prstGeom>
                        <a:solidFill>
                          <a:prstClr val="white"/>
                        </a:solidFill>
                        <a:ln>
                          <a:noFill/>
                        </a:ln>
                      </wps:spPr>
                      <wps:txbx>
                        <w:txbxContent>
                          <w:p w14:paraId="2405D11F" w14:textId="3EDEC480" w:rsidR="003D0321" w:rsidRPr="00F25441" w:rsidRDefault="003D0321" w:rsidP="003D0321">
                            <w:pPr>
                              <w:pStyle w:val="Lgende"/>
                              <w:jc w:val="center"/>
                              <w:rPr>
                                <w:b/>
                                <w:noProof/>
                                <w:color w:val="3366CC"/>
                                <w:bdr w:val="none" w:sz="0" w:space="0" w:color="auto" w:frame="1"/>
                              </w:rPr>
                            </w:pPr>
                            <w:r w:rsidRPr="003950D8">
                              <w:t>L'effet Edison dans une diode à vide. Celle-ci est connectée de deux façons : en direct, les électrons circulent ; en inverse, il n'y a aucun flux. Les flèches représentent la circulation d'électrons dans le vide.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6706F2" id="_x0000_t202" coordsize="21600,21600" o:spt="202" path="m,l,21600r21600,l21600,xe">
                <v:stroke joinstyle="miter"/>
                <v:path gradientshapeok="t" o:connecttype="rect"/>
              </v:shapetype>
              <v:shape id="Zone de texte 1" o:spid="_x0000_s1026" type="#_x0000_t202" style="position:absolute;left:0;text-align:left;margin-left:367.2pt;margin-top:246.5pt;width:86.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6q/FAIAADgEAAAOAAAAZHJzL2Uyb0RvYy54bWysU8GO0zAQvSPxD5bvNG0Ryx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" stroked="f">
                <v:textbox style="mso-fit-shape-to-text:t" inset="0,0,0,0">
                  <w:txbxContent>
                    <w:p w14:paraId="2405D11F" w14:textId="3EDEC480" w:rsidR="003D0321" w:rsidRPr="00F25441" w:rsidRDefault="003D0321" w:rsidP="003D0321">
                      <w:pPr>
                        <w:pStyle w:val="Lgende"/>
                        <w:jc w:val="center"/>
                        <w:rPr>
                          <w:b/>
                          <w:noProof/>
                          <w:color w:val="3366CC"/>
                          <w:bdr w:val="none" w:sz="0" w:space="0" w:color="auto" w:frame="1"/>
                        </w:rPr>
                      </w:pPr>
                      <w:r w:rsidRPr="003950D8">
                        <w:t>L'effet Edison dans une diode à vide. Celle-ci est connectée de deux façons : en direct, les électrons circulent ; en inverse, il n'y a aucun flux. Les flèches représentent la circulation d'électrons dans le vide.</w:t>
                      </w:r>
                    </w:p>
                  </w:txbxContent>
                </v:textbox>
                <w10:wrap type="square"/>
              </v:shape>
            </w:pict>
          </mc:Fallback>
        </mc:AlternateContent>
      </w:r>
      <w:r>
        <w:rPr>
          <w:noProof/>
          <w:color w:val="3366CC"/>
          <w:bdr w:val="none" w:sz="0" w:space="0" w:color="auto" w:frame="1"/>
        </w:rPr>
        <w:drawing>
          <wp:anchor distT="0" distB="0" distL="114300" distR="114300" simplePos="0" relativeHeight="251659264" behindDoc="0" locked="0" layoutInCell="1" allowOverlap="1" wp14:anchorId="73E0065B" wp14:editId="7D380F55">
            <wp:simplePos x="0" y="0"/>
            <wp:positionH relativeFrom="margin">
              <wp:align>right</wp:align>
            </wp:positionH>
            <wp:positionV relativeFrom="paragraph">
              <wp:posOffset>6985</wp:posOffset>
            </wp:positionV>
            <wp:extent cx="1097280" cy="3162300"/>
            <wp:effectExtent l="0" t="0" r="0" b="0"/>
            <wp:wrapSquare wrapText="bothSides"/>
            <wp:docPr id="83002658" name="Imag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7280" cy="3162300"/>
                    </a:xfrm>
                    <a:prstGeom prst="rect">
                      <a:avLst/>
                    </a:prstGeom>
                    <a:noFill/>
                    <a:ln>
                      <a:noFill/>
                    </a:ln>
                  </pic:spPr>
                </pic:pic>
              </a:graphicData>
            </a:graphic>
          </wp:anchor>
        </w:drawing>
      </w:r>
      <w:r w:rsidRPr="003D0321">
        <w:rPr>
          <w:rStyle w:val="mw-headline"/>
        </w:rPr>
        <w:t>Effet Edison</w:t>
      </w:r>
      <w:bookmarkEnd w:id="5"/>
    </w:p>
    <w:p w14:paraId="032422BB" w14:textId="4F4374AD" w:rsidR="003D0321" w:rsidRPr="003D0321" w:rsidRDefault="003D0321" w:rsidP="003D0321">
      <w:r w:rsidRPr="003D0321">
        <w:t xml:space="preserve">L'effet est redécouvert accidentellement en 1880, par Thomas Edison, alors qu'il essaie d'expliquer la rupture du filament et le noircissement du verre des lampes incandescentes. Edison construit une ampoule dont la surface interne est recouverte d'une feuille d'étain. Quand il connecte la feuille au filament au travers d'un galvanomètre, en appliquant une tension négative à la feuille par rapport au filament, rien ne se passe. Mais, quand il augmente la tension de la feuille de manière à atteindre une tension positive par rapport au filament, une petite circulation de courant est indiquée par le galvanomètre : des électrons sont émis par le filament chaud et attirés par la feuille, fermant ainsi le circuit. Cette </w:t>
      </w:r>
      <w:proofErr w:type="spellStart"/>
      <w:r w:rsidRPr="003D0321">
        <w:t>unidirectionalité</w:t>
      </w:r>
      <w:proofErr w:type="spellEnd"/>
      <w:r w:rsidRPr="003D0321">
        <w:t xml:space="preserve"> du courant est appelée effet Edison (ce terme est parfois utilisé comme référence à l'effet </w:t>
      </w:r>
      <w:proofErr w:type="spellStart"/>
      <w:r w:rsidRPr="003D0321">
        <w:t>thermoionique</w:t>
      </w:r>
      <w:proofErr w:type="spellEnd"/>
      <w:r w:rsidRPr="003D0321">
        <w:t xml:space="preserve"> lui-même). Bien qu'Edison ne voie pas d'application pour cet effet, il le brevette en 1883 et ne l'étudiera plus.</w:t>
      </w:r>
    </w:p>
    <w:p w14:paraId="4BF91833" w14:textId="77777777" w:rsidR="003D0321" w:rsidRDefault="003D0321" w:rsidP="003D0321">
      <w:pPr>
        <w:rPr>
          <w:rFonts w:ascii="Arial" w:hAnsi="Arial" w:cs="Arial"/>
          <w:color w:val="202122"/>
          <w:sz w:val="21"/>
          <w:szCs w:val="21"/>
        </w:rPr>
      </w:pPr>
    </w:p>
    <w:p w14:paraId="1C55240C" w14:textId="44E7DA08" w:rsidR="003D0321" w:rsidRPr="003D0321" w:rsidRDefault="003D0321" w:rsidP="003D0321">
      <w:pPr>
        <w:pStyle w:val="Titre2"/>
      </w:pPr>
      <w:bookmarkStart w:id="6" w:name="_Toc148697392"/>
      <w:r w:rsidRPr="003D0321">
        <w:rPr>
          <w:rStyle w:val="mw-headline"/>
        </w:rPr>
        <w:t>Diode à vide</w:t>
      </w:r>
      <w:bookmarkEnd w:id="6"/>
    </w:p>
    <w:p w14:paraId="0954981D" w14:textId="67AF883C" w:rsidR="003D0321" w:rsidRPr="003D0321" w:rsidRDefault="003D0321" w:rsidP="003D0321">
      <w:r w:rsidRPr="003D0321">
        <w:t xml:space="preserve">Le physicien anglais John Ambrose Fleming, alors qu'il travaille pour la société Wireless </w:t>
      </w:r>
      <w:proofErr w:type="spellStart"/>
      <w:r w:rsidRPr="003D0321">
        <w:t>Telegraphy</w:t>
      </w:r>
      <w:proofErr w:type="spellEnd"/>
      <w:r w:rsidRPr="003D0321">
        <w:t xml:space="preserve">, découvre que l'effet Edison peut être utilisé pour la détection des ondes radios. Fleming développe un tube électronique à </w:t>
      </w:r>
      <w:proofErr w:type="gramStart"/>
      <w:r w:rsidRPr="003D0321">
        <w:t>deux éléments connu</w:t>
      </w:r>
      <w:proofErr w:type="gramEnd"/>
      <w:r w:rsidRPr="003D0321">
        <w:t xml:space="preserve"> sous le nom de diode à vide, qu'il brevette le 16 novembre 1904. La diode thermoïonique peut aussi être configurée comme un convertisseur entre différence de chaleur et énergie électrique sans pièce mobile.</w:t>
      </w:r>
    </w:p>
    <w:p w14:paraId="75CBCC9F" w14:textId="77777777" w:rsidR="003D0321" w:rsidRDefault="003D0321" w:rsidP="003D0321">
      <w:pPr>
        <w:pStyle w:val="NormalWeb"/>
        <w:shd w:val="clear" w:color="auto" w:fill="FFFFFF"/>
        <w:spacing w:before="120" w:beforeAutospacing="0" w:after="120" w:afterAutospacing="0"/>
        <w:rPr>
          <w:rFonts w:ascii="Arial" w:hAnsi="Arial" w:cs="Arial"/>
          <w:color w:val="202122"/>
          <w:sz w:val="21"/>
          <w:szCs w:val="21"/>
        </w:rPr>
      </w:pPr>
    </w:p>
    <w:p w14:paraId="262BA9F7" w14:textId="6E870AE6" w:rsidR="003D0321" w:rsidRPr="003D0321" w:rsidRDefault="003D0321" w:rsidP="003D0321">
      <w:pPr>
        <w:pStyle w:val="Titre2"/>
      </w:pPr>
      <w:bookmarkStart w:id="7" w:name="_Toc148697393"/>
      <w:r w:rsidRPr="003D0321">
        <w:rPr>
          <w:rStyle w:val="mw-headline"/>
        </w:rPr>
        <w:t>Émission Schottky</w:t>
      </w:r>
      <w:bookmarkEnd w:id="7"/>
    </w:p>
    <w:p w14:paraId="29F03CB1" w14:textId="6ACBD535" w:rsidR="003D0321" w:rsidRDefault="003D0321" w:rsidP="003D0321">
      <w:r>
        <w:t>L'effet Schottky ou « amplification par effet de champ de l'émission thermoïonique » est une amplification de l'émission thermoïonique dans des dispositifs émetteurs d'électrons (</w:t>
      </w:r>
      <w:r w:rsidRPr="003D0321">
        <w:t>canon à électrons</w:t>
      </w:r>
      <w:r>
        <w:t> par exemple). Cette émission d'électron provoque une différence de potentiel locale négative sur la zone d'émission, créant un </w:t>
      </w:r>
      <w:r w:rsidRPr="003D0321">
        <w:t>champ électrique</w:t>
      </w:r>
      <w:r>
        <w:t> qui va abaisser la </w:t>
      </w:r>
      <w:r w:rsidRPr="003D0321">
        <w:t>barrière de potentiel</w:t>
      </w:r>
      <w:r>
        <w:t> à l'émission d'électrons.</w:t>
      </w:r>
    </w:p>
    <w:p w14:paraId="7AD2E64E" w14:textId="77777777" w:rsidR="003D0321" w:rsidRPr="002754EA" w:rsidRDefault="003D0321" w:rsidP="003D0321">
      <w:pPr>
        <w:pStyle w:val="NormalWeb"/>
        <w:shd w:val="clear" w:color="auto" w:fill="FFFFFF"/>
        <w:spacing w:before="120" w:beforeAutospacing="0" w:after="120" w:afterAutospacing="0"/>
        <w:rPr>
          <w:rFonts w:ascii="Arial" w:hAnsi="Arial" w:cs="Arial"/>
          <w:color w:val="202122"/>
          <w:sz w:val="21"/>
          <w:szCs w:val="21"/>
        </w:rPr>
      </w:pPr>
    </w:p>
    <w:sectPr w:rsidR="003D0321" w:rsidRPr="002754EA">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870F7" w14:textId="77777777" w:rsidR="00950B98" w:rsidRDefault="00950B98" w:rsidP="00B33482">
      <w:pPr>
        <w:spacing w:after="0" w:line="240" w:lineRule="auto"/>
      </w:pPr>
      <w:r>
        <w:separator/>
      </w:r>
    </w:p>
  </w:endnote>
  <w:endnote w:type="continuationSeparator" w:id="0">
    <w:p w14:paraId="7F4E8D85" w14:textId="77777777" w:rsidR="00950B98" w:rsidRDefault="00950B9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249F5" w14:textId="77777777" w:rsidR="00950B98" w:rsidRDefault="00950B98" w:rsidP="00B33482">
      <w:pPr>
        <w:spacing w:after="0" w:line="240" w:lineRule="auto"/>
      </w:pPr>
      <w:r>
        <w:separator/>
      </w:r>
    </w:p>
  </w:footnote>
  <w:footnote w:type="continuationSeparator" w:id="0">
    <w:p w14:paraId="0AB7F78A" w14:textId="77777777" w:rsidR="00950B98" w:rsidRDefault="00950B9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2CA493F1" w:rsidR="00464474" w:rsidRDefault="00005CC2" w:rsidP="00464474">
    <w:pPr>
      <w:rPr>
        <w:rFonts w:ascii="Georgia" w:hAnsi="Georgia"/>
        <w:color w:val="000000"/>
        <w:sz w:val="43"/>
        <w:szCs w:val="43"/>
      </w:rPr>
    </w:pPr>
    <w:r>
      <w:t>PHYSIQUE</w:t>
    </w:r>
    <w:r w:rsidR="00C613C3">
      <w:t xml:space="preserve"> – </w:t>
    </w:r>
    <w:r w:rsidR="003D0321" w:rsidRPr="003D0321">
      <w:t xml:space="preserve">Émission </w:t>
    </w:r>
    <w:proofErr w:type="spellStart"/>
    <w:r w:rsidR="003D0321" w:rsidRPr="003D0321">
      <w:t>thermoionique</w:t>
    </w:r>
    <w:proofErr w:type="spellEnd"/>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7"/>
  </w:num>
  <w:num w:numId="2" w16cid:durableId="581375566">
    <w:abstractNumId w:val="116"/>
  </w:num>
  <w:num w:numId="3" w16cid:durableId="1094352752">
    <w:abstractNumId w:val="71"/>
  </w:num>
  <w:num w:numId="4" w16cid:durableId="1174489643">
    <w:abstractNumId w:val="24"/>
  </w:num>
  <w:num w:numId="5" w16cid:durableId="1762679014">
    <w:abstractNumId w:val="155"/>
  </w:num>
  <w:num w:numId="6" w16cid:durableId="896206683">
    <w:abstractNumId w:val="108"/>
  </w:num>
  <w:num w:numId="7" w16cid:durableId="1648046403">
    <w:abstractNumId w:val="68"/>
  </w:num>
  <w:num w:numId="8" w16cid:durableId="629019133">
    <w:abstractNumId w:val="85"/>
  </w:num>
  <w:num w:numId="9" w16cid:durableId="1169637920">
    <w:abstractNumId w:val="1"/>
  </w:num>
  <w:num w:numId="10" w16cid:durableId="1337419243">
    <w:abstractNumId w:val="69"/>
  </w:num>
  <w:num w:numId="11" w16cid:durableId="205603185">
    <w:abstractNumId w:val="97"/>
  </w:num>
  <w:num w:numId="12" w16cid:durableId="1069234598">
    <w:abstractNumId w:val="67"/>
  </w:num>
  <w:num w:numId="13" w16cid:durableId="1163860772">
    <w:abstractNumId w:val="10"/>
  </w:num>
  <w:num w:numId="14" w16cid:durableId="821313274">
    <w:abstractNumId w:val="115"/>
  </w:num>
  <w:num w:numId="15" w16cid:durableId="1073504008">
    <w:abstractNumId w:val="31"/>
  </w:num>
  <w:num w:numId="16" w16cid:durableId="2029209122">
    <w:abstractNumId w:val="20"/>
  </w:num>
  <w:num w:numId="17" w16cid:durableId="213931493">
    <w:abstractNumId w:val="57"/>
  </w:num>
  <w:num w:numId="18" w16cid:durableId="1976257205">
    <w:abstractNumId w:val="7"/>
  </w:num>
  <w:num w:numId="19" w16cid:durableId="1397123389">
    <w:abstractNumId w:val="107"/>
  </w:num>
  <w:num w:numId="20" w16cid:durableId="882794596">
    <w:abstractNumId w:val="124"/>
  </w:num>
  <w:num w:numId="21" w16cid:durableId="443426013">
    <w:abstractNumId w:val="4"/>
  </w:num>
  <w:num w:numId="22" w16cid:durableId="1862938829">
    <w:abstractNumId w:val="135"/>
  </w:num>
  <w:num w:numId="23" w16cid:durableId="1958442460">
    <w:abstractNumId w:val="148"/>
  </w:num>
  <w:num w:numId="24" w16cid:durableId="1906716218">
    <w:abstractNumId w:val="63"/>
  </w:num>
  <w:num w:numId="25" w16cid:durableId="1005131902">
    <w:abstractNumId w:val="158"/>
  </w:num>
  <w:num w:numId="26" w16cid:durableId="1129587002">
    <w:abstractNumId w:val="25"/>
  </w:num>
  <w:num w:numId="27" w16cid:durableId="1315839072">
    <w:abstractNumId w:val="118"/>
  </w:num>
  <w:num w:numId="28" w16cid:durableId="1031808116">
    <w:abstractNumId w:val="146"/>
  </w:num>
  <w:num w:numId="29" w16cid:durableId="6560330">
    <w:abstractNumId w:val="59"/>
  </w:num>
  <w:num w:numId="30" w16cid:durableId="634481375">
    <w:abstractNumId w:val="70"/>
  </w:num>
  <w:num w:numId="31" w16cid:durableId="718240263">
    <w:abstractNumId w:val="90"/>
  </w:num>
  <w:num w:numId="32" w16cid:durableId="538663953">
    <w:abstractNumId w:val="79"/>
  </w:num>
  <w:num w:numId="33" w16cid:durableId="1533810691">
    <w:abstractNumId w:val="84"/>
  </w:num>
  <w:num w:numId="34" w16cid:durableId="1312367336">
    <w:abstractNumId w:val="130"/>
  </w:num>
  <w:num w:numId="35" w16cid:durableId="1105688538">
    <w:abstractNumId w:val="5"/>
  </w:num>
  <w:num w:numId="36" w16cid:durableId="1255674411">
    <w:abstractNumId w:val="0"/>
  </w:num>
  <w:num w:numId="37" w16cid:durableId="1029911488">
    <w:abstractNumId w:val="41"/>
  </w:num>
  <w:num w:numId="38" w16cid:durableId="1259485206">
    <w:abstractNumId w:val="110"/>
  </w:num>
  <w:num w:numId="39" w16cid:durableId="1179272545">
    <w:abstractNumId w:val="137"/>
  </w:num>
  <w:num w:numId="40" w16cid:durableId="1820464138">
    <w:abstractNumId w:val="152"/>
  </w:num>
  <w:num w:numId="41" w16cid:durableId="2026592149">
    <w:abstractNumId w:val="88"/>
  </w:num>
  <w:num w:numId="42" w16cid:durableId="562326196">
    <w:abstractNumId w:val="76"/>
  </w:num>
  <w:num w:numId="43" w16cid:durableId="122312765">
    <w:abstractNumId w:val="12"/>
  </w:num>
  <w:num w:numId="44" w16cid:durableId="587497021">
    <w:abstractNumId w:val="145"/>
  </w:num>
  <w:num w:numId="45" w16cid:durableId="662120367">
    <w:abstractNumId w:val="109"/>
  </w:num>
  <w:num w:numId="46" w16cid:durableId="893391194">
    <w:abstractNumId w:val="49"/>
  </w:num>
  <w:num w:numId="47" w16cid:durableId="406725861">
    <w:abstractNumId w:val="134"/>
  </w:num>
  <w:num w:numId="48" w16cid:durableId="458114067">
    <w:abstractNumId w:val="119"/>
  </w:num>
  <w:num w:numId="49" w16cid:durableId="1337656295">
    <w:abstractNumId w:val="28"/>
  </w:num>
  <w:num w:numId="50" w16cid:durableId="1478305467">
    <w:abstractNumId w:val="132"/>
  </w:num>
  <w:num w:numId="51" w16cid:durableId="853112654">
    <w:abstractNumId w:val="15"/>
  </w:num>
  <w:num w:numId="52" w16cid:durableId="557713865">
    <w:abstractNumId w:val="50"/>
  </w:num>
  <w:num w:numId="53" w16cid:durableId="1584726950">
    <w:abstractNumId w:val="52"/>
  </w:num>
  <w:num w:numId="54" w16cid:durableId="742064760">
    <w:abstractNumId w:val="104"/>
  </w:num>
  <w:num w:numId="55" w16cid:durableId="888497133">
    <w:abstractNumId w:val="46"/>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3"/>
  </w:num>
  <w:num w:numId="61" w16cid:durableId="246234154">
    <w:abstractNumId w:val="66"/>
  </w:num>
  <w:num w:numId="62" w16cid:durableId="959650031">
    <w:abstractNumId w:val="64"/>
  </w:num>
  <w:num w:numId="63" w16cid:durableId="1789203277">
    <w:abstractNumId w:val="111"/>
  </w:num>
  <w:num w:numId="64" w16cid:durableId="690835480">
    <w:abstractNumId w:val="151"/>
  </w:num>
  <w:num w:numId="65" w16cid:durableId="1220824685">
    <w:abstractNumId w:val="30"/>
  </w:num>
  <w:num w:numId="66" w16cid:durableId="494686181">
    <w:abstractNumId w:val="75"/>
  </w:num>
  <w:num w:numId="67" w16cid:durableId="1357000717">
    <w:abstractNumId w:val="96"/>
  </w:num>
  <w:num w:numId="68" w16cid:durableId="1082530869">
    <w:abstractNumId w:val="39"/>
  </w:num>
  <w:num w:numId="69" w16cid:durableId="1335916621">
    <w:abstractNumId w:val="3"/>
  </w:num>
  <w:num w:numId="70" w16cid:durableId="2053069146">
    <w:abstractNumId w:val="80"/>
  </w:num>
  <w:num w:numId="71" w16cid:durableId="1596672439">
    <w:abstractNumId w:val="47"/>
  </w:num>
  <w:num w:numId="72" w16cid:durableId="124934970">
    <w:abstractNumId w:val="127"/>
  </w:num>
  <w:num w:numId="73" w16cid:durableId="1395007703">
    <w:abstractNumId w:val="120"/>
  </w:num>
  <w:num w:numId="74" w16cid:durableId="336150262">
    <w:abstractNumId w:val="36"/>
  </w:num>
  <w:num w:numId="75" w16cid:durableId="336343756">
    <w:abstractNumId w:val="129"/>
  </w:num>
  <w:num w:numId="76" w16cid:durableId="1600795024">
    <w:abstractNumId w:val="38"/>
  </w:num>
  <w:num w:numId="77" w16cid:durableId="877089110">
    <w:abstractNumId w:val="21"/>
  </w:num>
  <w:num w:numId="78" w16cid:durableId="250820300">
    <w:abstractNumId w:val="156"/>
  </w:num>
  <w:num w:numId="79" w16cid:durableId="839854252">
    <w:abstractNumId w:val="53"/>
  </w:num>
  <w:num w:numId="80" w16cid:durableId="1337921792">
    <w:abstractNumId w:val="114"/>
  </w:num>
  <w:num w:numId="81" w16cid:durableId="84542406">
    <w:abstractNumId w:val="26"/>
  </w:num>
  <w:num w:numId="82" w16cid:durableId="1835299548">
    <w:abstractNumId w:val="54"/>
  </w:num>
  <w:num w:numId="83" w16cid:durableId="1878202634">
    <w:abstractNumId w:val="113"/>
  </w:num>
  <w:num w:numId="84" w16cid:durableId="1445688562">
    <w:abstractNumId w:val="37"/>
  </w:num>
  <w:num w:numId="85" w16cid:durableId="282033197">
    <w:abstractNumId w:val="105"/>
  </w:num>
  <w:num w:numId="86" w16cid:durableId="1285574814">
    <w:abstractNumId w:val="58"/>
  </w:num>
  <w:num w:numId="87" w16cid:durableId="1802961801">
    <w:abstractNumId w:val="77"/>
  </w:num>
  <w:num w:numId="88" w16cid:durableId="1061322421">
    <w:abstractNumId w:val="82"/>
  </w:num>
  <w:num w:numId="89" w16cid:durableId="2112816559">
    <w:abstractNumId w:val="44"/>
  </w:num>
  <w:num w:numId="90" w16cid:durableId="1209032435">
    <w:abstractNumId w:val="128"/>
  </w:num>
  <w:num w:numId="91" w16cid:durableId="188956827">
    <w:abstractNumId w:val="13"/>
  </w:num>
  <w:num w:numId="92" w16cid:durableId="393552614">
    <w:abstractNumId w:val="100"/>
  </w:num>
  <w:num w:numId="93" w16cid:durableId="1386611279">
    <w:abstractNumId w:val="98"/>
  </w:num>
  <w:num w:numId="94" w16cid:durableId="1569992820">
    <w:abstractNumId w:val="157"/>
  </w:num>
  <w:num w:numId="95" w16cid:durableId="2107801309">
    <w:abstractNumId w:val="23"/>
  </w:num>
  <w:num w:numId="96" w16cid:durableId="1002510220">
    <w:abstractNumId w:val="74"/>
  </w:num>
  <w:num w:numId="97" w16cid:durableId="631594086">
    <w:abstractNumId w:val="16"/>
  </w:num>
  <w:num w:numId="98" w16cid:durableId="1751846225">
    <w:abstractNumId w:val="136"/>
  </w:num>
  <w:num w:numId="99" w16cid:durableId="1763718308">
    <w:abstractNumId w:val="154"/>
  </w:num>
  <w:num w:numId="100" w16cid:durableId="1867448333">
    <w:abstractNumId w:val="18"/>
  </w:num>
  <w:num w:numId="101" w16cid:durableId="1630892262">
    <w:abstractNumId w:val="29"/>
  </w:num>
  <w:num w:numId="102" w16cid:durableId="1156603054">
    <w:abstractNumId w:val="141"/>
  </w:num>
  <w:num w:numId="103" w16cid:durableId="340543903">
    <w:abstractNumId w:val="81"/>
  </w:num>
  <w:num w:numId="104" w16cid:durableId="2137292113">
    <w:abstractNumId w:val="17"/>
  </w:num>
  <w:num w:numId="105" w16cid:durableId="1633828651">
    <w:abstractNumId w:val="117"/>
  </w:num>
  <w:num w:numId="106" w16cid:durableId="25370556">
    <w:abstractNumId w:val="42"/>
  </w:num>
  <w:num w:numId="107" w16cid:durableId="326136542">
    <w:abstractNumId w:val="8"/>
  </w:num>
  <w:num w:numId="108" w16cid:durableId="1102259149">
    <w:abstractNumId w:val="22"/>
  </w:num>
  <w:num w:numId="109" w16cid:durableId="272633632">
    <w:abstractNumId w:val="122"/>
  </w:num>
  <w:num w:numId="110" w16cid:durableId="1064108692">
    <w:abstractNumId w:val="19"/>
  </w:num>
  <w:num w:numId="111" w16cid:durableId="2082218871">
    <w:abstractNumId w:val="89"/>
  </w:num>
  <w:num w:numId="112" w16cid:durableId="1184587901">
    <w:abstractNumId w:val="142"/>
  </w:num>
  <w:num w:numId="113" w16cid:durableId="387850306">
    <w:abstractNumId w:val="78"/>
  </w:num>
  <w:num w:numId="114" w16cid:durableId="1265649271">
    <w:abstractNumId w:val="61"/>
  </w:num>
  <w:num w:numId="115" w16cid:durableId="1774781789">
    <w:abstractNumId w:val="35"/>
  </w:num>
  <w:num w:numId="116" w16cid:durableId="890503398">
    <w:abstractNumId w:val="126"/>
  </w:num>
  <w:num w:numId="117" w16cid:durableId="1153645522">
    <w:abstractNumId w:val="138"/>
  </w:num>
  <w:num w:numId="118" w16cid:durableId="846822846">
    <w:abstractNumId w:val="51"/>
  </w:num>
  <w:num w:numId="119" w16cid:durableId="1483350469">
    <w:abstractNumId w:val="92"/>
  </w:num>
  <w:num w:numId="120" w16cid:durableId="1839073719">
    <w:abstractNumId w:val="123"/>
  </w:num>
  <w:num w:numId="121" w16cid:durableId="1897666314">
    <w:abstractNumId w:val="144"/>
  </w:num>
  <w:num w:numId="122" w16cid:durableId="492450609">
    <w:abstractNumId w:val="32"/>
  </w:num>
  <w:num w:numId="123" w16cid:durableId="75176861">
    <w:abstractNumId w:val="45"/>
  </w:num>
  <w:num w:numId="124" w16cid:durableId="357699001">
    <w:abstractNumId w:val="6"/>
  </w:num>
  <w:num w:numId="125" w16cid:durableId="756950262">
    <w:abstractNumId w:val="40"/>
  </w:num>
  <w:num w:numId="126" w16cid:durableId="952135541">
    <w:abstractNumId w:val="56"/>
  </w:num>
  <w:num w:numId="127" w16cid:durableId="1243880613">
    <w:abstractNumId w:val="60"/>
  </w:num>
  <w:num w:numId="128" w16cid:durableId="1961571559">
    <w:abstractNumId w:val="91"/>
  </w:num>
  <w:num w:numId="129" w16cid:durableId="1469933479">
    <w:abstractNumId w:val="94"/>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3"/>
  </w:num>
  <w:num w:numId="136" w16cid:durableId="923417389">
    <w:abstractNumId w:val="102"/>
  </w:num>
  <w:num w:numId="137" w16cid:durableId="2057503265">
    <w:abstractNumId w:val="133"/>
  </w:num>
  <w:num w:numId="138" w16cid:durableId="173303073">
    <w:abstractNumId w:val="139"/>
  </w:num>
  <w:num w:numId="139" w16cid:durableId="1852061656">
    <w:abstractNumId w:val="143"/>
  </w:num>
  <w:num w:numId="140" w16cid:durableId="1155223115">
    <w:abstractNumId w:val="34"/>
  </w:num>
  <w:num w:numId="141" w16cid:durableId="455560188">
    <w:abstractNumId w:val="86"/>
  </w:num>
  <w:num w:numId="142" w16cid:durableId="678045003">
    <w:abstractNumId w:val="149"/>
  </w:num>
  <w:num w:numId="143" w16cid:durableId="470945613">
    <w:abstractNumId w:val="72"/>
  </w:num>
  <w:num w:numId="144" w16cid:durableId="1726028826">
    <w:abstractNumId w:val="27"/>
  </w:num>
  <w:num w:numId="145" w16cid:durableId="1681158293">
    <w:abstractNumId w:val="83"/>
  </w:num>
  <w:num w:numId="146" w16cid:durableId="400519706">
    <w:abstractNumId w:val="95"/>
  </w:num>
  <w:num w:numId="147" w16cid:durableId="934635648">
    <w:abstractNumId w:val="48"/>
  </w:num>
  <w:num w:numId="148" w16cid:durableId="84768130">
    <w:abstractNumId w:val="87"/>
  </w:num>
  <w:num w:numId="149" w16cid:durableId="1121917068">
    <w:abstractNumId w:val="125"/>
  </w:num>
  <w:num w:numId="150" w16cid:durableId="124352300">
    <w:abstractNumId w:val="55"/>
  </w:num>
  <w:num w:numId="151" w16cid:durableId="72901297">
    <w:abstractNumId w:val="153"/>
  </w:num>
  <w:num w:numId="152" w16cid:durableId="431363956">
    <w:abstractNumId w:val="140"/>
  </w:num>
  <w:num w:numId="153" w16cid:durableId="176579544">
    <w:abstractNumId w:val="43"/>
  </w:num>
  <w:num w:numId="154" w16cid:durableId="211162258">
    <w:abstractNumId w:val="150"/>
  </w:num>
  <w:num w:numId="155" w16cid:durableId="404761213">
    <w:abstractNumId w:val="103"/>
  </w:num>
  <w:num w:numId="156" w16cid:durableId="1665082229">
    <w:abstractNumId w:val="131"/>
  </w:num>
  <w:num w:numId="157" w16cid:durableId="1247962484">
    <w:abstractNumId w:val="121"/>
  </w:num>
  <w:num w:numId="158" w16cid:durableId="827284187">
    <w:abstractNumId w:val="33"/>
  </w:num>
  <w:num w:numId="159" w16cid:durableId="147753287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Thermionic_filament.jpg?uselang=fr"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ommons.wikimedia.org/wiki/File:Effet_Edison.png?uselang=fr"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1611</TotalTime>
  <Pages>4</Pages>
  <Words>1024</Words>
  <Characters>5635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194</cp:revision>
  <dcterms:created xsi:type="dcterms:W3CDTF">2022-11-21T18:39:00Z</dcterms:created>
  <dcterms:modified xsi:type="dcterms:W3CDTF">2023-10-20T10:29:00Z</dcterms:modified>
</cp:coreProperties>
</file>