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BA01A" w14:textId="2B08BEFA" w:rsidR="003B22A5" w:rsidRDefault="00152FB7" w:rsidP="006B7EFE">
      <w:pPr>
        <w:pStyle w:val="Titre"/>
        <w:jc w:val="both"/>
        <w:rPr>
          <w:b/>
          <w:bCs/>
        </w:rPr>
      </w:pPr>
      <w:r w:rsidRPr="00152FB7">
        <w:rPr>
          <w:b/>
          <w:bCs/>
        </w:rPr>
        <w:t>Évaporation des trous noirs</w:t>
      </w:r>
    </w:p>
    <w:sdt>
      <w:sdtPr>
        <w:id w:val="96208630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AA94694" w14:textId="43858AFE" w:rsidR="00B418E7" w:rsidRDefault="00B418E7">
          <w:pPr>
            <w:pStyle w:val="En-ttedetabledesmatires"/>
          </w:pPr>
          <w:r>
            <w:t>Table des matières</w:t>
          </w:r>
        </w:p>
        <w:p w14:paraId="003E05FF" w14:textId="16215F50" w:rsidR="00B418E7" w:rsidRDefault="00B418E7">
          <w:pPr>
            <w:pStyle w:val="TM1"/>
            <w:tabs>
              <w:tab w:val="right" w:leader="dot" w:pos="9062"/>
            </w:tabs>
            <w:rPr>
              <w:noProof/>
            </w:rPr>
          </w:pPr>
          <w:r>
            <w:fldChar w:fldCharType="begin"/>
          </w:r>
          <w:r>
            <w:instrText xml:space="preserve"> TOC \o "1-3" \h \z \u </w:instrText>
          </w:r>
          <w:r>
            <w:fldChar w:fldCharType="separate"/>
          </w:r>
          <w:hyperlink w:anchor="_Toc133069814" w:history="1">
            <w:r w:rsidRPr="00DF1CE6">
              <w:rPr>
                <w:rStyle w:val="Lienhypertexte"/>
                <w:b/>
                <w:bCs/>
                <w:noProof/>
              </w:rPr>
              <w:t>Introduction</w:t>
            </w:r>
            <w:r>
              <w:rPr>
                <w:noProof/>
                <w:webHidden/>
              </w:rPr>
              <w:tab/>
            </w:r>
            <w:r>
              <w:rPr>
                <w:noProof/>
                <w:webHidden/>
              </w:rPr>
              <w:fldChar w:fldCharType="begin"/>
            </w:r>
            <w:r>
              <w:rPr>
                <w:noProof/>
                <w:webHidden/>
              </w:rPr>
              <w:instrText xml:space="preserve"> PAGEREF _Toc133069814 \h </w:instrText>
            </w:r>
            <w:r>
              <w:rPr>
                <w:noProof/>
                <w:webHidden/>
              </w:rPr>
            </w:r>
            <w:r>
              <w:rPr>
                <w:noProof/>
                <w:webHidden/>
              </w:rPr>
              <w:fldChar w:fldCharType="separate"/>
            </w:r>
            <w:r>
              <w:rPr>
                <w:noProof/>
                <w:webHidden/>
              </w:rPr>
              <w:t>1</w:t>
            </w:r>
            <w:r>
              <w:rPr>
                <w:noProof/>
                <w:webHidden/>
              </w:rPr>
              <w:fldChar w:fldCharType="end"/>
            </w:r>
          </w:hyperlink>
        </w:p>
        <w:p w14:paraId="6678BE1C" w14:textId="53ACAD21" w:rsidR="00B418E7" w:rsidRDefault="00B418E7">
          <w:pPr>
            <w:pStyle w:val="TM1"/>
            <w:tabs>
              <w:tab w:val="right" w:leader="dot" w:pos="9062"/>
            </w:tabs>
            <w:rPr>
              <w:noProof/>
            </w:rPr>
          </w:pPr>
          <w:hyperlink w:anchor="_Toc133069815" w:history="1">
            <w:r w:rsidRPr="00DF1CE6">
              <w:rPr>
                <w:rStyle w:val="Lienhypertexte"/>
                <w:b/>
                <w:bCs/>
                <w:noProof/>
              </w:rPr>
              <w:t>Formules</w:t>
            </w:r>
            <w:r>
              <w:rPr>
                <w:noProof/>
                <w:webHidden/>
              </w:rPr>
              <w:tab/>
            </w:r>
            <w:r>
              <w:rPr>
                <w:noProof/>
                <w:webHidden/>
              </w:rPr>
              <w:fldChar w:fldCharType="begin"/>
            </w:r>
            <w:r>
              <w:rPr>
                <w:noProof/>
                <w:webHidden/>
              </w:rPr>
              <w:instrText xml:space="preserve"> PAGEREF _Toc133069815 \h </w:instrText>
            </w:r>
            <w:r>
              <w:rPr>
                <w:noProof/>
                <w:webHidden/>
              </w:rPr>
            </w:r>
            <w:r>
              <w:rPr>
                <w:noProof/>
                <w:webHidden/>
              </w:rPr>
              <w:fldChar w:fldCharType="separate"/>
            </w:r>
            <w:r>
              <w:rPr>
                <w:noProof/>
                <w:webHidden/>
              </w:rPr>
              <w:t>2</w:t>
            </w:r>
            <w:r>
              <w:rPr>
                <w:noProof/>
                <w:webHidden/>
              </w:rPr>
              <w:fldChar w:fldCharType="end"/>
            </w:r>
          </w:hyperlink>
        </w:p>
        <w:p w14:paraId="41221409" w14:textId="0654E8BC" w:rsidR="00B418E7" w:rsidRDefault="00B418E7">
          <w:pPr>
            <w:pStyle w:val="TM1"/>
            <w:tabs>
              <w:tab w:val="right" w:leader="dot" w:pos="9062"/>
            </w:tabs>
            <w:rPr>
              <w:noProof/>
            </w:rPr>
          </w:pPr>
          <w:hyperlink w:anchor="_Toc133069816" w:history="1">
            <w:r w:rsidRPr="00DF1CE6">
              <w:rPr>
                <w:rStyle w:val="Lienhypertexte"/>
                <w:b/>
                <w:bCs/>
                <w:noProof/>
              </w:rPr>
              <w:t>Cas d'un trou noir de Schwarzschild</w:t>
            </w:r>
            <w:r>
              <w:rPr>
                <w:noProof/>
                <w:webHidden/>
              </w:rPr>
              <w:tab/>
            </w:r>
            <w:r>
              <w:rPr>
                <w:noProof/>
                <w:webHidden/>
              </w:rPr>
              <w:fldChar w:fldCharType="begin"/>
            </w:r>
            <w:r>
              <w:rPr>
                <w:noProof/>
                <w:webHidden/>
              </w:rPr>
              <w:instrText xml:space="preserve"> PAGEREF _Toc133069816 \h </w:instrText>
            </w:r>
            <w:r>
              <w:rPr>
                <w:noProof/>
                <w:webHidden/>
              </w:rPr>
            </w:r>
            <w:r>
              <w:rPr>
                <w:noProof/>
                <w:webHidden/>
              </w:rPr>
              <w:fldChar w:fldCharType="separate"/>
            </w:r>
            <w:r>
              <w:rPr>
                <w:noProof/>
                <w:webHidden/>
              </w:rPr>
              <w:t>3</w:t>
            </w:r>
            <w:r>
              <w:rPr>
                <w:noProof/>
                <w:webHidden/>
              </w:rPr>
              <w:fldChar w:fldCharType="end"/>
            </w:r>
          </w:hyperlink>
        </w:p>
        <w:p w14:paraId="536779A8" w14:textId="63AFC351" w:rsidR="00B418E7" w:rsidRDefault="00B418E7">
          <w:pPr>
            <w:pStyle w:val="TM1"/>
            <w:tabs>
              <w:tab w:val="right" w:leader="dot" w:pos="9062"/>
            </w:tabs>
            <w:rPr>
              <w:noProof/>
            </w:rPr>
          </w:pPr>
          <w:hyperlink w:anchor="_Toc133069817" w:history="1">
            <w:r w:rsidRPr="00DF1CE6">
              <w:rPr>
                <w:rStyle w:val="Lienhypertexte"/>
                <w:b/>
                <w:bCs/>
                <w:noProof/>
              </w:rPr>
              <w:t>Évolution d'un trou noir isolé</w:t>
            </w:r>
            <w:r>
              <w:rPr>
                <w:noProof/>
                <w:webHidden/>
              </w:rPr>
              <w:tab/>
            </w:r>
            <w:r>
              <w:rPr>
                <w:noProof/>
                <w:webHidden/>
              </w:rPr>
              <w:fldChar w:fldCharType="begin"/>
            </w:r>
            <w:r>
              <w:rPr>
                <w:noProof/>
                <w:webHidden/>
              </w:rPr>
              <w:instrText xml:space="preserve"> PAGEREF _Toc133069817 \h </w:instrText>
            </w:r>
            <w:r>
              <w:rPr>
                <w:noProof/>
                <w:webHidden/>
              </w:rPr>
            </w:r>
            <w:r>
              <w:rPr>
                <w:noProof/>
                <w:webHidden/>
              </w:rPr>
              <w:fldChar w:fldCharType="separate"/>
            </w:r>
            <w:r>
              <w:rPr>
                <w:noProof/>
                <w:webHidden/>
              </w:rPr>
              <w:t>4</w:t>
            </w:r>
            <w:r>
              <w:rPr>
                <w:noProof/>
                <w:webHidden/>
              </w:rPr>
              <w:fldChar w:fldCharType="end"/>
            </w:r>
          </w:hyperlink>
        </w:p>
        <w:p w14:paraId="43B2FA72" w14:textId="212F1793" w:rsidR="00B418E7" w:rsidRDefault="00B418E7">
          <w:pPr>
            <w:pStyle w:val="TM1"/>
            <w:tabs>
              <w:tab w:val="right" w:leader="dot" w:pos="9062"/>
            </w:tabs>
            <w:rPr>
              <w:noProof/>
            </w:rPr>
          </w:pPr>
          <w:hyperlink w:anchor="_Toc133069818" w:history="1">
            <w:r w:rsidRPr="00DF1CE6">
              <w:rPr>
                <w:rStyle w:val="Lienhypertexte"/>
                <w:b/>
                <w:bCs/>
                <w:noProof/>
              </w:rPr>
              <w:t>Temps d'évaporation</w:t>
            </w:r>
            <w:r>
              <w:rPr>
                <w:noProof/>
                <w:webHidden/>
              </w:rPr>
              <w:tab/>
            </w:r>
            <w:r>
              <w:rPr>
                <w:noProof/>
                <w:webHidden/>
              </w:rPr>
              <w:fldChar w:fldCharType="begin"/>
            </w:r>
            <w:r>
              <w:rPr>
                <w:noProof/>
                <w:webHidden/>
              </w:rPr>
              <w:instrText xml:space="preserve"> PAGEREF _Toc133069818 \h </w:instrText>
            </w:r>
            <w:r>
              <w:rPr>
                <w:noProof/>
                <w:webHidden/>
              </w:rPr>
            </w:r>
            <w:r>
              <w:rPr>
                <w:noProof/>
                <w:webHidden/>
              </w:rPr>
              <w:fldChar w:fldCharType="separate"/>
            </w:r>
            <w:r>
              <w:rPr>
                <w:noProof/>
                <w:webHidden/>
              </w:rPr>
              <w:t>5</w:t>
            </w:r>
            <w:r>
              <w:rPr>
                <w:noProof/>
                <w:webHidden/>
              </w:rPr>
              <w:fldChar w:fldCharType="end"/>
            </w:r>
          </w:hyperlink>
        </w:p>
        <w:p w14:paraId="443ECE24" w14:textId="1EBE8CFC" w:rsidR="00B418E7" w:rsidRDefault="00B418E7">
          <w:pPr>
            <w:pStyle w:val="TM1"/>
            <w:tabs>
              <w:tab w:val="right" w:leader="dot" w:pos="9062"/>
            </w:tabs>
            <w:rPr>
              <w:noProof/>
            </w:rPr>
          </w:pPr>
          <w:hyperlink w:anchor="_Toc133069819" w:history="1">
            <w:r w:rsidRPr="00DF1CE6">
              <w:rPr>
                <w:rStyle w:val="Lienhypertexte"/>
                <w:b/>
                <w:bCs/>
                <w:noProof/>
              </w:rPr>
              <w:t>Limites du calcul du temps d'évaporation</w:t>
            </w:r>
            <w:r>
              <w:rPr>
                <w:noProof/>
                <w:webHidden/>
              </w:rPr>
              <w:tab/>
            </w:r>
            <w:r>
              <w:rPr>
                <w:noProof/>
                <w:webHidden/>
              </w:rPr>
              <w:fldChar w:fldCharType="begin"/>
            </w:r>
            <w:r>
              <w:rPr>
                <w:noProof/>
                <w:webHidden/>
              </w:rPr>
              <w:instrText xml:space="preserve"> PAGEREF _Toc133069819 \h </w:instrText>
            </w:r>
            <w:r>
              <w:rPr>
                <w:noProof/>
                <w:webHidden/>
              </w:rPr>
            </w:r>
            <w:r>
              <w:rPr>
                <w:noProof/>
                <w:webHidden/>
              </w:rPr>
              <w:fldChar w:fldCharType="separate"/>
            </w:r>
            <w:r>
              <w:rPr>
                <w:noProof/>
                <w:webHidden/>
              </w:rPr>
              <w:t>5</w:t>
            </w:r>
            <w:r>
              <w:rPr>
                <w:noProof/>
                <w:webHidden/>
              </w:rPr>
              <w:fldChar w:fldCharType="end"/>
            </w:r>
          </w:hyperlink>
        </w:p>
        <w:p w14:paraId="5B0583EA" w14:textId="0F337112" w:rsidR="00B418E7" w:rsidRDefault="00B418E7">
          <w:r>
            <w:rPr>
              <w:b/>
              <w:bCs/>
            </w:rPr>
            <w:fldChar w:fldCharType="end"/>
          </w:r>
        </w:p>
      </w:sdtContent>
    </w:sdt>
    <w:p w14:paraId="0993407C" w14:textId="711D8958" w:rsidR="00152FB7" w:rsidRDefault="00152FB7" w:rsidP="006B7EFE">
      <w:pPr>
        <w:jc w:val="both"/>
      </w:pPr>
    </w:p>
    <w:p w14:paraId="152AECEF" w14:textId="0175FE63" w:rsidR="00152FB7" w:rsidRDefault="007875E2" w:rsidP="006B7EFE">
      <w:pPr>
        <w:pStyle w:val="Titre1"/>
        <w:jc w:val="both"/>
        <w:rPr>
          <w:b/>
          <w:bCs/>
        </w:rPr>
      </w:pPr>
      <w:bookmarkStart w:id="0" w:name="_Toc133069814"/>
      <w:r w:rsidRPr="007875E2">
        <w:rPr>
          <w:b/>
          <w:bCs/>
        </w:rPr>
        <w:t>Introduction</w:t>
      </w:r>
      <w:bookmarkEnd w:id="0"/>
    </w:p>
    <w:p w14:paraId="334F2637" w14:textId="197BDE1F" w:rsidR="006B7EFE" w:rsidRPr="006B7EFE" w:rsidRDefault="006B7EFE" w:rsidP="006B7EFE">
      <w:pPr>
        <w:jc w:val="both"/>
        <w:rPr>
          <w:rFonts w:ascii="Times New Roman" w:eastAsia="Times New Roman" w:hAnsi="Times New Roman" w:cs="Times New Roman"/>
          <w:sz w:val="24"/>
          <w:szCs w:val="24"/>
          <w:lang w:eastAsia="fr-FR"/>
        </w:rPr>
      </w:pPr>
      <w:r w:rsidRPr="006B7EFE">
        <w:rPr>
          <w:rFonts w:ascii="Times New Roman" w:eastAsia="Times New Roman" w:hAnsi="Times New Roman" w:cs="Times New Roman"/>
          <w:sz w:val="24"/>
          <w:szCs w:val="24"/>
          <w:lang w:eastAsia="fr-FR"/>
        </w:rPr>
        <w:t xml:space="preserve">L'évaporation des trous noirs, qui se traduit par le rayonnement de Hawking, est le phénomène selon lequel un observateur regardant un trou noir peut détecter un infime rayonnement de corps noir, évaporation des trous noirs, émanant de la zone proche de son horizon des événements. Il a été prédit par Stephen Hawking en 19756 et est considéré comme l'une de ses plus importantes réalisations. La découverte théorique de ce phénomène a fortifié une branche de l'étude des trous noirs appelée thermodynamique des trous noirs, développée peu avant la découverte de Hawking, et qui suggérait qu'il devait être possible d'associer une température à un trou noir. Cependant, au niveau classique, il était démontré qu'un trou noir ne pouvait émettre de rayonnement (c'est même, en quelque sorte, la définition d'un trou noir). Ce paradoxe a été résolu par Stephen Hawking, qui a démontré que des effets d'origine quantique pourraient être à l'origine d'un tel phénomène. </w:t>
      </w:r>
    </w:p>
    <w:p w14:paraId="7E79D76E" w14:textId="058706C1" w:rsidR="006B7EFE" w:rsidRDefault="006B7EFE" w:rsidP="006B7EFE">
      <w:pPr>
        <w:pStyle w:val="NormalWeb"/>
        <w:jc w:val="both"/>
      </w:pPr>
      <w:r>
        <w:t>Le rayonnement de Hawking s'avère théoriquement extraordinairement faible pour les trous noirs issus de l'</w:t>
      </w:r>
      <w:r w:rsidRPr="006B7EFE">
        <w:t>évolution stellaire</w:t>
      </w:r>
      <w:r>
        <w:t xml:space="preserve"> et encore plus faible pour les autres trous noirs indirectement détectés dans l'univers (</w:t>
      </w:r>
      <w:r w:rsidRPr="006B7EFE">
        <w:t>trous noirs intermédiaires</w:t>
      </w:r>
      <w:r>
        <w:t xml:space="preserve"> et </w:t>
      </w:r>
      <w:r w:rsidRPr="006B7EFE">
        <w:t>trous noirs supermassifs</w:t>
      </w:r>
      <w:r>
        <w:t xml:space="preserve">), aussi sa mise en évidence est impossible à l'heure actuelle. Elle pourrait être rendue possible par l'existence de </w:t>
      </w:r>
      <w:r w:rsidRPr="006B7EFE">
        <w:t>trous noirs de petite taille</w:t>
      </w:r>
      <w:r>
        <w:t xml:space="preserve"> (microscopique). De tels objets pourraient avoir été produits lors du </w:t>
      </w:r>
      <w:r w:rsidRPr="006B7EFE">
        <w:t>Big Bang</w:t>
      </w:r>
      <w:r>
        <w:t xml:space="preserve"> (on parle de </w:t>
      </w:r>
      <w:r w:rsidRPr="006B7EFE">
        <w:t>trous noirs primordiaux</w:t>
      </w:r>
      <w:r>
        <w:t xml:space="preserve">), voire être produits dans des </w:t>
      </w:r>
      <w:r w:rsidRPr="006B7EFE">
        <w:t>accélérateurs de particules</w:t>
      </w:r>
      <w:r>
        <w:t xml:space="preserve"> dans le cadre de certaines théories au-delà du </w:t>
      </w:r>
      <w:r w:rsidRPr="006B7EFE">
        <w:t>modèle standard</w:t>
      </w:r>
      <w:r>
        <w:t xml:space="preserve"> de la </w:t>
      </w:r>
      <w:r w:rsidRPr="006B7EFE">
        <w:t>physique des particules7</w:t>
      </w:r>
      <w:r>
        <w:t xml:space="preserve">. </w:t>
      </w:r>
    </w:p>
    <w:p w14:paraId="234A93CB" w14:textId="0D105443" w:rsidR="006B7EFE" w:rsidRDefault="006B7EFE" w:rsidP="006B7EFE">
      <w:pPr>
        <w:pStyle w:val="NormalWeb"/>
        <w:jc w:val="both"/>
      </w:pPr>
      <w:r>
        <w:t xml:space="preserve">La </w:t>
      </w:r>
      <w:r w:rsidRPr="006B7EFE">
        <w:t>théorie quantique des champs</w:t>
      </w:r>
      <w:r>
        <w:t xml:space="preserve"> (c'est-à-dire les lois de la </w:t>
      </w:r>
      <w:r w:rsidRPr="006B7EFE">
        <w:t>mécanique quantique</w:t>
      </w:r>
      <w:r>
        <w:t xml:space="preserve"> appliquées dans le cadre de la </w:t>
      </w:r>
      <w:r w:rsidRPr="006B7EFE">
        <w:t>relativité restreinte</w:t>
      </w:r>
      <w:r>
        <w:t xml:space="preserve">) explique l'existence des </w:t>
      </w:r>
      <w:r w:rsidRPr="006B7EFE">
        <w:t>fluctuations du vide</w:t>
      </w:r>
      <w:r>
        <w:t xml:space="preserve"> : des paires </w:t>
      </w:r>
      <w:r w:rsidRPr="006B7EFE">
        <w:t>particule</w:t>
      </w:r>
      <w:r>
        <w:t>-</w:t>
      </w:r>
      <w:r w:rsidRPr="006B7EFE">
        <w:t>antiparticule</w:t>
      </w:r>
      <w:r>
        <w:t xml:space="preserve"> sont en permanence engendrées dans le vide. Des effets de ces fluctuations du vide peuvent être mis en évidence par divers phénomènes, comme l'</w:t>
      </w:r>
      <w:r w:rsidRPr="006B7EFE">
        <w:t>effet Casimir</w:t>
      </w:r>
      <w:r>
        <w:t xml:space="preserve"> en </w:t>
      </w:r>
      <w:r w:rsidRPr="006B7EFE">
        <w:t>physique des particules</w:t>
      </w:r>
      <w:r>
        <w:t xml:space="preserve"> ou le </w:t>
      </w:r>
      <w:r w:rsidRPr="006B7EFE">
        <w:t>déplacement de Lamb</w:t>
      </w:r>
      <w:r>
        <w:t xml:space="preserve"> dans le spectre des niveaux d'énergie d'un </w:t>
      </w:r>
      <w:r w:rsidRPr="006B7EFE">
        <w:t>électron</w:t>
      </w:r>
      <w:r>
        <w:t xml:space="preserve"> dans un </w:t>
      </w:r>
      <w:r w:rsidRPr="006B7EFE">
        <w:t>atome</w:t>
      </w:r>
      <w:r>
        <w:t xml:space="preserve"> d'</w:t>
      </w:r>
      <w:r w:rsidRPr="006B7EFE">
        <w:t>hydrogène</w:t>
      </w:r>
      <w:r>
        <w:t xml:space="preserve">. </w:t>
      </w:r>
    </w:p>
    <w:p w14:paraId="7F149DE5" w14:textId="0734F772" w:rsidR="006B7EFE" w:rsidRDefault="006B7EFE" w:rsidP="006B7EFE">
      <w:pPr>
        <w:pStyle w:val="NormalWeb"/>
        <w:jc w:val="both"/>
      </w:pPr>
      <w:r>
        <w:t>De façon générale, ces paires de particules-antiparticules s'annihilent aussitôt, sauf si un phénomène physique permet de les séparer en un temps inférieur à la durée de vie typique de la paire. Dans le cas de l'effet Hawking, à l'</w:t>
      </w:r>
      <w:r w:rsidRPr="006B7EFE">
        <w:t>horizon d'un trou noir</w:t>
      </w:r>
      <w:r>
        <w:t xml:space="preserve">, les </w:t>
      </w:r>
      <w:r w:rsidRPr="006B7EFE">
        <w:t>forces de marée</w:t>
      </w:r>
      <w:r>
        <w:t xml:space="preserve"> </w:t>
      </w:r>
      <w:r>
        <w:lastRenderedPageBreak/>
        <w:t xml:space="preserve">engendrées par le </w:t>
      </w:r>
      <w:r w:rsidRPr="006B7EFE">
        <w:t>champ gravitationnel</w:t>
      </w:r>
      <w:r>
        <w:t xml:space="preserve"> du trou noir peuvent éloigner la particule de son antiparticule </w:t>
      </w:r>
      <w:r w:rsidRPr="006B7EFE">
        <w:t>avant</w:t>
      </w:r>
      <w:r>
        <w:t xml:space="preserve"> qu'elles ne s'annihilent. L'une est absorbée par le </w:t>
      </w:r>
      <w:r w:rsidRPr="006B7EFE">
        <w:t>trou noir</w:t>
      </w:r>
      <w:r>
        <w:t xml:space="preserve">, tandis que l'autre (la particule </w:t>
      </w:r>
      <w:r w:rsidRPr="006B7EFE">
        <w:t>émise</w:t>
      </w:r>
      <w:r>
        <w:t>) s'en éloigne dans un sens opposé. De façon heuristique, l'</w:t>
      </w:r>
      <w:r w:rsidRPr="006B7EFE">
        <w:t>énergie</w:t>
      </w:r>
      <w:r>
        <w:t xml:space="preserve"> de la paire particule-antiparticule mesurée par un observateur situé loin du trou noir est négative, du fait que les deux particules sont piégées dans le </w:t>
      </w:r>
      <w:r w:rsidRPr="006B7EFE">
        <w:t>puits de potentiel</w:t>
      </w:r>
      <w:r>
        <w:t xml:space="preserve"> du trou noir. De façon schématique, il est possible que la répartition d'énergie au sein de la paire particule-antiparticule donne à l'une des deux une énergie qui serait considérée comme positive par un observateur distant, c'est-à-dire lui permettant de s'échapper de son champ gravitationnel. Dans un tel cas, l'absorption de l'autre particule peut être vue comme l'absorption d'une particule d'énergie négative, produisant une diminution de sa masse. </w:t>
      </w:r>
    </w:p>
    <w:p w14:paraId="54FA6183" w14:textId="2938FD0D" w:rsidR="006B7EFE" w:rsidRDefault="006B7EFE" w:rsidP="006B7EFE">
      <w:pPr>
        <w:pStyle w:val="NormalWeb"/>
        <w:jc w:val="both"/>
      </w:pPr>
      <w:r>
        <w:t xml:space="preserve">L'évaporation est proportionnelle à la force de marée engendrée par le trou noir. La force de marée est d'autant plus grande que le trou noir est petit et donc léger. L'évaporation ayant pour effet de diminuer la masse et la taille du trou noir, le processus est divergent et l'évaporation - très lente au début - s'accélère de plus en plus. L'énergie des particules émises augmente avec la température du trou noir. En dessous d'une température limite, l'émission ne se produit qu'avec des particules de masse nulle comme les photons ou les </w:t>
      </w:r>
      <w:r w:rsidRPr="006B7EFE">
        <w:t>gravitons</w:t>
      </w:r>
      <w:r>
        <w:t xml:space="preserve"> et éventuellement les </w:t>
      </w:r>
      <w:r w:rsidRPr="006B7EFE">
        <w:t>neutrinos</w:t>
      </w:r>
      <w:r>
        <w:t xml:space="preserve">. Au-dessus, l'émission de tous types de particules est possible, quoique ce régime ne concerne que la toute fin de l'évolution des trous noirs. Pendant la plus grande partie de leur existence, ceux-ci rayonnent de particules sans masse (voir ci-dessous). </w:t>
      </w:r>
    </w:p>
    <w:p w14:paraId="247BBA3B" w14:textId="77777777" w:rsidR="006B7EFE" w:rsidRPr="006B7EFE" w:rsidRDefault="006B7EFE" w:rsidP="006B7EFE">
      <w:pPr>
        <w:pStyle w:val="Titre1"/>
        <w:jc w:val="both"/>
        <w:rPr>
          <w:b/>
          <w:bCs/>
        </w:rPr>
      </w:pPr>
      <w:bookmarkStart w:id="1" w:name="_Toc133069815"/>
      <w:r w:rsidRPr="006B7EFE">
        <w:rPr>
          <w:rStyle w:val="mw-headline"/>
          <w:b/>
          <w:bCs/>
        </w:rPr>
        <w:t>Formules</w:t>
      </w:r>
      <w:bookmarkEnd w:id="1"/>
    </w:p>
    <w:p w14:paraId="39A42288" w14:textId="17F36E7B" w:rsidR="006B7EFE" w:rsidRDefault="006B7EFE" w:rsidP="006B7EFE">
      <w:pPr>
        <w:pStyle w:val="NormalWeb"/>
        <w:jc w:val="both"/>
      </w:pPr>
      <w:r>
        <w:t xml:space="preserve">Un calcul célèbre ayant donné naissance à ce que l'on appelle la </w:t>
      </w:r>
      <w:r w:rsidRPr="006B7EFE">
        <w:t>thermodynamique des trous noirs</w:t>
      </w:r>
      <w:r>
        <w:t xml:space="preserve"> permet de montrer que l'on peut exprimer la </w:t>
      </w:r>
      <w:r w:rsidRPr="006B7EFE">
        <w:t>masse</w:t>
      </w:r>
      <w:r>
        <w:t xml:space="preserve"> </w:t>
      </w:r>
      <w:r w:rsidRPr="006B7EFE">
        <w:t xml:space="preserve">M </w:t>
      </w:r>
      <w:r>
        <w:t xml:space="preserve">d'un trou noir en fonction de sa taille (en fait la </w:t>
      </w:r>
      <w:r w:rsidRPr="006B7EFE">
        <w:t>surface</w:t>
      </w:r>
      <w:r>
        <w:t xml:space="preserve"> </w:t>
      </w:r>
      <w:r w:rsidRPr="006B7EFE">
        <w:t xml:space="preserve">A </w:t>
      </w:r>
      <w:r>
        <w:t xml:space="preserve">de son </w:t>
      </w:r>
      <w:r w:rsidRPr="006B7EFE">
        <w:t>horizon</w:t>
      </w:r>
      <w:r>
        <w:t xml:space="preserve">), et des autres paramètres macroscopiques le caractérisant, à savoir, pour un trou noir de type astrophysique, sa </w:t>
      </w:r>
      <w:r w:rsidRPr="006B7EFE">
        <w:t>charge électrique</w:t>
      </w:r>
      <w:r>
        <w:t xml:space="preserve"> </w:t>
      </w:r>
      <w:r w:rsidRPr="006B7EFE">
        <w:t xml:space="preserve">Q </w:t>
      </w:r>
      <w:r>
        <w:t xml:space="preserve">et son </w:t>
      </w:r>
      <w:r w:rsidRPr="006B7EFE">
        <w:t>moment cinétique</w:t>
      </w:r>
      <w:r>
        <w:t xml:space="preserve"> </w:t>
      </w:r>
      <w:r w:rsidRPr="006B7EFE">
        <w:t>L</w:t>
      </w:r>
      <w:r>
        <w:t xml:space="preserve">. Il existe donc une fonction de la forme : </w:t>
      </w:r>
    </w:p>
    <w:p w14:paraId="68CD7E9D" w14:textId="3238B0CA" w:rsidR="006B7EFE" w:rsidRPr="006B7EFE" w:rsidRDefault="006B7EFE" w:rsidP="006B7EFE">
      <w:pPr>
        <w:ind w:left="720"/>
        <w:jc w:val="both"/>
        <w:rPr>
          <w:rFonts w:ascii="Times New Roman" w:eastAsia="Times New Roman" w:hAnsi="Times New Roman" w:cs="Times New Roman"/>
          <w:sz w:val="24"/>
          <w:szCs w:val="24"/>
          <w:lang w:eastAsia="fr-FR"/>
        </w:rPr>
      </w:pPr>
      <w:r w:rsidRPr="006B7EFE">
        <w:rPr>
          <w:rFonts w:ascii="Times New Roman" w:eastAsia="Times New Roman" w:hAnsi="Times New Roman" w:cs="Times New Roman"/>
          <w:sz w:val="24"/>
          <w:szCs w:val="24"/>
          <w:lang w:eastAsia="fr-FR"/>
        </w:rPr>
        <w:t>M = M(A,Q,L)</w:t>
      </w:r>
    </w:p>
    <w:p w14:paraId="2E7F4A9E" w14:textId="1090EDE4" w:rsidR="006B7EFE" w:rsidRDefault="00AD3B05" w:rsidP="006B7EFE">
      <w:pPr>
        <w:pStyle w:val="NormalWeb"/>
        <w:jc w:val="both"/>
      </w:pPr>
      <w:r>
        <w:rPr>
          <w:noProof/>
        </w:rPr>
        <w:drawing>
          <wp:anchor distT="0" distB="0" distL="114300" distR="114300" simplePos="0" relativeHeight="251658240" behindDoc="0" locked="0" layoutInCell="1" allowOverlap="1" wp14:anchorId="4E5A711A" wp14:editId="139331C4">
            <wp:simplePos x="0" y="0"/>
            <wp:positionH relativeFrom="margin">
              <wp:posOffset>1797050</wp:posOffset>
            </wp:positionH>
            <wp:positionV relativeFrom="paragraph">
              <wp:posOffset>292100</wp:posOffset>
            </wp:positionV>
            <wp:extent cx="1098550" cy="463550"/>
            <wp:effectExtent l="0" t="0" r="6350" b="0"/>
            <wp:wrapTopAndBottom/>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98550" cy="463550"/>
                    </a:xfrm>
                    <a:prstGeom prst="rect">
                      <a:avLst/>
                    </a:prstGeom>
                    <a:noFill/>
                    <a:ln>
                      <a:noFill/>
                    </a:ln>
                  </pic:spPr>
                </pic:pic>
              </a:graphicData>
            </a:graphic>
          </wp:anchor>
        </w:drawing>
      </w:r>
      <w:r w:rsidR="006B7EFE">
        <w:t xml:space="preserve">La quantité </w:t>
      </w:r>
      <w:r w:rsidR="006B7EFE" w:rsidRPr="006B7EFE">
        <w:t xml:space="preserve">∂M/∂A </w:t>
      </w:r>
      <w:r w:rsidR="006B7EFE">
        <w:t xml:space="preserve">peut s'écrire sous la forme : </w:t>
      </w:r>
    </w:p>
    <w:p w14:paraId="11B0C099" w14:textId="77777777" w:rsidR="006B7EFE" w:rsidRDefault="006B7EFE" w:rsidP="006B7EFE">
      <w:pPr>
        <w:pStyle w:val="NormalWeb"/>
        <w:jc w:val="both"/>
      </w:pPr>
      <w:r>
        <w:t xml:space="preserve">où : </w:t>
      </w:r>
    </w:p>
    <w:p w14:paraId="44D96EB2" w14:textId="0F274919" w:rsidR="006B7EFE" w:rsidRPr="006B7EFE" w:rsidRDefault="006B7EFE" w:rsidP="006B7EFE">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B7EFE">
        <w:rPr>
          <w:rFonts w:ascii="Times New Roman" w:eastAsia="Times New Roman" w:hAnsi="Times New Roman" w:cs="Times New Roman"/>
          <w:sz w:val="24"/>
          <w:szCs w:val="24"/>
          <w:lang w:eastAsia="fr-FR"/>
        </w:rPr>
        <w:t>G est la constante de Newton ;</w:t>
      </w:r>
    </w:p>
    <w:p w14:paraId="64787695" w14:textId="712C021F" w:rsidR="006B7EFE" w:rsidRPr="006B7EFE" w:rsidRDefault="006B7EFE" w:rsidP="006B7EFE">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B7EFE">
        <w:rPr>
          <w:rFonts w:ascii="Times New Roman" w:eastAsia="Times New Roman" w:hAnsi="Times New Roman" w:cs="Times New Roman"/>
          <w:sz w:val="24"/>
          <w:szCs w:val="24"/>
          <w:lang w:eastAsia="fr-FR"/>
        </w:rPr>
        <w:t>κ est une quantité appelée gravité de surface du trou noir, et qui détermine à quelle vitesse le champ gravitationnel d'un trou noir diverge à mesure que l'on s'approche de l'horizon.</w:t>
      </w:r>
    </w:p>
    <w:p w14:paraId="7C6A1CC0" w14:textId="275438C4" w:rsidR="006B7EFE" w:rsidRDefault="00AD3B05" w:rsidP="006B7EFE">
      <w:pPr>
        <w:pStyle w:val="NormalWeb"/>
        <w:jc w:val="both"/>
      </w:pPr>
      <w:r>
        <w:rPr>
          <w:noProof/>
        </w:rPr>
        <w:drawing>
          <wp:anchor distT="0" distB="0" distL="114300" distR="114300" simplePos="0" relativeHeight="251659264" behindDoc="0" locked="0" layoutInCell="1" allowOverlap="1" wp14:anchorId="6E826F1E" wp14:editId="1553B66C">
            <wp:simplePos x="0" y="0"/>
            <wp:positionH relativeFrom="column">
              <wp:posOffset>1913255</wp:posOffset>
            </wp:positionH>
            <wp:positionV relativeFrom="paragraph">
              <wp:posOffset>571500</wp:posOffset>
            </wp:positionV>
            <wp:extent cx="1003300" cy="527050"/>
            <wp:effectExtent l="0" t="0" r="6350" b="6350"/>
            <wp:wrapTopAndBottom/>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3300" cy="527050"/>
                    </a:xfrm>
                    <a:prstGeom prst="rect">
                      <a:avLst/>
                    </a:prstGeom>
                    <a:noFill/>
                    <a:ln>
                      <a:noFill/>
                    </a:ln>
                  </pic:spPr>
                </pic:pic>
              </a:graphicData>
            </a:graphic>
          </wp:anchor>
        </w:drawing>
      </w:r>
      <w:r w:rsidR="006B7EFE">
        <w:t xml:space="preserve">Les calculs de Hawking sur l'évaporation des trous noirs indiquent que la </w:t>
      </w:r>
      <w:r w:rsidR="006B7EFE" w:rsidRPr="006B7EFE">
        <w:t>température</w:t>
      </w:r>
      <w:r w:rsidR="006B7EFE">
        <w:t xml:space="preserve"> </w:t>
      </w:r>
      <w:r w:rsidR="006B7EFE" w:rsidRPr="006B7EFE">
        <w:t xml:space="preserve">T </w:t>
      </w:r>
      <w:r w:rsidR="006B7EFE">
        <w:rPr>
          <w:noProof/>
        </w:rPr>
        <mc:AlternateContent>
          <mc:Choice Requires="wps">
            <w:drawing>
              <wp:inline distT="0" distB="0" distL="0" distR="0" wp14:anchorId="290F9523" wp14:editId="5B2C50ED">
                <wp:extent cx="304800" cy="304800"/>
                <wp:effectExtent l="0" t="0" r="0" b="0"/>
                <wp:docPr id="6" name="Rectangle 6" desc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86D648" id="Rectangle 6" o:spid="_x0000_s1026" alt="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B7EFE">
        <w:t xml:space="preserve">qui peut leur être associée est donnée par : </w:t>
      </w:r>
    </w:p>
    <w:p w14:paraId="1392B241" w14:textId="794D54E3" w:rsidR="006B7EFE" w:rsidRDefault="006B7EFE" w:rsidP="006B7EFE">
      <w:pPr>
        <w:pStyle w:val="NormalWeb"/>
        <w:jc w:val="both"/>
      </w:pPr>
      <w:r>
        <w:t xml:space="preserve">où : </w:t>
      </w:r>
    </w:p>
    <w:p w14:paraId="7DCD249A" w14:textId="145324AC" w:rsidR="006B7EFE" w:rsidRPr="006B7EFE" w:rsidRDefault="006B7EFE" w:rsidP="006B7EFE">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B7EFE">
        <w:rPr>
          <w:rFonts w:ascii="Times New Roman" w:eastAsia="Times New Roman" w:hAnsi="Times New Roman" w:cs="Times New Roman"/>
          <w:sz w:val="24"/>
          <w:szCs w:val="24"/>
          <w:lang w:eastAsia="fr-FR"/>
        </w:rPr>
        <w:lastRenderedPageBreak/>
        <w:t>k</w:t>
      </w:r>
      <w:r w:rsidRPr="00AD3B05">
        <w:rPr>
          <w:rFonts w:ascii="Times New Roman" w:eastAsia="Times New Roman" w:hAnsi="Times New Roman" w:cs="Times New Roman"/>
          <w:sz w:val="24"/>
          <w:szCs w:val="24"/>
          <w:vertAlign w:val="subscript"/>
          <w:lang w:eastAsia="fr-FR"/>
        </w:rPr>
        <w:t>B</w:t>
      </w:r>
      <w:r w:rsidRPr="006B7EFE">
        <w:rPr>
          <w:rFonts w:ascii="Times New Roman" w:eastAsia="Times New Roman" w:hAnsi="Times New Roman" w:cs="Times New Roman"/>
          <w:sz w:val="24"/>
          <w:szCs w:val="24"/>
          <w:lang w:eastAsia="fr-FR"/>
        </w:rPr>
        <w:t xml:space="preserve"> est la constante de Boltzmann ;</w:t>
      </w:r>
    </w:p>
    <w:p w14:paraId="4202229A" w14:textId="54B28D82" w:rsidR="006B7EFE" w:rsidRPr="006B7EFE" w:rsidRDefault="006B7EFE" w:rsidP="006B7EFE">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B7EFE">
        <w:rPr>
          <w:rFonts w:ascii="Times New Roman" w:eastAsia="Times New Roman" w:hAnsi="Times New Roman" w:cs="Times New Roman"/>
          <w:sz w:val="24"/>
          <w:szCs w:val="24"/>
          <w:lang w:eastAsia="fr-FR"/>
        </w:rPr>
        <w:t>c est la constante de la vitesse de la lumière dans le vide ;</w:t>
      </w:r>
    </w:p>
    <w:p w14:paraId="66F6551F" w14:textId="60EBA8D0" w:rsidR="006B7EFE" w:rsidRPr="006B7EFE" w:rsidRDefault="006B7EFE" w:rsidP="006B7EFE">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B7EFE">
        <w:rPr>
          <w:rFonts w:ascii="Times New Roman" w:eastAsia="Times New Roman" w:hAnsi="Times New Roman" w:cs="Times New Roman"/>
          <w:sz w:val="24"/>
          <w:szCs w:val="24"/>
          <w:lang w:eastAsia="fr-FR"/>
        </w:rPr>
        <w:t>ℏ est la constante de Planck réduite dite constante de Dirac.</w:t>
      </w:r>
    </w:p>
    <w:p w14:paraId="132C64AD" w14:textId="142C9F1E" w:rsidR="006B7EFE" w:rsidRDefault="006B7EFE" w:rsidP="006B7EFE">
      <w:pPr>
        <w:pStyle w:val="NormalWeb"/>
        <w:jc w:val="both"/>
      </w:pPr>
      <w:r>
        <w:t xml:space="preserve">Cette température est également appelée </w:t>
      </w:r>
      <w:r w:rsidRPr="006B7EFE">
        <w:t>température de Hawking</w:t>
      </w:r>
      <w:r>
        <w:t xml:space="preserve">. Ceci justifie </w:t>
      </w:r>
      <w:r w:rsidRPr="006B7EFE">
        <w:t>a priori</w:t>
      </w:r>
      <w:r>
        <w:t xml:space="preserve"> l'ensemble des calculs sur la thermodynamique des trous noirs : en effet, la différentielle de la masse en fonction de l'aire des autres quantités s'identifie à la formule du </w:t>
      </w:r>
      <w:r w:rsidRPr="006B7EFE">
        <w:t>premier principe de la thermodynamique</w:t>
      </w:r>
      <w:r>
        <w:t xml:space="preserve">, </w:t>
      </w:r>
    </w:p>
    <w:p w14:paraId="291EEF3B" w14:textId="6FC289A0" w:rsidR="006B7EFE" w:rsidRPr="006B7EFE" w:rsidRDefault="006B7EFE" w:rsidP="006B7EFE">
      <w:pPr>
        <w:ind w:left="720"/>
        <w:jc w:val="both"/>
        <w:rPr>
          <w:rFonts w:ascii="Times New Roman" w:eastAsia="Times New Roman" w:hAnsi="Times New Roman" w:cs="Times New Roman"/>
          <w:sz w:val="24"/>
          <w:szCs w:val="24"/>
          <w:lang w:eastAsia="fr-FR"/>
        </w:rPr>
      </w:pPr>
      <w:r w:rsidRPr="006B7EFE">
        <w:rPr>
          <w:rFonts w:ascii="Times New Roman" w:eastAsia="Times New Roman" w:hAnsi="Times New Roman" w:cs="Times New Roman"/>
          <w:sz w:val="24"/>
          <w:szCs w:val="24"/>
          <w:lang w:eastAsia="fr-FR"/>
        </w:rPr>
        <w:t xml:space="preserve">dU = TdS + ... </w:t>
      </w:r>
    </w:p>
    <w:p w14:paraId="22CC6E9F" w14:textId="366A21EA" w:rsidR="006B7EFE" w:rsidRDefault="006B7EFE" w:rsidP="006B7EFE">
      <w:pPr>
        <w:pStyle w:val="NormalWeb"/>
        <w:jc w:val="both"/>
      </w:pPr>
      <w:r>
        <w:t>où l'</w:t>
      </w:r>
      <w:r w:rsidRPr="006B7EFE">
        <w:t>énergie interne</w:t>
      </w:r>
      <w:r>
        <w:t xml:space="preserve"> </w:t>
      </w:r>
      <w:r w:rsidRPr="006B7EFE">
        <w:t>U</w:t>
      </w:r>
      <w:r>
        <w:t xml:space="preserve"> est remplacée dans le cas des trous noirs par leur masse (représentant leur énergie totale), et l'</w:t>
      </w:r>
      <w:r w:rsidRPr="006B7EFE">
        <w:t>entropie</w:t>
      </w:r>
      <w:r>
        <w:t xml:space="preserve"> </w:t>
      </w:r>
      <w:r w:rsidRPr="006B7EFE">
        <w:t>S</w:t>
      </w:r>
      <w:r>
        <w:t xml:space="preserve"> est, d'après les calculs de la thermodynamique des trous noirs, proportionnelle à la surface </w:t>
      </w:r>
      <w:r w:rsidRPr="006B7EFE">
        <w:t>A</w:t>
      </w:r>
      <w:r>
        <w:t xml:space="preserve"> de leur horizon. Pour rendre l'ensemble de la thermodynamique des trous noirs cohérente, il fallait démontrer que les trous noirs pouvaient posséder une température proportionnelle à la gravité de surface, ce qui a été réalisé par Hawking. </w:t>
      </w:r>
    </w:p>
    <w:p w14:paraId="4A53BDB6" w14:textId="77777777" w:rsidR="006B7EFE" w:rsidRPr="006B7EFE" w:rsidRDefault="006B7EFE" w:rsidP="006B7EFE">
      <w:pPr>
        <w:pStyle w:val="Titre1"/>
        <w:jc w:val="both"/>
        <w:rPr>
          <w:b/>
          <w:bCs/>
        </w:rPr>
      </w:pPr>
      <w:bookmarkStart w:id="2" w:name="_Toc133069816"/>
      <w:r w:rsidRPr="006B7EFE">
        <w:rPr>
          <w:rStyle w:val="mw-headline"/>
          <w:b/>
          <w:bCs/>
        </w:rPr>
        <w:t>Cas d'un trou noir de Schwarzschild</w:t>
      </w:r>
      <w:bookmarkEnd w:id="2"/>
    </w:p>
    <w:p w14:paraId="532A0614" w14:textId="2AA0CEC6" w:rsidR="0075205F" w:rsidRDefault="0075205F" w:rsidP="006B7EFE">
      <w:pPr>
        <w:pStyle w:val="NormalWeb"/>
        <w:jc w:val="both"/>
      </w:pPr>
      <w:r>
        <w:rPr>
          <w:noProof/>
        </w:rPr>
        <w:drawing>
          <wp:anchor distT="0" distB="0" distL="114300" distR="114300" simplePos="0" relativeHeight="251660288" behindDoc="0" locked="0" layoutInCell="1" allowOverlap="1" wp14:anchorId="4DEF63D3" wp14:editId="2BF76323">
            <wp:simplePos x="0" y="0"/>
            <wp:positionH relativeFrom="margin">
              <wp:align>left</wp:align>
            </wp:positionH>
            <wp:positionV relativeFrom="paragraph">
              <wp:posOffset>579120</wp:posOffset>
            </wp:positionV>
            <wp:extent cx="749300" cy="438150"/>
            <wp:effectExtent l="0" t="0" r="0" b="0"/>
            <wp:wrapTopAndBottom/>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9300" cy="438150"/>
                    </a:xfrm>
                    <a:prstGeom prst="rect">
                      <a:avLst/>
                    </a:prstGeom>
                    <a:noFill/>
                    <a:ln>
                      <a:noFill/>
                    </a:ln>
                  </pic:spPr>
                </pic:pic>
              </a:graphicData>
            </a:graphic>
          </wp:anchor>
        </w:drawing>
      </w:r>
      <w:r w:rsidR="006B7EFE">
        <w:t xml:space="preserve">Dans le cas d'un </w:t>
      </w:r>
      <w:r w:rsidR="006B7EFE" w:rsidRPr="006B7EFE">
        <w:t>trou noir de Schwarzschild</w:t>
      </w:r>
      <w:r w:rsidR="006B7EFE">
        <w:t xml:space="preserve">, on a une relation simple entre la masse et la surface du trou noir : le </w:t>
      </w:r>
      <w:r w:rsidR="006B7EFE" w:rsidRPr="006B7EFE">
        <w:t>rayon de Schwarzschild</w:t>
      </w:r>
      <w:r w:rsidR="006B7EFE">
        <w:t xml:space="preserve"> </w:t>
      </w:r>
      <w:r w:rsidR="006B7EFE" w:rsidRPr="006B7EFE">
        <w:t>R</w:t>
      </w:r>
      <w:r w:rsidR="006B7EFE">
        <w:t xml:space="preserve"> s'écrit</w:t>
      </w:r>
      <w:r w:rsidR="00AD3B05">
        <w:t> :</w:t>
      </w:r>
    </w:p>
    <w:p w14:paraId="6BCE443B" w14:textId="7A71AA80" w:rsidR="006B7EFE" w:rsidRDefault="0075205F" w:rsidP="006B7EFE">
      <w:pPr>
        <w:pStyle w:val="NormalWeb"/>
        <w:jc w:val="both"/>
      </w:pPr>
      <w:r>
        <w:rPr>
          <w:noProof/>
        </w:rPr>
        <w:drawing>
          <wp:anchor distT="0" distB="0" distL="114300" distR="114300" simplePos="0" relativeHeight="251661312" behindDoc="0" locked="0" layoutInCell="1" allowOverlap="1" wp14:anchorId="390724F4" wp14:editId="75A6F2A6">
            <wp:simplePos x="0" y="0"/>
            <wp:positionH relativeFrom="margin">
              <wp:align>left</wp:align>
            </wp:positionH>
            <wp:positionV relativeFrom="paragraph">
              <wp:posOffset>571500</wp:posOffset>
            </wp:positionV>
            <wp:extent cx="1066800" cy="387350"/>
            <wp:effectExtent l="0" t="0" r="0" b="0"/>
            <wp:wrapTopAndBottom/>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66800" cy="387350"/>
                    </a:xfrm>
                    <a:prstGeom prst="rect">
                      <a:avLst/>
                    </a:prstGeom>
                    <a:noFill/>
                    <a:ln>
                      <a:noFill/>
                    </a:ln>
                  </pic:spPr>
                </pic:pic>
              </a:graphicData>
            </a:graphic>
          </wp:anchor>
        </w:drawing>
      </w:r>
      <w:r w:rsidR="006B7EFE">
        <w:t>et sa surface (</w:t>
      </w:r>
      <w:r w:rsidR="006B7EFE" w:rsidRPr="006B7EFE">
        <w:t xml:space="preserve"> A = 4πR</w:t>
      </w:r>
      <w:r w:rsidR="006B7EFE" w:rsidRPr="0075205F">
        <w:rPr>
          <w:vertAlign w:val="superscript"/>
        </w:rPr>
        <w:t>2</w:t>
      </w:r>
      <w:r w:rsidR="006B7EFE" w:rsidRPr="006B7EFE">
        <w:t xml:space="preserve"> </w:t>
      </w:r>
      <w:r w:rsidR="006B7EFE">
        <w:t xml:space="preserve">pour une sphère) </w:t>
      </w:r>
    </w:p>
    <w:p w14:paraId="55F8427C" w14:textId="1FAE98FE" w:rsidR="006B7EFE" w:rsidRDefault="0075205F" w:rsidP="006B7EFE">
      <w:pPr>
        <w:pStyle w:val="NormalWeb"/>
        <w:jc w:val="both"/>
      </w:pPr>
      <w:r>
        <w:rPr>
          <w:noProof/>
        </w:rPr>
        <w:drawing>
          <wp:anchor distT="0" distB="0" distL="114300" distR="114300" simplePos="0" relativeHeight="251662336" behindDoc="0" locked="0" layoutInCell="1" allowOverlap="1" wp14:anchorId="7459DA0A" wp14:editId="0830056B">
            <wp:simplePos x="0" y="0"/>
            <wp:positionH relativeFrom="margin">
              <wp:align>left</wp:align>
            </wp:positionH>
            <wp:positionV relativeFrom="paragraph">
              <wp:posOffset>504190</wp:posOffset>
            </wp:positionV>
            <wp:extent cx="1104900" cy="577850"/>
            <wp:effectExtent l="0" t="0" r="0" b="0"/>
            <wp:wrapTopAndBottom/>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04900" cy="577850"/>
                    </a:xfrm>
                    <a:prstGeom prst="rect">
                      <a:avLst/>
                    </a:prstGeom>
                    <a:noFill/>
                    <a:ln>
                      <a:noFill/>
                    </a:ln>
                  </pic:spPr>
                </pic:pic>
              </a:graphicData>
            </a:graphic>
          </wp:anchor>
        </w:drawing>
      </w:r>
      <w:r w:rsidR="006B7EFE">
        <w:t xml:space="preserve">On peut alors exprimer M en fonction de A de la manière suivante </w:t>
      </w:r>
    </w:p>
    <w:p w14:paraId="28CFA467" w14:textId="46E243E9" w:rsidR="006B7EFE" w:rsidRDefault="0075205F" w:rsidP="006B7EFE">
      <w:pPr>
        <w:pStyle w:val="NormalWeb"/>
        <w:jc w:val="both"/>
      </w:pPr>
      <w:r>
        <w:rPr>
          <w:noProof/>
        </w:rPr>
        <w:drawing>
          <wp:anchor distT="0" distB="0" distL="114300" distR="114300" simplePos="0" relativeHeight="251663360" behindDoc="0" locked="0" layoutInCell="1" allowOverlap="1" wp14:anchorId="7804DFBF" wp14:editId="71541796">
            <wp:simplePos x="0" y="0"/>
            <wp:positionH relativeFrom="margin">
              <wp:align>left</wp:align>
            </wp:positionH>
            <wp:positionV relativeFrom="paragraph">
              <wp:posOffset>720090</wp:posOffset>
            </wp:positionV>
            <wp:extent cx="1803400" cy="438150"/>
            <wp:effectExtent l="0" t="0" r="6350" b="0"/>
            <wp:wrapTopAndBottom/>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3400" cy="438150"/>
                    </a:xfrm>
                    <a:prstGeom prst="rect">
                      <a:avLst/>
                    </a:prstGeom>
                    <a:noFill/>
                    <a:ln>
                      <a:noFill/>
                    </a:ln>
                  </pic:spPr>
                </pic:pic>
              </a:graphicData>
            </a:graphic>
          </wp:anchor>
        </w:drawing>
      </w:r>
      <w:r w:rsidR="006B7EFE">
        <w:t xml:space="preserve">On a donc </w:t>
      </w:r>
    </w:p>
    <w:p w14:paraId="5812F862" w14:textId="70CEC180" w:rsidR="006B7EFE" w:rsidRDefault="0075205F" w:rsidP="006B7EFE">
      <w:pPr>
        <w:pStyle w:val="NormalWeb"/>
        <w:jc w:val="both"/>
      </w:pPr>
      <w:r>
        <w:rPr>
          <w:noProof/>
        </w:rPr>
        <w:drawing>
          <wp:anchor distT="0" distB="0" distL="114300" distR="114300" simplePos="0" relativeHeight="251664384" behindDoc="0" locked="0" layoutInCell="1" allowOverlap="1" wp14:anchorId="10CC6F0C" wp14:editId="544E7C48">
            <wp:simplePos x="0" y="0"/>
            <wp:positionH relativeFrom="margin">
              <wp:align>left</wp:align>
            </wp:positionH>
            <wp:positionV relativeFrom="paragraph">
              <wp:posOffset>599440</wp:posOffset>
            </wp:positionV>
            <wp:extent cx="1041400" cy="463550"/>
            <wp:effectExtent l="0" t="0" r="6350" b="0"/>
            <wp:wrapTopAndBottom/>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1400" cy="463550"/>
                    </a:xfrm>
                    <a:prstGeom prst="rect">
                      <a:avLst/>
                    </a:prstGeom>
                    <a:noFill/>
                    <a:ln>
                      <a:noFill/>
                    </a:ln>
                  </pic:spPr>
                </pic:pic>
              </a:graphicData>
            </a:graphic>
          </wp:anchor>
        </w:drawing>
      </w:r>
      <w:r w:rsidR="006B7EFE">
        <w:t xml:space="preserve">or </w:t>
      </w:r>
    </w:p>
    <w:p w14:paraId="3C8AC58A" w14:textId="62785954" w:rsidR="006B7EFE" w:rsidRDefault="0075205F" w:rsidP="006B7EFE">
      <w:pPr>
        <w:pStyle w:val="NormalWeb"/>
        <w:jc w:val="both"/>
      </w:pPr>
      <w:r>
        <w:rPr>
          <w:noProof/>
        </w:rPr>
        <w:drawing>
          <wp:anchor distT="0" distB="0" distL="114300" distR="114300" simplePos="0" relativeHeight="251665408" behindDoc="0" locked="0" layoutInCell="1" allowOverlap="1" wp14:anchorId="385D3146" wp14:editId="3E07DE28">
            <wp:simplePos x="0" y="0"/>
            <wp:positionH relativeFrom="margin">
              <wp:align>left</wp:align>
            </wp:positionH>
            <wp:positionV relativeFrom="paragraph">
              <wp:posOffset>561340</wp:posOffset>
            </wp:positionV>
            <wp:extent cx="819150" cy="450850"/>
            <wp:effectExtent l="0" t="0" r="0" b="6350"/>
            <wp:wrapTopAndBottom/>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19150" cy="450850"/>
                    </a:xfrm>
                    <a:prstGeom prst="rect">
                      <a:avLst/>
                    </a:prstGeom>
                    <a:noFill/>
                    <a:ln>
                      <a:noFill/>
                    </a:ln>
                  </pic:spPr>
                </pic:pic>
              </a:graphicData>
            </a:graphic>
          </wp:anchor>
        </w:drawing>
      </w:r>
      <w:r w:rsidR="006B7EFE">
        <w:t xml:space="preserve">La gravité de surface est donc </w:t>
      </w:r>
    </w:p>
    <w:p w14:paraId="67402098" w14:textId="126A42F4" w:rsidR="006B7EFE" w:rsidRDefault="0075205F" w:rsidP="006B7EFE">
      <w:pPr>
        <w:pStyle w:val="NormalWeb"/>
        <w:jc w:val="both"/>
      </w:pPr>
      <w:r>
        <w:rPr>
          <w:noProof/>
        </w:rPr>
        <w:drawing>
          <wp:anchor distT="0" distB="0" distL="114300" distR="114300" simplePos="0" relativeHeight="251666432" behindDoc="0" locked="0" layoutInCell="1" allowOverlap="1" wp14:anchorId="23FD81BE" wp14:editId="11974025">
            <wp:simplePos x="0" y="0"/>
            <wp:positionH relativeFrom="margin">
              <wp:align>left</wp:align>
            </wp:positionH>
            <wp:positionV relativeFrom="paragraph">
              <wp:posOffset>567690</wp:posOffset>
            </wp:positionV>
            <wp:extent cx="1149350" cy="482600"/>
            <wp:effectExtent l="0" t="0" r="0" b="0"/>
            <wp:wrapTopAndBottom/>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9350" cy="482600"/>
                    </a:xfrm>
                    <a:prstGeom prst="rect">
                      <a:avLst/>
                    </a:prstGeom>
                    <a:noFill/>
                    <a:ln>
                      <a:noFill/>
                    </a:ln>
                  </pic:spPr>
                </pic:pic>
              </a:graphicData>
            </a:graphic>
          </wp:anchor>
        </w:drawing>
      </w:r>
      <w:r w:rsidR="006B7EFE">
        <w:t xml:space="preserve">incidemment en accord avec la formule usuelle </w:t>
      </w:r>
      <w:r w:rsidR="006B7EFE" w:rsidRPr="006B7EFE">
        <w:t>κ = GM</w:t>
      </w:r>
      <w:r>
        <w:t>/</w:t>
      </w:r>
      <w:r w:rsidR="006B7EFE" w:rsidRPr="006B7EFE">
        <w:t>R</w:t>
      </w:r>
      <w:r w:rsidR="006B7EFE" w:rsidRPr="0075205F">
        <w:rPr>
          <w:vertAlign w:val="superscript"/>
        </w:rPr>
        <w:t>2</w:t>
      </w:r>
      <w:r w:rsidR="006B7EFE">
        <w:t xml:space="preserve">, et la température vaut </w:t>
      </w:r>
    </w:p>
    <w:p w14:paraId="0BF09654" w14:textId="6A726DC3" w:rsidR="006B7EFE" w:rsidRDefault="006B7EFE" w:rsidP="006B7EFE">
      <w:pPr>
        <w:pStyle w:val="NormalWeb"/>
        <w:jc w:val="both"/>
      </w:pPr>
      <w:r>
        <w:lastRenderedPageBreak/>
        <w:t xml:space="preserve">La température est donc inversement proportionnelle à la masse. Ce résultat n'est guère surprenant : la seule échelle de longueur du problème est le rayon de Schwarzschild, proportionnelle à la masse. La température d'un rayonnement est déterminée par l'énergie typique des particules (en l'occurrence des photons), de fréquence </w:t>
      </w:r>
      <w:r w:rsidRPr="006B7EFE">
        <w:t xml:space="preserve">ν </w:t>
      </w:r>
      <w:r>
        <w:t xml:space="preserve">, selon une formule du type </w:t>
      </w:r>
      <w:r w:rsidRPr="006B7EFE">
        <w:t>k</w:t>
      </w:r>
      <w:r w:rsidRPr="00AA77CC">
        <w:rPr>
          <w:vertAlign w:val="subscript"/>
        </w:rPr>
        <w:t>B</w:t>
      </w:r>
      <w:r w:rsidRPr="006B7EFE">
        <w:t xml:space="preserve">T </w:t>
      </w:r>
      <w:r w:rsidRPr="006B7EFE">
        <w:rPr>
          <w:rFonts w:ascii="Cambria Math" w:hAnsi="Cambria Math" w:cs="Cambria Math"/>
        </w:rPr>
        <w:t>≃</w:t>
      </w:r>
      <w:r w:rsidRPr="006B7EFE">
        <w:t xml:space="preserve"> hν </w:t>
      </w:r>
      <w:r w:rsidRPr="006B7EFE">
        <w:rPr>
          <w:rFonts w:ascii="Cambria Math" w:hAnsi="Cambria Math" w:cs="Cambria Math"/>
        </w:rPr>
        <w:t>≃</w:t>
      </w:r>
      <w:r w:rsidRPr="006B7EFE">
        <w:t xml:space="preserve"> hc/λ</w:t>
      </w:r>
      <w:r>
        <w:t xml:space="preserve">. Il est naturel que la longueur d'onde des photons soit déterminée par l'échelle de longueur disponible, proportionnelle à la masse, aussi la température est-elle naturellement inversement proportionnelle à cette dernière. </w:t>
      </w:r>
    </w:p>
    <w:p w14:paraId="27C3D089" w14:textId="2AB32D72" w:rsidR="006B7EFE" w:rsidRDefault="00AA77CC" w:rsidP="006B7EFE">
      <w:pPr>
        <w:pStyle w:val="NormalWeb"/>
        <w:jc w:val="both"/>
      </w:pPr>
      <w:r>
        <w:rPr>
          <w:noProof/>
        </w:rPr>
        <w:drawing>
          <wp:anchor distT="0" distB="0" distL="114300" distR="114300" simplePos="0" relativeHeight="251667456" behindDoc="0" locked="0" layoutInCell="1" allowOverlap="1" wp14:anchorId="28AEA952" wp14:editId="36E32DCE">
            <wp:simplePos x="0" y="0"/>
            <wp:positionH relativeFrom="margin">
              <wp:align>left</wp:align>
            </wp:positionH>
            <wp:positionV relativeFrom="paragraph">
              <wp:posOffset>248920</wp:posOffset>
            </wp:positionV>
            <wp:extent cx="1066800" cy="482600"/>
            <wp:effectExtent l="0" t="0" r="0" b="0"/>
            <wp:wrapTopAndBottom/>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66800" cy="482600"/>
                    </a:xfrm>
                    <a:prstGeom prst="rect">
                      <a:avLst/>
                    </a:prstGeom>
                    <a:noFill/>
                    <a:ln>
                      <a:noFill/>
                    </a:ln>
                  </pic:spPr>
                </pic:pic>
              </a:graphicData>
            </a:graphic>
          </wp:anchor>
        </w:drawing>
      </w:r>
      <w:r w:rsidR="006B7EFE">
        <w:t xml:space="preserve">La formule précédente peut se réécrire en </w:t>
      </w:r>
      <w:r w:rsidR="006B7EFE" w:rsidRPr="006B7EFE">
        <w:t>unités de Planck</w:t>
      </w:r>
      <w:r w:rsidR="006B7EFE">
        <w:t xml:space="preserve"> selon </w:t>
      </w:r>
    </w:p>
    <w:p w14:paraId="611040D6" w14:textId="06A9E1DA" w:rsidR="006B7EFE" w:rsidRDefault="00AA77CC" w:rsidP="006B7EFE">
      <w:pPr>
        <w:pStyle w:val="NormalWeb"/>
        <w:jc w:val="both"/>
      </w:pPr>
      <w:r>
        <w:rPr>
          <w:noProof/>
        </w:rPr>
        <w:drawing>
          <wp:anchor distT="0" distB="0" distL="114300" distR="114300" simplePos="0" relativeHeight="251668480" behindDoc="0" locked="0" layoutInCell="1" allowOverlap="1" wp14:anchorId="0CF3A894" wp14:editId="3E4A0F15">
            <wp:simplePos x="0" y="0"/>
            <wp:positionH relativeFrom="margin">
              <wp:align>left</wp:align>
            </wp:positionH>
            <wp:positionV relativeFrom="paragraph">
              <wp:posOffset>224155</wp:posOffset>
            </wp:positionV>
            <wp:extent cx="1695450" cy="400050"/>
            <wp:effectExtent l="0" t="0" r="0" b="0"/>
            <wp:wrapTopAndBottom/>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95450" cy="400050"/>
                    </a:xfrm>
                    <a:prstGeom prst="rect">
                      <a:avLst/>
                    </a:prstGeom>
                    <a:noFill/>
                    <a:ln>
                      <a:noFill/>
                    </a:ln>
                  </pic:spPr>
                </pic:pic>
              </a:graphicData>
            </a:graphic>
          </wp:anchor>
        </w:drawing>
      </w:r>
      <w:r w:rsidR="006B7EFE">
        <w:t xml:space="preserve">De façon plus intéressante, on peut la réécrire en unité de </w:t>
      </w:r>
      <w:r w:rsidR="006B7EFE" w:rsidRPr="006B7EFE">
        <w:t>masse solaire</w:t>
      </w:r>
      <w:r w:rsidR="006B7EFE">
        <w:t xml:space="preserve">, ce qui donne : </w:t>
      </w:r>
    </w:p>
    <w:p w14:paraId="1F01AF22" w14:textId="7F1FEBE6" w:rsidR="006B7EFE" w:rsidRDefault="006B7EFE" w:rsidP="006B7EFE">
      <w:pPr>
        <w:pStyle w:val="NormalWeb"/>
        <w:jc w:val="both"/>
      </w:pPr>
      <w:r>
        <w:t xml:space="preserve">Ainsi, un trou noir d'une </w:t>
      </w:r>
      <w:r w:rsidRPr="006B7EFE">
        <w:t>masse solaire</w:t>
      </w:r>
      <w:r>
        <w:t xml:space="preserve"> a une température de l'ordre du dix-millionième de </w:t>
      </w:r>
      <w:r w:rsidRPr="006B7EFE">
        <w:t>kelvin</w:t>
      </w:r>
      <w:r>
        <w:t>. Cette température augmente à mesure que la masse du trou noir diminue. Il existe donc un effet d'emballement : plus le trou noir rayonne, plus il perd de l'énergie (sa masse va diminuer, voir ci-dessous), et plus il est chaud. Ceci n'est pas sans rappeler l'</w:t>
      </w:r>
      <w:r w:rsidRPr="006B7EFE">
        <w:t>évolution stellaire</w:t>
      </w:r>
      <w:r>
        <w:t xml:space="preserve">, où une </w:t>
      </w:r>
      <w:r w:rsidRPr="006B7EFE">
        <w:t>étoile</w:t>
      </w:r>
      <w:r>
        <w:t xml:space="preserve"> est le siège de </w:t>
      </w:r>
      <w:r w:rsidRPr="006B7EFE">
        <w:t>réactions nucléaires</w:t>
      </w:r>
      <w:r>
        <w:t xml:space="preserve"> de plus en plus rapides à mesure que son évolution se poursuit. </w:t>
      </w:r>
    </w:p>
    <w:p w14:paraId="1EA86E7D" w14:textId="00AB41B8" w:rsidR="006B7EFE" w:rsidRDefault="006B7EFE" w:rsidP="006B7EFE">
      <w:pPr>
        <w:pStyle w:val="NormalWeb"/>
        <w:jc w:val="both"/>
      </w:pPr>
      <w:r>
        <w:t xml:space="preserve">Si cet ordre de grandeur est correct en général, il est significativement erroné dans plusieurs cas. En particulier, pour un </w:t>
      </w:r>
      <w:r w:rsidRPr="006B7EFE">
        <w:t>trou noir extrémal</w:t>
      </w:r>
      <w:r>
        <w:t xml:space="preserve">, c'est-à-dire possédant une valeur maximale de la charge électrique ou du moment cinétique, alors on montre que la température du trou noir est strictement nulle. Un tel résultat est l'analogue en thermodynamique des trous noirs du </w:t>
      </w:r>
      <w:r w:rsidRPr="006B7EFE">
        <w:t>troisième principe de la thermodynamique</w:t>
      </w:r>
      <w:r>
        <w:t>, qui indique qu'il n'est pas possible d'atteindre un état de température nulle (ou d'</w:t>
      </w:r>
      <w:r w:rsidRPr="006B7EFE">
        <w:t>entropie</w:t>
      </w:r>
      <w:r>
        <w:t xml:space="preserve"> minimale) par un quelconque processus physique. </w:t>
      </w:r>
    </w:p>
    <w:p w14:paraId="3EA381A9" w14:textId="77777777" w:rsidR="006B7EFE" w:rsidRPr="006B7EFE" w:rsidRDefault="006B7EFE" w:rsidP="006B7EFE">
      <w:pPr>
        <w:pStyle w:val="Titre1"/>
        <w:jc w:val="both"/>
        <w:rPr>
          <w:b/>
          <w:bCs/>
        </w:rPr>
      </w:pPr>
      <w:bookmarkStart w:id="3" w:name="_Toc133069817"/>
      <w:r w:rsidRPr="006B7EFE">
        <w:rPr>
          <w:rStyle w:val="mw-headline"/>
          <w:b/>
          <w:bCs/>
        </w:rPr>
        <w:t>Évolution d'un trou noir isolé</w:t>
      </w:r>
      <w:bookmarkEnd w:id="3"/>
    </w:p>
    <w:p w14:paraId="21B1F87A" w14:textId="77777777" w:rsidR="006B7EFE" w:rsidRDefault="006B7EFE" w:rsidP="006B7EFE">
      <w:pPr>
        <w:pStyle w:val="NormalWeb"/>
        <w:jc w:val="both"/>
      </w:pPr>
      <w:r>
        <w:t xml:space="preserve">Une autre conséquence de la dépendance inverse entre température et masse est qu'un trou noir ne peut pas être en équilibre avec un bain thermique : si la température du bain est supérieure à celle du trou noir, le trou noir va plus absorber de rayonnement qu'il ne va en émettre, et ainsi augmenter sa masse et diminuer sa température. L'écart de température entre le trou noir et le bain thermique va donc augmenter. Il en est de même si cette fois la température du bain est inférieure à celle du trou noir. Cette fois, c'est la température du trou noir qui va augmenter et différer de plus en plus de celle du bain. </w:t>
      </w:r>
    </w:p>
    <w:p w14:paraId="4396301E" w14:textId="512A8D11" w:rsidR="006B7EFE" w:rsidRDefault="003669CE" w:rsidP="006B7EFE">
      <w:pPr>
        <w:pStyle w:val="NormalWeb"/>
        <w:jc w:val="both"/>
      </w:pPr>
      <w:r>
        <w:rPr>
          <w:noProof/>
        </w:rPr>
        <w:drawing>
          <wp:anchor distT="0" distB="0" distL="114300" distR="114300" simplePos="0" relativeHeight="251669504" behindDoc="0" locked="0" layoutInCell="1" allowOverlap="1" wp14:anchorId="7EC15BAD" wp14:editId="687297BF">
            <wp:simplePos x="0" y="0"/>
            <wp:positionH relativeFrom="margin">
              <wp:align>left</wp:align>
            </wp:positionH>
            <wp:positionV relativeFrom="paragraph">
              <wp:posOffset>2651125</wp:posOffset>
            </wp:positionV>
            <wp:extent cx="2717800" cy="463550"/>
            <wp:effectExtent l="0" t="0" r="6350" b="0"/>
            <wp:wrapTopAndBottom/>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17800" cy="463550"/>
                    </a:xfrm>
                    <a:prstGeom prst="rect">
                      <a:avLst/>
                    </a:prstGeom>
                    <a:noFill/>
                    <a:ln>
                      <a:noFill/>
                    </a:ln>
                  </pic:spPr>
                </pic:pic>
              </a:graphicData>
            </a:graphic>
          </wp:anchor>
        </w:drawing>
      </w:r>
      <w:r w:rsidR="006B7EFE">
        <w:t xml:space="preserve">À l'heure actuelle, l'univers entier baigne dans un rayonnement thermique, le </w:t>
      </w:r>
      <w:r w:rsidR="006B7EFE" w:rsidRPr="006B7EFE">
        <w:t>fond diffus cosmologique</w:t>
      </w:r>
      <w:r w:rsidR="006B7EFE">
        <w:t xml:space="preserve">. Ce rayonnement est à une température de 2,7 </w:t>
      </w:r>
      <w:r w:rsidR="006B7EFE" w:rsidRPr="006B7EFE">
        <w:t>kelvins</w:t>
      </w:r>
      <w:r w:rsidR="006B7EFE">
        <w:t>, qui est donc supérieure à celle d'un trou noir stellaire. Un tel trou noir, même s'il est complètement isolé (pas d'</w:t>
      </w:r>
      <w:r w:rsidR="006B7EFE" w:rsidRPr="006B7EFE">
        <w:t>accrétion</w:t>
      </w:r>
      <w:r w:rsidR="006B7EFE">
        <w:t xml:space="preserve"> de matière du </w:t>
      </w:r>
      <w:r w:rsidR="006B7EFE" w:rsidRPr="006B7EFE">
        <w:t>milieu interstellaire</w:t>
      </w:r>
      <w:r w:rsidR="006B7EFE">
        <w:t xml:space="preserve"> ou d'un compagnon), va donc absorber du rayonnement. Cette phase va durer jusqu'à ce que la température du fond diffus cosmologique ait suffisamment baissé du fait de l'</w:t>
      </w:r>
      <w:r w:rsidR="006B7EFE" w:rsidRPr="006B7EFE">
        <w:t>expansion de l'Univers</w:t>
      </w:r>
      <w:r w:rsidR="006B7EFE">
        <w:t xml:space="preserve">. La durée de cette phase peut être calculée de façon approximative en utilisant les paramètres issus du </w:t>
      </w:r>
      <w:r w:rsidR="006B7EFE" w:rsidRPr="006B7EFE">
        <w:t>modèle standard de la cosmologie</w:t>
      </w:r>
      <w:r w:rsidR="006B7EFE">
        <w:t xml:space="preserve">. À l'heure </w:t>
      </w:r>
      <w:r w:rsidR="006B7EFE">
        <w:lastRenderedPageBreak/>
        <w:t xml:space="preserve">actuelle, on assiste à une </w:t>
      </w:r>
      <w:r w:rsidR="006B7EFE" w:rsidRPr="006B7EFE">
        <w:t>accélération de l'expansion de l'univers</w:t>
      </w:r>
      <w:r w:rsidR="006B7EFE">
        <w:t xml:space="preserve">, qui se traduit par le fait que l'expansion semble tendre vers une loi exponentielle, où les distances sont multipliées par 2,7 en un temps de l'ordre du </w:t>
      </w:r>
      <w:r w:rsidR="006B7EFE" w:rsidRPr="006B7EFE">
        <w:t>temps de Hubble</w:t>
      </w:r>
      <w:r w:rsidR="006B7EFE">
        <w:t>, soit 13,5 milliards d'années. La température du fond diffus cosmologique décroît comme l'inverse de la dilatation des longueurs. Ainsi, pour que la température du fond diffus cosmologique atteigne la valeur de 6,15×10</w:t>
      </w:r>
      <w:r w:rsidR="006B7EFE">
        <w:rPr>
          <w:vertAlign w:val="superscript"/>
        </w:rPr>
        <w:t>-8</w:t>
      </w:r>
      <w:r w:rsidR="006B7EFE">
        <w:t xml:space="preserve"> K, il faut attendre environ 18 temps de Hubble. Des trous noirs moins massifs que des trous noirs stellaires pourraient, eux, être en train de s'évaporer aujourd'hui. Pour cela, il faut que leur masse soit inférieure à </w:t>
      </w:r>
    </w:p>
    <w:p w14:paraId="48740EB7" w14:textId="6816E3B5" w:rsidR="006B7EFE" w:rsidRDefault="006B7EFE" w:rsidP="006B7EFE">
      <w:pPr>
        <w:pStyle w:val="NormalWeb"/>
        <w:jc w:val="both"/>
      </w:pPr>
      <w:r>
        <w:t xml:space="preserve">soit une masse comprise entre celles de </w:t>
      </w:r>
      <w:r w:rsidRPr="006B7EFE">
        <w:t>Mercure</w:t>
      </w:r>
      <w:r>
        <w:t xml:space="preserve"> et </w:t>
      </w:r>
      <w:r w:rsidRPr="006B7EFE">
        <w:t>Pluton</w:t>
      </w:r>
      <w:r>
        <w:t xml:space="preserve">. </w:t>
      </w:r>
    </w:p>
    <w:p w14:paraId="27656B4F" w14:textId="6BD914C7" w:rsidR="006B7EFE" w:rsidRDefault="006B7EFE" w:rsidP="006B7EFE">
      <w:pPr>
        <w:pStyle w:val="NormalWeb"/>
        <w:jc w:val="both"/>
      </w:pPr>
      <w:r>
        <w:t>Aucun processus astrophysique connu ne permet de réaliser des trous noirs de masse aussi petite, mais il est possible que de tels objets se soient formés dans l'</w:t>
      </w:r>
      <w:r w:rsidRPr="006B7EFE">
        <w:t>univers primordial</w:t>
      </w:r>
      <w:r>
        <w:t xml:space="preserve">. De tels </w:t>
      </w:r>
      <w:r w:rsidRPr="006B7EFE">
        <w:t>trous noirs primordiaux</w:t>
      </w:r>
      <w:r>
        <w:t xml:space="preserve"> pourraient exister, et révéler leur signature par le phénomène d'évaporation. En effet, en fin d'évaporation, alors que le trou noir atteint une masse de quelques milliards de tonnes seulement, un trou noir rayonne à une température de l'ordre de 10</w:t>
      </w:r>
      <w:r>
        <w:rPr>
          <w:vertAlign w:val="superscript"/>
        </w:rPr>
        <w:t>11</w:t>
      </w:r>
      <w:r>
        <w:t xml:space="preserve"> K, soit dans le domaine des </w:t>
      </w:r>
      <w:r w:rsidRPr="006B7EFE">
        <w:t>rayons gamma</w:t>
      </w:r>
      <w:r>
        <w:t xml:space="preserve">, et pourrait laisser une signature observationnelle dans ce domaine de longueur d'onde. </w:t>
      </w:r>
    </w:p>
    <w:p w14:paraId="3BC34D64" w14:textId="0D3E6964" w:rsidR="006B7EFE" w:rsidRPr="006B7EFE" w:rsidRDefault="006B7EFE" w:rsidP="006B7EFE">
      <w:pPr>
        <w:pStyle w:val="Titre1"/>
        <w:jc w:val="both"/>
        <w:rPr>
          <w:b/>
          <w:bCs/>
        </w:rPr>
      </w:pPr>
      <w:bookmarkStart w:id="4" w:name="_Toc133069818"/>
      <w:r w:rsidRPr="006B7EFE">
        <w:rPr>
          <w:rStyle w:val="mw-headline"/>
          <w:b/>
          <w:bCs/>
        </w:rPr>
        <w:t>Temps d'évaporation</w:t>
      </w:r>
      <w:bookmarkEnd w:id="4"/>
    </w:p>
    <w:p w14:paraId="1E17816E" w14:textId="5A641F5F" w:rsidR="006B7EFE" w:rsidRDefault="00AA1535" w:rsidP="006B7EFE">
      <w:pPr>
        <w:pStyle w:val="NormalWeb"/>
        <w:jc w:val="both"/>
      </w:pPr>
      <w:r>
        <w:rPr>
          <w:noProof/>
        </w:rPr>
        <w:drawing>
          <wp:anchor distT="0" distB="0" distL="114300" distR="114300" simplePos="0" relativeHeight="251670528" behindDoc="0" locked="0" layoutInCell="1" allowOverlap="1" wp14:anchorId="3570C357" wp14:editId="4E146ACF">
            <wp:simplePos x="0" y="0"/>
            <wp:positionH relativeFrom="margin">
              <wp:align>left</wp:align>
            </wp:positionH>
            <wp:positionV relativeFrom="paragraph">
              <wp:posOffset>750570</wp:posOffset>
            </wp:positionV>
            <wp:extent cx="1098550" cy="279400"/>
            <wp:effectExtent l="0" t="0" r="6350" b="6350"/>
            <wp:wrapTopAndBottom/>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98550" cy="279400"/>
                    </a:xfrm>
                    <a:prstGeom prst="rect">
                      <a:avLst/>
                    </a:prstGeom>
                    <a:noFill/>
                    <a:ln>
                      <a:noFill/>
                    </a:ln>
                  </pic:spPr>
                </pic:pic>
              </a:graphicData>
            </a:graphic>
          </wp:anchor>
        </w:drawing>
      </w:r>
      <w:r w:rsidR="006B7EFE">
        <w:t xml:space="preserve">Il est possible d'estimer (avec des incertitudes, voir ci-dessous) le temps d'évaporation d'un trou noir. D'ordinaire, l'énergie rayonnée par un corps sphérique dont la température de surface est </w:t>
      </w:r>
      <w:r w:rsidR="006B7EFE" w:rsidRPr="006B7EFE">
        <w:t>T</w:t>
      </w:r>
      <w:r w:rsidR="006B7EFE">
        <w:t xml:space="preserve"> et le rayon est </w:t>
      </w:r>
      <w:r w:rsidR="006B7EFE" w:rsidRPr="006B7EFE">
        <w:t>R</w:t>
      </w:r>
      <w:r w:rsidR="006B7EFE">
        <w:t xml:space="preserve"> s'écrit </w:t>
      </w:r>
    </w:p>
    <w:p w14:paraId="05AA7C1C" w14:textId="5A1B6A3C" w:rsidR="006B7EFE" w:rsidRDefault="00AA1535" w:rsidP="006B7EFE">
      <w:pPr>
        <w:pStyle w:val="NormalWeb"/>
        <w:jc w:val="both"/>
      </w:pPr>
      <w:r>
        <w:rPr>
          <w:noProof/>
        </w:rPr>
        <w:drawing>
          <wp:anchor distT="0" distB="0" distL="114300" distR="114300" simplePos="0" relativeHeight="251671552" behindDoc="0" locked="0" layoutInCell="1" allowOverlap="1" wp14:anchorId="294750C0" wp14:editId="68C778A7">
            <wp:simplePos x="0" y="0"/>
            <wp:positionH relativeFrom="margin">
              <wp:align>left</wp:align>
            </wp:positionH>
            <wp:positionV relativeFrom="paragraph">
              <wp:posOffset>574040</wp:posOffset>
            </wp:positionV>
            <wp:extent cx="1485900" cy="463550"/>
            <wp:effectExtent l="0" t="0" r="0" b="0"/>
            <wp:wrapTopAndBottom/>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85900" cy="463550"/>
                    </a:xfrm>
                    <a:prstGeom prst="rect">
                      <a:avLst/>
                    </a:prstGeom>
                    <a:noFill/>
                    <a:ln>
                      <a:noFill/>
                    </a:ln>
                  </pic:spPr>
                </pic:pic>
              </a:graphicData>
            </a:graphic>
          </wp:anchor>
        </w:drawing>
      </w:r>
      <w:r w:rsidR="006B7EFE">
        <w:t xml:space="preserve">où σ est la </w:t>
      </w:r>
      <w:r w:rsidR="006B7EFE" w:rsidRPr="006B7EFE">
        <w:t>constante de Stefan-Boltzmann</w:t>
      </w:r>
      <w:r w:rsidR="006B7EFE">
        <w:t>. La perte d'</w:t>
      </w:r>
      <w:r w:rsidR="006B7EFE" w:rsidRPr="006B7EFE">
        <w:t>énergie de masse</w:t>
      </w:r>
      <w:r w:rsidR="006B7EFE">
        <w:t xml:space="preserve"> d'un trou noir s'écrit donc en principe </w:t>
      </w:r>
    </w:p>
    <w:p w14:paraId="47B992F3" w14:textId="4C3A0CAC" w:rsidR="006B7EFE" w:rsidRDefault="00AA1535" w:rsidP="006B7EFE">
      <w:pPr>
        <w:pStyle w:val="NormalWeb"/>
        <w:jc w:val="both"/>
      </w:pPr>
      <w:r>
        <w:rPr>
          <w:noProof/>
        </w:rPr>
        <w:drawing>
          <wp:anchor distT="0" distB="0" distL="114300" distR="114300" simplePos="0" relativeHeight="251672576" behindDoc="0" locked="0" layoutInCell="1" allowOverlap="1" wp14:anchorId="2A191A5C" wp14:editId="5F0E2E44">
            <wp:simplePos x="0" y="0"/>
            <wp:positionH relativeFrom="margin">
              <wp:align>left</wp:align>
            </wp:positionH>
            <wp:positionV relativeFrom="paragraph">
              <wp:posOffset>576580</wp:posOffset>
            </wp:positionV>
            <wp:extent cx="2997200" cy="457200"/>
            <wp:effectExtent l="0" t="0" r="0" b="0"/>
            <wp:wrapTopAndBottom/>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97200" cy="457200"/>
                    </a:xfrm>
                    <a:prstGeom prst="rect">
                      <a:avLst/>
                    </a:prstGeom>
                    <a:noFill/>
                    <a:ln>
                      <a:noFill/>
                    </a:ln>
                  </pic:spPr>
                </pic:pic>
              </a:graphicData>
            </a:graphic>
          </wp:anchor>
        </w:drawing>
      </w:r>
      <w:r w:rsidR="006B7EFE">
        <w:t xml:space="preserve">Pour un trou noir de Schwarzschild, ceci s'écrit </w:t>
      </w:r>
    </w:p>
    <w:p w14:paraId="0B8CA693" w14:textId="2FE4BE3E" w:rsidR="006B7EFE" w:rsidRDefault="00AA1535" w:rsidP="006B7EFE">
      <w:pPr>
        <w:pStyle w:val="NormalWeb"/>
        <w:jc w:val="both"/>
      </w:pPr>
      <w:r>
        <w:rPr>
          <w:noProof/>
        </w:rPr>
        <w:drawing>
          <wp:anchor distT="0" distB="0" distL="114300" distR="114300" simplePos="0" relativeHeight="251673600" behindDoc="0" locked="0" layoutInCell="1" allowOverlap="1" wp14:anchorId="679F4844" wp14:editId="75631A2D">
            <wp:simplePos x="0" y="0"/>
            <wp:positionH relativeFrom="margin">
              <wp:align>left</wp:align>
            </wp:positionH>
            <wp:positionV relativeFrom="paragraph">
              <wp:posOffset>561340</wp:posOffset>
            </wp:positionV>
            <wp:extent cx="1765300" cy="450850"/>
            <wp:effectExtent l="0" t="0" r="6350" b="6350"/>
            <wp:wrapTopAndBottom/>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65300" cy="450850"/>
                    </a:xfrm>
                    <a:prstGeom prst="rect">
                      <a:avLst/>
                    </a:prstGeom>
                    <a:noFill/>
                    <a:ln>
                      <a:noFill/>
                    </a:ln>
                  </pic:spPr>
                </pic:pic>
              </a:graphicData>
            </a:graphic>
          </wp:anchor>
        </w:drawing>
      </w:r>
      <w:r w:rsidR="006B7EFE">
        <w:t xml:space="preserve">soit, en remplaçant la constante de Stefan-Boltzmann par sa valeur, </w:t>
      </w:r>
    </w:p>
    <w:p w14:paraId="6053322F" w14:textId="33318C6A" w:rsidR="006B7EFE" w:rsidRDefault="00AA1535" w:rsidP="006B7EFE">
      <w:pPr>
        <w:pStyle w:val="NormalWeb"/>
        <w:jc w:val="both"/>
      </w:pPr>
      <w:r>
        <w:rPr>
          <w:noProof/>
        </w:rPr>
        <w:drawing>
          <wp:anchor distT="0" distB="0" distL="114300" distR="114300" simplePos="0" relativeHeight="251674624" behindDoc="0" locked="0" layoutInCell="1" allowOverlap="1" wp14:anchorId="327B5FB6" wp14:editId="0EE49C8C">
            <wp:simplePos x="0" y="0"/>
            <wp:positionH relativeFrom="margin">
              <wp:align>left</wp:align>
            </wp:positionH>
            <wp:positionV relativeFrom="paragraph">
              <wp:posOffset>554990</wp:posOffset>
            </wp:positionV>
            <wp:extent cx="1333500" cy="425450"/>
            <wp:effectExtent l="0" t="0" r="0" b="0"/>
            <wp:wrapTopAndBottom/>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33500" cy="425450"/>
                    </a:xfrm>
                    <a:prstGeom prst="rect">
                      <a:avLst/>
                    </a:prstGeom>
                    <a:noFill/>
                    <a:ln>
                      <a:noFill/>
                    </a:ln>
                  </pic:spPr>
                </pic:pic>
              </a:graphicData>
            </a:graphic>
          </wp:anchor>
        </w:drawing>
      </w:r>
      <w:r w:rsidR="006B7EFE">
        <w:t xml:space="preserve">Le temps d'évaporation d'un trou noir de masse </w:t>
      </w:r>
      <w:r w:rsidR="006B7EFE" w:rsidRPr="006B7EFE">
        <w:t>M</w:t>
      </w:r>
      <w:r w:rsidR="006B7EFE">
        <w:t xml:space="preserve"> s'écrit donc </w:t>
      </w:r>
    </w:p>
    <w:p w14:paraId="44214EC7" w14:textId="1C43EBA4" w:rsidR="006B7EFE" w:rsidRDefault="00AA1535" w:rsidP="006B7EFE">
      <w:pPr>
        <w:pStyle w:val="NormalWeb"/>
        <w:jc w:val="both"/>
      </w:pPr>
      <w:r>
        <w:rPr>
          <w:noProof/>
        </w:rPr>
        <w:drawing>
          <wp:anchor distT="0" distB="0" distL="114300" distR="114300" simplePos="0" relativeHeight="251675648" behindDoc="0" locked="0" layoutInCell="1" allowOverlap="1" wp14:anchorId="5EEAAAA0" wp14:editId="74B3B1F7">
            <wp:simplePos x="0" y="0"/>
            <wp:positionH relativeFrom="margin">
              <wp:align>left</wp:align>
            </wp:positionH>
            <wp:positionV relativeFrom="paragraph">
              <wp:posOffset>510540</wp:posOffset>
            </wp:positionV>
            <wp:extent cx="1898650" cy="482600"/>
            <wp:effectExtent l="0" t="0" r="6350" b="0"/>
            <wp:wrapTopAndBottom/>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98650" cy="482600"/>
                    </a:xfrm>
                    <a:prstGeom prst="rect">
                      <a:avLst/>
                    </a:prstGeom>
                    <a:noFill/>
                    <a:ln>
                      <a:noFill/>
                    </a:ln>
                  </pic:spPr>
                </pic:pic>
              </a:graphicData>
            </a:graphic>
          </wp:anchor>
        </w:drawing>
      </w:r>
      <w:r w:rsidR="006B7EFE">
        <w:t xml:space="preserve">En unités de masses solaires, on obtient </w:t>
      </w:r>
    </w:p>
    <w:p w14:paraId="16EA979C" w14:textId="4C455E6A" w:rsidR="006B7EFE" w:rsidRDefault="006B7EFE" w:rsidP="006B7EFE">
      <w:pPr>
        <w:pStyle w:val="NormalWeb"/>
        <w:jc w:val="both"/>
      </w:pPr>
      <w:r>
        <w:t>Pour une masse solaire, cette durée est environ 10</w:t>
      </w:r>
      <w:r>
        <w:rPr>
          <w:vertAlign w:val="superscript"/>
        </w:rPr>
        <w:t>57</w:t>
      </w:r>
      <w:r>
        <w:t xml:space="preserve"> fois plus grande que l'</w:t>
      </w:r>
      <w:r w:rsidRPr="006B7EFE">
        <w:t>âge de l'univers</w:t>
      </w:r>
      <w:r>
        <w:t xml:space="preserve">, illustrant le fait que l'évaporation de trous noirs stellaires est totalement négligeable. Par contre, </w:t>
      </w:r>
      <w:r>
        <w:lastRenderedPageBreak/>
        <w:t>des objets de masse 10</w:t>
      </w:r>
      <w:r>
        <w:rPr>
          <w:vertAlign w:val="superscript"/>
        </w:rPr>
        <w:t>19</w:t>
      </w:r>
      <w:r>
        <w:t xml:space="preserve"> fois plus faible qu'une masse solaire, soit de l'ordre d'un milliard de tonnes, ont un temps d'évaporation inférieur à l'âge de l'univers. </w:t>
      </w:r>
    </w:p>
    <w:p w14:paraId="40C70913" w14:textId="77777777" w:rsidR="006B7EFE" w:rsidRPr="006B7EFE" w:rsidRDefault="006B7EFE" w:rsidP="006B7EFE">
      <w:pPr>
        <w:pStyle w:val="Titre1"/>
        <w:jc w:val="both"/>
        <w:rPr>
          <w:b/>
          <w:bCs/>
        </w:rPr>
      </w:pPr>
      <w:bookmarkStart w:id="5" w:name="_Toc133069819"/>
      <w:r w:rsidRPr="006B7EFE">
        <w:rPr>
          <w:rStyle w:val="mw-headline"/>
          <w:b/>
          <w:bCs/>
        </w:rPr>
        <w:t>Limites du calcul du temps d'évaporation</w:t>
      </w:r>
      <w:bookmarkEnd w:id="5"/>
    </w:p>
    <w:p w14:paraId="2EB3E9BB" w14:textId="42629582" w:rsidR="006B7EFE" w:rsidRDefault="006B7EFE" w:rsidP="006B7EFE">
      <w:pPr>
        <w:pStyle w:val="NormalWeb"/>
        <w:jc w:val="both"/>
      </w:pPr>
      <w:r>
        <w:t xml:space="preserve">Si la dérivation ci-dessus est globalement correcte, elle comporte un certain nombre d'approximations qui la rendent inexacte. En particulier, la première équation (qui donne la perte d'énergie en fonction de la surface d'émission) s'avère incorrecte, car la quantité qui devrait intervenir n'est pas la surface, mais la </w:t>
      </w:r>
      <w:r w:rsidRPr="006B7EFE">
        <w:t>section efficace</w:t>
      </w:r>
      <w:r>
        <w:t xml:space="preserve"> d'un trou noir. D'ordinaire, ces deux quantités sont identiques à un facteur 4 près (la surface vaut 4 π </w:t>
      </w:r>
      <w:r>
        <w:rPr>
          <w:i/>
          <w:iCs/>
        </w:rPr>
        <w:t>R</w:t>
      </w:r>
      <w:r>
        <w:rPr>
          <w:vertAlign w:val="superscript"/>
        </w:rPr>
        <w:t>2</w:t>
      </w:r>
      <w:r>
        <w:t xml:space="preserve"> et la section efficace π </w:t>
      </w:r>
      <w:r>
        <w:rPr>
          <w:i/>
          <w:iCs/>
        </w:rPr>
        <w:t>R</w:t>
      </w:r>
      <w:r>
        <w:rPr>
          <w:vertAlign w:val="superscript"/>
        </w:rPr>
        <w:t>2</w:t>
      </w:r>
      <w:r>
        <w:t xml:space="preserve">). Cependant, dans le cas d'un trou noir, la </w:t>
      </w:r>
      <w:r w:rsidRPr="006B7EFE">
        <w:t>taille angulaire d'un trou noir</w:t>
      </w:r>
      <w:r>
        <w:t xml:space="preserve"> est plus grande d'un facteur </w:t>
      </w:r>
      <w:r w:rsidRPr="006B7EFE">
        <w:t>3</w:t>
      </w:r>
      <w:r w:rsidR="00D418E5">
        <w:rPr>
          <w:rFonts w:ascii="Cambria Math" w:hAnsi="Cambria Math"/>
        </w:rPr>
        <w:t>√</w:t>
      </w:r>
      <w:r w:rsidRPr="006B7EFE">
        <w:t>(3/2)</w:t>
      </w:r>
      <w:r w:rsidR="00D418E5">
        <w:t xml:space="preserve"> </w:t>
      </w:r>
      <w:r>
        <w:t xml:space="preserve">que ce qu'un calcul naïf donnerait. Ainsi, au lieu de l'aire du trou noir dans la formule ci-dessus, il faudrait rajouter un facteur 27/4. </w:t>
      </w:r>
    </w:p>
    <w:p w14:paraId="471A7DE1" w14:textId="3D769D73" w:rsidR="006B7EFE" w:rsidRDefault="006B7EFE" w:rsidP="006B7EFE">
      <w:pPr>
        <w:pStyle w:val="NormalWeb"/>
        <w:jc w:val="both"/>
      </w:pPr>
      <w:r>
        <w:t>De plus, ce type de calcul est fait dans l'approximation de l'</w:t>
      </w:r>
      <w:r w:rsidRPr="006B7EFE">
        <w:t>optique géométrique</w:t>
      </w:r>
      <w:r>
        <w:t xml:space="preserve">, où l'on suppose que les </w:t>
      </w:r>
      <w:r w:rsidRPr="006B7EFE">
        <w:t>photons</w:t>
      </w:r>
      <w:r>
        <w:t xml:space="preserve"> peuvent être assimilés à des particules ponctuelles, ou en tout cas de dimensions toujours très petites devant les autres dimensions du problème. Or dans le cas de l'évaporation des trous noirs, la </w:t>
      </w:r>
      <w:r w:rsidRPr="006B7EFE">
        <w:t>longueur d'onde</w:t>
      </w:r>
      <w:r>
        <w:t xml:space="preserve"> des photons est du même ordre que la taille physique du trou noir. Il conviendrait donc de se placer dans les calculs dans le cadre de l'optique physique, où serait prise en compte la forme exacte du front d'onde dans le champ gravitationnel du trou noir. </w:t>
      </w:r>
    </w:p>
    <w:p w14:paraId="5E5BFD7F" w14:textId="35F8AA08" w:rsidR="006B7EFE" w:rsidRDefault="006B7EFE" w:rsidP="006B7EFE">
      <w:pPr>
        <w:pStyle w:val="NormalWeb"/>
        <w:jc w:val="both"/>
      </w:pPr>
      <w:r>
        <w:t xml:space="preserve">Enfin, il a été supposé ici que le trou noir émet uniquement des </w:t>
      </w:r>
      <w:r w:rsidRPr="006B7EFE">
        <w:t>photons</w:t>
      </w:r>
      <w:r>
        <w:t>. En pratique, le phénomène d'évaporation concerne toutes les particules existantes, en tout cas toutes celles dont l'</w:t>
      </w:r>
      <w:r w:rsidRPr="006B7EFE">
        <w:t>énergie de masse</w:t>
      </w:r>
      <w:r>
        <w:t xml:space="preserve"> est inférieure à l'énergie typique des particules du rayonnement. En pratique, le trou noir rayonne aussi des </w:t>
      </w:r>
      <w:r w:rsidRPr="006B7EFE">
        <w:t>gravitons</w:t>
      </w:r>
      <w:r>
        <w:t xml:space="preserve">, voire des </w:t>
      </w:r>
      <w:r w:rsidRPr="006B7EFE">
        <w:t>neutrinos</w:t>
      </w:r>
      <w:r>
        <w:t xml:space="preserve"> (si leur masse est suffisamment faible) en plus des photons. Vers la fin de sa vie, quand sa température atteint le domaine du </w:t>
      </w:r>
      <w:r w:rsidRPr="006B7EFE">
        <w:t>gigaélectronvolt</w:t>
      </w:r>
      <w:r>
        <w:t xml:space="preserve">, il peut rayonner des </w:t>
      </w:r>
      <w:r w:rsidRPr="006B7EFE">
        <w:t>quarks</w:t>
      </w:r>
      <w:r>
        <w:t xml:space="preserve">, des </w:t>
      </w:r>
      <w:r w:rsidRPr="006B7EFE">
        <w:t>muons</w:t>
      </w:r>
      <w:r>
        <w:t xml:space="preserve"> voire d'autres particules pour l'heure inconnues. Cependant, ces dernières étapes ne concernent que la toute fin de l'évolution du trou noir. Les premiers calculs détaillés du taux d'évaporation ont été effectués par </w:t>
      </w:r>
      <w:r w:rsidRPr="006B7EFE">
        <w:t>Don Page</w:t>
      </w:r>
      <w:r>
        <w:t xml:space="preserve"> en </w:t>
      </w:r>
      <w:r w:rsidRPr="006B7EFE">
        <w:t>1976</w:t>
      </w:r>
      <w:r>
        <w:t xml:space="preserve">. </w:t>
      </w:r>
    </w:p>
    <w:p w14:paraId="0A18EC66" w14:textId="77777777" w:rsidR="006B7EFE" w:rsidRDefault="006B7EFE" w:rsidP="006B7EFE">
      <w:pPr>
        <w:pStyle w:val="NormalWeb"/>
        <w:jc w:val="both"/>
      </w:pPr>
      <w:r>
        <w:t xml:space="preserve">Finalement, ces effets ne sont pas censés affecter le résultat général, mais pourraient le corriger d'un facteur numérique qui pourrait être fort différent de 1, mais il apparaît peu probable qu'il s'éloigne de façon démesurée de 1. Aussi, le fait qu'un trou noir de masse stellaire ne puisse pas s'évaporer en un temps inférieur à l'âge de l'Univers est-il un résultat extrêmement robuste. </w:t>
      </w:r>
    </w:p>
    <w:p w14:paraId="26ACBD4F" w14:textId="7931B0CF" w:rsidR="007875E2" w:rsidRPr="007875E2" w:rsidRDefault="007875E2" w:rsidP="006B7EFE">
      <w:pPr>
        <w:jc w:val="both"/>
      </w:pPr>
    </w:p>
    <w:sectPr w:rsidR="007875E2" w:rsidRPr="007875E2">
      <w:headerReference w:type="default" r:id="rId25"/>
      <w:footerReference w:type="default" r:id="rId2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7A59A" w14:textId="77777777" w:rsidR="00183CCD" w:rsidRDefault="00183CCD" w:rsidP="00152FB7">
      <w:pPr>
        <w:spacing w:after="0" w:line="240" w:lineRule="auto"/>
      </w:pPr>
      <w:r>
        <w:separator/>
      </w:r>
    </w:p>
  </w:endnote>
  <w:endnote w:type="continuationSeparator" w:id="0">
    <w:p w14:paraId="44DCDA0E" w14:textId="77777777" w:rsidR="00183CCD" w:rsidRDefault="00183CCD" w:rsidP="00152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1656123"/>
      <w:docPartObj>
        <w:docPartGallery w:val="Page Numbers (Bottom of Page)"/>
        <w:docPartUnique/>
      </w:docPartObj>
    </w:sdtPr>
    <w:sdtContent>
      <w:p w14:paraId="26603960" w14:textId="2C6C86A5" w:rsidR="00152FB7" w:rsidRDefault="00152FB7">
        <w:pPr>
          <w:pStyle w:val="Pieddepage"/>
          <w:jc w:val="right"/>
        </w:pPr>
        <w:r>
          <w:fldChar w:fldCharType="begin"/>
        </w:r>
        <w:r>
          <w:instrText>PAGE   \* MERGEFORMAT</w:instrText>
        </w:r>
        <w:r>
          <w:fldChar w:fldCharType="separate"/>
        </w:r>
        <w:r>
          <w:t>2</w:t>
        </w:r>
        <w:r>
          <w:fldChar w:fldCharType="end"/>
        </w:r>
      </w:p>
    </w:sdtContent>
  </w:sdt>
  <w:p w14:paraId="1C360971" w14:textId="77777777" w:rsidR="00152FB7" w:rsidRDefault="00152FB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840ED" w14:textId="77777777" w:rsidR="00183CCD" w:rsidRDefault="00183CCD" w:rsidP="00152FB7">
      <w:pPr>
        <w:spacing w:after="0" w:line="240" w:lineRule="auto"/>
      </w:pPr>
      <w:r>
        <w:separator/>
      </w:r>
    </w:p>
  </w:footnote>
  <w:footnote w:type="continuationSeparator" w:id="0">
    <w:p w14:paraId="1FF0707F" w14:textId="77777777" w:rsidR="00183CCD" w:rsidRDefault="00183CCD" w:rsidP="00152F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36EE7" w14:textId="037D3A7C" w:rsidR="00152FB7" w:rsidRDefault="00152FB7">
    <w:pPr>
      <w:pStyle w:val="En-tte"/>
    </w:pPr>
    <w:r>
      <w:t xml:space="preserve">PHYSIQUE - </w:t>
    </w:r>
    <w:r w:rsidRPr="00152FB7">
      <w:t>Évaporation des trous noirs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3300F"/>
    <w:multiLevelType w:val="multilevel"/>
    <w:tmpl w:val="E020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177171"/>
    <w:multiLevelType w:val="multilevel"/>
    <w:tmpl w:val="A894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210764">
    <w:abstractNumId w:val="1"/>
  </w:num>
  <w:num w:numId="2" w16cid:durableId="1611469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5B4"/>
    <w:rsid w:val="000805B4"/>
    <w:rsid w:val="00152FB7"/>
    <w:rsid w:val="00183CCD"/>
    <w:rsid w:val="003669CE"/>
    <w:rsid w:val="003B22A5"/>
    <w:rsid w:val="0040784A"/>
    <w:rsid w:val="006B7EFE"/>
    <w:rsid w:val="0075205F"/>
    <w:rsid w:val="007875E2"/>
    <w:rsid w:val="007A1445"/>
    <w:rsid w:val="00975931"/>
    <w:rsid w:val="00AA1535"/>
    <w:rsid w:val="00AA77CC"/>
    <w:rsid w:val="00AB3A85"/>
    <w:rsid w:val="00AD3B05"/>
    <w:rsid w:val="00AF436E"/>
    <w:rsid w:val="00B418E7"/>
    <w:rsid w:val="00D418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90FBE"/>
  <w15:chartTrackingRefBased/>
  <w15:docId w15:val="{7642E001-0E2A-436C-8848-9846E467A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875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6B7E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6B7E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52FB7"/>
    <w:pPr>
      <w:tabs>
        <w:tab w:val="center" w:pos="4536"/>
        <w:tab w:val="right" w:pos="9072"/>
      </w:tabs>
      <w:spacing w:after="0" w:line="240" w:lineRule="auto"/>
    </w:pPr>
  </w:style>
  <w:style w:type="character" w:customStyle="1" w:styleId="En-tteCar">
    <w:name w:val="En-tête Car"/>
    <w:basedOn w:val="Policepardfaut"/>
    <w:link w:val="En-tte"/>
    <w:uiPriority w:val="99"/>
    <w:rsid w:val="00152FB7"/>
  </w:style>
  <w:style w:type="paragraph" w:styleId="Pieddepage">
    <w:name w:val="footer"/>
    <w:basedOn w:val="Normal"/>
    <w:link w:val="PieddepageCar"/>
    <w:uiPriority w:val="99"/>
    <w:unhideWhenUsed/>
    <w:rsid w:val="00152FB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52FB7"/>
  </w:style>
  <w:style w:type="paragraph" w:styleId="Titre">
    <w:name w:val="Title"/>
    <w:basedOn w:val="Normal"/>
    <w:next w:val="Normal"/>
    <w:link w:val="TitreCar"/>
    <w:uiPriority w:val="10"/>
    <w:qFormat/>
    <w:rsid w:val="00152F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52FB7"/>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7875E2"/>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sid w:val="006B7EF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6B7EF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6B7EFE"/>
    <w:rPr>
      <w:color w:val="0000FF"/>
      <w:u w:val="single"/>
    </w:rPr>
  </w:style>
  <w:style w:type="character" w:customStyle="1" w:styleId="mw-headline">
    <w:name w:val="mw-headline"/>
    <w:basedOn w:val="Policepardfaut"/>
    <w:rsid w:val="006B7EFE"/>
  </w:style>
  <w:style w:type="character" w:customStyle="1" w:styleId="mwe-math-mathml-inline">
    <w:name w:val="mwe-math-mathml-inline"/>
    <w:basedOn w:val="Policepardfaut"/>
    <w:rsid w:val="006B7EFE"/>
  </w:style>
  <w:style w:type="character" w:customStyle="1" w:styleId="Titre3Car">
    <w:name w:val="Titre 3 Car"/>
    <w:basedOn w:val="Policepardfaut"/>
    <w:link w:val="Titre3"/>
    <w:uiPriority w:val="9"/>
    <w:semiHidden/>
    <w:rsid w:val="006B7EFE"/>
    <w:rPr>
      <w:rFonts w:asciiTheme="majorHAnsi" w:eastAsiaTheme="majorEastAsia" w:hAnsiTheme="majorHAnsi" w:cstheme="majorBidi"/>
      <w:color w:val="1F3763" w:themeColor="accent1" w:themeShade="7F"/>
      <w:sz w:val="24"/>
      <w:szCs w:val="24"/>
    </w:rPr>
  </w:style>
  <w:style w:type="paragraph" w:styleId="En-ttedetabledesmatires">
    <w:name w:val="TOC Heading"/>
    <w:basedOn w:val="Titre1"/>
    <w:next w:val="Normal"/>
    <w:uiPriority w:val="39"/>
    <w:unhideWhenUsed/>
    <w:qFormat/>
    <w:rsid w:val="00B418E7"/>
    <w:pPr>
      <w:outlineLvl w:val="9"/>
    </w:pPr>
    <w:rPr>
      <w:lang w:eastAsia="fr-FR"/>
    </w:rPr>
  </w:style>
  <w:style w:type="paragraph" w:styleId="TM1">
    <w:name w:val="toc 1"/>
    <w:basedOn w:val="Normal"/>
    <w:next w:val="Normal"/>
    <w:autoRedefine/>
    <w:uiPriority w:val="39"/>
    <w:unhideWhenUsed/>
    <w:rsid w:val="00B418E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5243468">
      <w:bodyDiv w:val="1"/>
      <w:marLeft w:val="0"/>
      <w:marRight w:val="0"/>
      <w:marTop w:val="0"/>
      <w:marBottom w:val="0"/>
      <w:divBdr>
        <w:top w:val="none" w:sz="0" w:space="0" w:color="auto"/>
        <w:left w:val="none" w:sz="0" w:space="0" w:color="auto"/>
        <w:bottom w:val="none" w:sz="0" w:space="0" w:color="auto"/>
        <w:right w:val="none" w:sz="0" w:space="0" w:color="auto"/>
      </w:divBdr>
      <w:divsChild>
        <w:div w:id="608126393">
          <w:marLeft w:val="0"/>
          <w:marRight w:val="0"/>
          <w:marTop w:val="0"/>
          <w:marBottom w:val="0"/>
          <w:divBdr>
            <w:top w:val="none" w:sz="0" w:space="0" w:color="auto"/>
            <w:left w:val="none" w:sz="0" w:space="0" w:color="auto"/>
            <w:bottom w:val="none" w:sz="0" w:space="0" w:color="auto"/>
            <w:right w:val="none" w:sz="0" w:space="0" w:color="auto"/>
          </w:divBdr>
        </w:div>
      </w:divsChild>
    </w:div>
    <w:div w:id="2074156531">
      <w:bodyDiv w:val="1"/>
      <w:marLeft w:val="0"/>
      <w:marRight w:val="0"/>
      <w:marTop w:val="0"/>
      <w:marBottom w:val="0"/>
      <w:divBdr>
        <w:top w:val="none" w:sz="0" w:space="0" w:color="auto"/>
        <w:left w:val="none" w:sz="0" w:space="0" w:color="auto"/>
        <w:bottom w:val="none" w:sz="0" w:space="0" w:color="auto"/>
        <w:right w:val="none" w:sz="0" w:space="0" w:color="auto"/>
      </w:divBdr>
      <w:divsChild>
        <w:div w:id="290791336">
          <w:marLeft w:val="0"/>
          <w:marRight w:val="0"/>
          <w:marTop w:val="0"/>
          <w:marBottom w:val="0"/>
          <w:divBdr>
            <w:top w:val="none" w:sz="0" w:space="0" w:color="auto"/>
            <w:left w:val="none" w:sz="0" w:space="0" w:color="auto"/>
            <w:bottom w:val="none" w:sz="0" w:space="0" w:color="auto"/>
            <w:right w:val="none" w:sz="0" w:space="0" w:color="auto"/>
          </w:divBdr>
        </w:div>
      </w:divsChild>
    </w:div>
    <w:div w:id="2104571165">
      <w:bodyDiv w:val="1"/>
      <w:marLeft w:val="0"/>
      <w:marRight w:val="0"/>
      <w:marTop w:val="0"/>
      <w:marBottom w:val="0"/>
      <w:divBdr>
        <w:top w:val="none" w:sz="0" w:space="0" w:color="auto"/>
        <w:left w:val="none" w:sz="0" w:space="0" w:color="auto"/>
        <w:bottom w:val="none" w:sz="0" w:space="0" w:color="auto"/>
        <w:right w:val="none" w:sz="0" w:space="0" w:color="auto"/>
      </w:divBdr>
      <w:divsChild>
        <w:div w:id="17660298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2305</Words>
  <Characters>12679</Characters>
  <Application>Microsoft Office Word</Application>
  <DocSecurity>0</DocSecurity>
  <Lines>105</Lines>
  <Paragraphs>29</Paragraphs>
  <ScaleCrop>false</ScaleCrop>
  <Company/>
  <LinksUpToDate>false</LinksUpToDate>
  <CharactersWithSpaces>14955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14</cp:revision>
  <dcterms:created xsi:type="dcterms:W3CDTF">2023-01-17T09:11:00Z</dcterms:created>
  <dcterms:modified xsi:type="dcterms:W3CDTF">2023-04-22T13:29:00Z</dcterms:modified>
</cp:coreProperties>
</file>