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3A7517D3" w:rsidR="003B22A5" w:rsidRDefault="00CF48DF" w:rsidP="00D54EB9">
      <w:pPr>
        <w:pStyle w:val="Titre"/>
        <w:rPr>
          <w:b/>
          <w:bCs/>
        </w:rPr>
      </w:pPr>
      <w:r w:rsidRPr="00CF48DF">
        <w:rPr>
          <w:b/>
          <w:bCs/>
        </w:rPr>
        <w:t>Chromodynamique quantique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169025EB" w14:textId="3412753D" w:rsidR="00CF48DF"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897982" w:history="1">
            <w:r w:rsidR="00CF48DF" w:rsidRPr="00433FC6">
              <w:rPr>
                <w:rStyle w:val="Lienhypertexte"/>
                <w:bCs/>
                <w:noProof/>
              </w:rPr>
              <w:t>Introduction</w:t>
            </w:r>
            <w:r w:rsidR="00CF48DF">
              <w:rPr>
                <w:noProof/>
                <w:webHidden/>
              </w:rPr>
              <w:tab/>
            </w:r>
            <w:r w:rsidR="00CF48DF">
              <w:rPr>
                <w:noProof/>
                <w:webHidden/>
              </w:rPr>
              <w:fldChar w:fldCharType="begin"/>
            </w:r>
            <w:r w:rsidR="00CF48DF">
              <w:rPr>
                <w:noProof/>
                <w:webHidden/>
              </w:rPr>
              <w:instrText xml:space="preserve"> PAGEREF _Toc212897982 \h </w:instrText>
            </w:r>
            <w:r w:rsidR="00CF48DF">
              <w:rPr>
                <w:noProof/>
                <w:webHidden/>
              </w:rPr>
            </w:r>
            <w:r w:rsidR="00CF48DF">
              <w:rPr>
                <w:noProof/>
                <w:webHidden/>
              </w:rPr>
              <w:fldChar w:fldCharType="separate"/>
            </w:r>
            <w:r w:rsidR="00CF48DF">
              <w:rPr>
                <w:noProof/>
                <w:webHidden/>
              </w:rPr>
              <w:t>2</w:t>
            </w:r>
            <w:r w:rsidR="00CF48DF">
              <w:rPr>
                <w:noProof/>
                <w:webHidden/>
              </w:rPr>
              <w:fldChar w:fldCharType="end"/>
            </w:r>
          </w:hyperlink>
        </w:p>
        <w:p w14:paraId="330B6750" w14:textId="01F387D1" w:rsidR="00CF48DF" w:rsidRDefault="00CF48DF">
          <w:pPr>
            <w:pStyle w:val="TM1"/>
            <w:tabs>
              <w:tab w:val="right" w:leader="dot" w:pos="9062"/>
            </w:tabs>
            <w:rPr>
              <w:rFonts w:eastAsiaTheme="minorEastAsia"/>
              <w:noProof/>
              <w:kern w:val="2"/>
              <w:sz w:val="24"/>
              <w:szCs w:val="24"/>
              <w:lang w:eastAsia="fr-FR"/>
              <w14:ligatures w14:val="standardContextual"/>
            </w:rPr>
          </w:pPr>
          <w:hyperlink w:anchor="_Toc212897983" w:history="1">
            <w:r w:rsidRPr="00433FC6">
              <w:rPr>
                <w:rStyle w:val="Lienhypertexte"/>
                <w:noProof/>
              </w:rPr>
              <w:t>Présentation</w:t>
            </w:r>
            <w:r>
              <w:rPr>
                <w:noProof/>
                <w:webHidden/>
              </w:rPr>
              <w:tab/>
            </w:r>
            <w:r>
              <w:rPr>
                <w:noProof/>
                <w:webHidden/>
              </w:rPr>
              <w:fldChar w:fldCharType="begin"/>
            </w:r>
            <w:r>
              <w:rPr>
                <w:noProof/>
                <w:webHidden/>
              </w:rPr>
              <w:instrText xml:space="preserve"> PAGEREF _Toc212897983 \h </w:instrText>
            </w:r>
            <w:r>
              <w:rPr>
                <w:noProof/>
                <w:webHidden/>
              </w:rPr>
            </w:r>
            <w:r>
              <w:rPr>
                <w:noProof/>
                <w:webHidden/>
              </w:rPr>
              <w:fldChar w:fldCharType="separate"/>
            </w:r>
            <w:r>
              <w:rPr>
                <w:noProof/>
                <w:webHidden/>
              </w:rPr>
              <w:t>2</w:t>
            </w:r>
            <w:r>
              <w:rPr>
                <w:noProof/>
                <w:webHidden/>
              </w:rPr>
              <w:fldChar w:fldCharType="end"/>
            </w:r>
          </w:hyperlink>
        </w:p>
        <w:p w14:paraId="578731B7" w14:textId="0E115899" w:rsidR="00CF48DF" w:rsidRDefault="00CF48DF">
          <w:pPr>
            <w:pStyle w:val="TM1"/>
            <w:tabs>
              <w:tab w:val="right" w:leader="dot" w:pos="9062"/>
            </w:tabs>
            <w:rPr>
              <w:rFonts w:eastAsiaTheme="minorEastAsia"/>
              <w:noProof/>
              <w:kern w:val="2"/>
              <w:sz w:val="24"/>
              <w:szCs w:val="24"/>
              <w:lang w:eastAsia="fr-FR"/>
              <w14:ligatures w14:val="standardContextual"/>
            </w:rPr>
          </w:pPr>
          <w:hyperlink w:anchor="_Toc212897984" w:history="1">
            <w:r w:rsidRPr="00433FC6">
              <w:rPr>
                <w:rStyle w:val="Lienhypertexte"/>
                <w:noProof/>
              </w:rPr>
              <w:t>Confinement</w:t>
            </w:r>
            <w:r>
              <w:rPr>
                <w:noProof/>
                <w:webHidden/>
              </w:rPr>
              <w:tab/>
            </w:r>
            <w:r>
              <w:rPr>
                <w:noProof/>
                <w:webHidden/>
              </w:rPr>
              <w:fldChar w:fldCharType="begin"/>
            </w:r>
            <w:r>
              <w:rPr>
                <w:noProof/>
                <w:webHidden/>
              </w:rPr>
              <w:instrText xml:space="preserve"> PAGEREF _Toc212897984 \h </w:instrText>
            </w:r>
            <w:r>
              <w:rPr>
                <w:noProof/>
                <w:webHidden/>
              </w:rPr>
            </w:r>
            <w:r>
              <w:rPr>
                <w:noProof/>
                <w:webHidden/>
              </w:rPr>
              <w:fldChar w:fldCharType="separate"/>
            </w:r>
            <w:r>
              <w:rPr>
                <w:noProof/>
                <w:webHidden/>
              </w:rPr>
              <w:t>2</w:t>
            </w:r>
            <w:r>
              <w:rPr>
                <w:noProof/>
                <w:webHidden/>
              </w:rPr>
              <w:fldChar w:fldCharType="end"/>
            </w:r>
          </w:hyperlink>
        </w:p>
        <w:p w14:paraId="788B2885" w14:textId="41743205" w:rsidR="00CF48DF" w:rsidRDefault="00CF48DF">
          <w:pPr>
            <w:pStyle w:val="TM1"/>
            <w:tabs>
              <w:tab w:val="right" w:leader="dot" w:pos="9062"/>
            </w:tabs>
            <w:rPr>
              <w:rFonts w:eastAsiaTheme="minorEastAsia"/>
              <w:noProof/>
              <w:kern w:val="2"/>
              <w:sz w:val="24"/>
              <w:szCs w:val="24"/>
              <w:lang w:eastAsia="fr-FR"/>
              <w14:ligatures w14:val="standardContextual"/>
            </w:rPr>
          </w:pPr>
          <w:hyperlink w:anchor="_Toc212897985" w:history="1">
            <w:r w:rsidRPr="00433FC6">
              <w:rPr>
                <w:rStyle w:val="Lienhypertexte"/>
                <w:noProof/>
              </w:rPr>
              <w:t>Dans le modèle standard</w:t>
            </w:r>
            <w:r>
              <w:rPr>
                <w:noProof/>
                <w:webHidden/>
              </w:rPr>
              <w:tab/>
            </w:r>
            <w:r>
              <w:rPr>
                <w:noProof/>
                <w:webHidden/>
              </w:rPr>
              <w:fldChar w:fldCharType="begin"/>
            </w:r>
            <w:r>
              <w:rPr>
                <w:noProof/>
                <w:webHidden/>
              </w:rPr>
              <w:instrText xml:space="preserve"> PAGEREF _Toc212897985 \h </w:instrText>
            </w:r>
            <w:r>
              <w:rPr>
                <w:noProof/>
                <w:webHidden/>
              </w:rPr>
            </w:r>
            <w:r>
              <w:rPr>
                <w:noProof/>
                <w:webHidden/>
              </w:rPr>
              <w:fldChar w:fldCharType="separate"/>
            </w:r>
            <w:r>
              <w:rPr>
                <w:noProof/>
                <w:webHidden/>
              </w:rPr>
              <w:t>3</w:t>
            </w:r>
            <w:r>
              <w:rPr>
                <w:noProof/>
                <w:webHidden/>
              </w:rPr>
              <w:fldChar w:fldCharType="end"/>
            </w:r>
          </w:hyperlink>
        </w:p>
        <w:p w14:paraId="0D9E7DDD" w14:textId="6E341E3C" w:rsidR="00CF48DF" w:rsidRDefault="00CF48DF">
          <w:pPr>
            <w:pStyle w:val="TM1"/>
            <w:tabs>
              <w:tab w:val="right" w:leader="dot" w:pos="9062"/>
            </w:tabs>
            <w:rPr>
              <w:rFonts w:eastAsiaTheme="minorEastAsia"/>
              <w:noProof/>
              <w:kern w:val="2"/>
              <w:sz w:val="24"/>
              <w:szCs w:val="24"/>
              <w:lang w:eastAsia="fr-FR"/>
              <w14:ligatures w14:val="standardContextual"/>
            </w:rPr>
          </w:pPr>
          <w:hyperlink w:anchor="_Toc212897986" w:history="1">
            <w:r w:rsidRPr="00433FC6">
              <w:rPr>
                <w:rStyle w:val="Lienhypertexte"/>
                <w:noProof/>
              </w:rPr>
              <w:t>Groupe spécial unitaire SU</w:t>
            </w:r>
            <w:r>
              <w:rPr>
                <w:noProof/>
                <w:webHidden/>
              </w:rPr>
              <w:tab/>
            </w:r>
            <w:r>
              <w:rPr>
                <w:noProof/>
                <w:webHidden/>
              </w:rPr>
              <w:fldChar w:fldCharType="begin"/>
            </w:r>
            <w:r>
              <w:rPr>
                <w:noProof/>
                <w:webHidden/>
              </w:rPr>
              <w:instrText xml:space="preserve"> PAGEREF _Toc212897986 \h </w:instrText>
            </w:r>
            <w:r>
              <w:rPr>
                <w:noProof/>
                <w:webHidden/>
              </w:rPr>
            </w:r>
            <w:r>
              <w:rPr>
                <w:noProof/>
                <w:webHidden/>
              </w:rPr>
              <w:fldChar w:fldCharType="separate"/>
            </w:r>
            <w:r>
              <w:rPr>
                <w:noProof/>
                <w:webHidden/>
              </w:rPr>
              <w:t>3</w:t>
            </w:r>
            <w:r>
              <w:rPr>
                <w:noProof/>
                <w:webHidden/>
              </w:rPr>
              <w:fldChar w:fldCharType="end"/>
            </w:r>
          </w:hyperlink>
        </w:p>
        <w:p w14:paraId="144F5164" w14:textId="1942A094" w:rsidR="00CF48DF" w:rsidRDefault="00CF48DF">
          <w:pPr>
            <w:pStyle w:val="TM2"/>
            <w:tabs>
              <w:tab w:val="right" w:leader="dot" w:pos="9062"/>
            </w:tabs>
            <w:rPr>
              <w:rFonts w:eastAsiaTheme="minorEastAsia"/>
              <w:noProof/>
              <w:kern w:val="2"/>
              <w:sz w:val="24"/>
              <w:szCs w:val="24"/>
              <w:lang w:eastAsia="fr-FR"/>
              <w14:ligatures w14:val="standardContextual"/>
            </w:rPr>
          </w:pPr>
          <w:hyperlink w:anchor="_Toc212897987" w:history="1">
            <w:r w:rsidRPr="00433FC6">
              <w:rPr>
                <w:rStyle w:val="Lienhypertexte"/>
                <w:noProof/>
              </w:rPr>
              <w:t>Groupe spécial unitaire complexe SU(</w:t>
            </w:r>
            <w:r w:rsidRPr="00433FC6">
              <w:rPr>
                <w:rStyle w:val="Lienhypertexte"/>
                <w:i/>
                <w:iCs/>
                <w:noProof/>
              </w:rPr>
              <w:t>n</w:t>
            </w:r>
            <w:r w:rsidRPr="00433FC6">
              <w:rPr>
                <w:rStyle w:val="Lienhypertexte"/>
                <w:noProof/>
              </w:rPr>
              <w:t>)</w:t>
            </w:r>
            <w:r>
              <w:rPr>
                <w:noProof/>
                <w:webHidden/>
              </w:rPr>
              <w:tab/>
            </w:r>
            <w:r>
              <w:rPr>
                <w:noProof/>
                <w:webHidden/>
              </w:rPr>
              <w:fldChar w:fldCharType="begin"/>
            </w:r>
            <w:r>
              <w:rPr>
                <w:noProof/>
                <w:webHidden/>
              </w:rPr>
              <w:instrText xml:space="preserve"> PAGEREF _Toc212897987 \h </w:instrText>
            </w:r>
            <w:r>
              <w:rPr>
                <w:noProof/>
                <w:webHidden/>
              </w:rPr>
            </w:r>
            <w:r>
              <w:rPr>
                <w:noProof/>
                <w:webHidden/>
              </w:rPr>
              <w:fldChar w:fldCharType="separate"/>
            </w:r>
            <w:r>
              <w:rPr>
                <w:noProof/>
                <w:webHidden/>
              </w:rPr>
              <w:t>3</w:t>
            </w:r>
            <w:r>
              <w:rPr>
                <w:noProof/>
                <w:webHidden/>
              </w:rPr>
              <w:fldChar w:fldCharType="end"/>
            </w:r>
          </w:hyperlink>
        </w:p>
        <w:p w14:paraId="41F23575" w14:textId="08DCA19B" w:rsidR="00CF48DF" w:rsidRDefault="00CF48DF">
          <w:pPr>
            <w:pStyle w:val="TM2"/>
            <w:tabs>
              <w:tab w:val="right" w:leader="dot" w:pos="9062"/>
            </w:tabs>
            <w:rPr>
              <w:rFonts w:eastAsiaTheme="minorEastAsia"/>
              <w:noProof/>
              <w:kern w:val="2"/>
              <w:sz w:val="24"/>
              <w:szCs w:val="24"/>
              <w:lang w:eastAsia="fr-FR"/>
              <w14:ligatures w14:val="standardContextual"/>
            </w:rPr>
          </w:pPr>
          <w:hyperlink w:anchor="_Toc212897988" w:history="1">
            <w:r w:rsidRPr="00433FC6">
              <w:rPr>
                <w:rStyle w:val="Lienhypertexte"/>
                <w:noProof/>
              </w:rPr>
              <w:t>Groupe spécial unitaire complexe SU(2)</w:t>
            </w:r>
            <w:r>
              <w:rPr>
                <w:noProof/>
                <w:webHidden/>
              </w:rPr>
              <w:tab/>
            </w:r>
            <w:r>
              <w:rPr>
                <w:noProof/>
                <w:webHidden/>
              </w:rPr>
              <w:fldChar w:fldCharType="begin"/>
            </w:r>
            <w:r>
              <w:rPr>
                <w:noProof/>
                <w:webHidden/>
              </w:rPr>
              <w:instrText xml:space="preserve"> PAGEREF _Toc212897988 \h </w:instrText>
            </w:r>
            <w:r>
              <w:rPr>
                <w:noProof/>
                <w:webHidden/>
              </w:rPr>
            </w:r>
            <w:r>
              <w:rPr>
                <w:noProof/>
                <w:webHidden/>
              </w:rPr>
              <w:fldChar w:fldCharType="separate"/>
            </w:r>
            <w:r>
              <w:rPr>
                <w:noProof/>
                <w:webHidden/>
              </w:rPr>
              <w:t>4</w:t>
            </w:r>
            <w:r>
              <w:rPr>
                <w:noProof/>
                <w:webHidden/>
              </w:rPr>
              <w:fldChar w:fldCharType="end"/>
            </w:r>
          </w:hyperlink>
        </w:p>
        <w:p w14:paraId="73735383" w14:textId="03F991F7"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19071027" w14:textId="579A7D47" w:rsidR="0064590E" w:rsidRDefault="00CF48DF" w:rsidP="00FE16A4">
      <w:pPr>
        <w:pStyle w:val="Titre1"/>
        <w:rPr>
          <w:bCs/>
        </w:rPr>
      </w:pPr>
      <w:bookmarkStart w:id="0" w:name="_Toc212897982"/>
      <w:r>
        <w:rPr>
          <w:bCs/>
        </w:rPr>
        <w:lastRenderedPageBreak/>
        <w:t>Introduction</w:t>
      </w:r>
      <w:bookmarkEnd w:id="0"/>
    </w:p>
    <w:p w14:paraId="3BA95D42" w14:textId="1F0E6EE4" w:rsidR="00392085" w:rsidRDefault="00CF48DF" w:rsidP="00FE16A4">
      <w:r w:rsidRPr="00CF48DF">
        <w:t xml:space="preserve">La chromodynamique quantique (en abrégé CDQ ou QCD, ce dernier de l'anglais Quantum </w:t>
      </w:r>
      <w:proofErr w:type="spellStart"/>
      <w:r w:rsidRPr="00CF48DF">
        <w:t>ChromoDynamics</w:t>
      </w:r>
      <w:proofErr w:type="spellEnd"/>
      <w:r w:rsidRPr="00CF48DF">
        <w:t xml:space="preserve">) est une théorie physique qui décrit l’interaction forte, l’une des quatre forces fondamentales, qui permet de comprendre les interactions entre les quarks et les gluons et, au passage, la cohésion du noyau atomique. Elle fut proposée en 1973 par H. David Politzer, Frank </w:t>
      </w:r>
      <w:proofErr w:type="spellStart"/>
      <w:r w:rsidRPr="00CF48DF">
        <w:t>Wilczek</w:t>
      </w:r>
      <w:proofErr w:type="spellEnd"/>
      <w:r w:rsidRPr="00CF48DF">
        <w:t xml:space="preserve"> et David Gross pour comprendre la structure des hadrons (c'est-à-dire d'une part les baryons comme les protons, neutrons et particules similaires, et d'autre part les mésons). Ils reçurent le prix Nobel de physique en 2004 pour ces travaux. Elle utilise la théorie quantique des champs pour rendre compte de l’interaction entre quarks et gluons.</w:t>
      </w:r>
    </w:p>
    <w:p w14:paraId="0C21C010" w14:textId="77777777" w:rsidR="00CF48DF" w:rsidRDefault="00CF48DF" w:rsidP="00FE16A4"/>
    <w:p w14:paraId="6DE6E9B2" w14:textId="77777777" w:rsidR="00CF48DF" w:rsidRPr="00CF48DF" w:rsidRDefault="00CF48DF" w:rsidP="00CF48DF">
      <w:pPr>
        <w:pStyle w:val="Titre1"/>
      </w:pPr>
      <w:bookmarkStart w:id="1" w:name="_Toc212897983"/>
      <w:r w:rsidRPr="00CF48DF">
        <w:t>Présentation</w:t>
      </w:r>
      <w:bookmarkEnd w:id="1"/>
    </w:p>
    <w:p w14:paraId="4EA04FB1" w14:textId="77777777" w:rsidR="00CF48DF" w:rsidRPr="00CF48DF" w:rsidRDefault="00CF48DF" w:rsidP="00CF48DF">
      <w:r w:rsidRPr="00CF48DF">
        <w:t>D’après cette théorie, les </w:t>
      </w:r>
      <w:hyperlink r:id="rId7" w:tooltip="Quark" w:history="1">
        <w:r w:rsidRPr="00CF48DF">
          <w:t>quarks</w:t>
        </w:r>
      </w:hyperlink>
      <w:r w:rsidRPr="00CF48DF">
        <w:t> (et les </w:t>
      </w:r>
      <w:hyperlink r:id="rId8" w:tooltip="Antiquark" w:history="1">
        <w:r w:rsidRPr="00CF48DF">
          <w:t>antiquarks</w:t>
        </w:r>
      </w:hyperlink>
      <w:r w:rsidRPr="00CF48DF">
        <w:t> correspondants) sont confinés dans les particules qu’ils constituent, c'est-à-dire qu'il est impossible d'en observer à l'état libre. Ils possèdent une propriété nommée « charge de couleur » abrégée en « </w:t>
      </w:r>
      <w:hyperlink r:id="rId9" w:tooltip="Charge de couleur" w:history="1">
        <w:r w:rsidRPr="00CF48DF">
          <w:t>couleur</w:t>
        </w:r>
      </w:hyperlink>
      <w:r w:rsidRPr="00CF48DF">
        <w:t xml:space="preserve"> » : bleue, verte ou rouge pour une particule ; </w:t>
      </w:r>
      <w:proofErr w:type="spellStart"/>
      <w:r w:rsidRPr="00CF48DF">
        <w:t>antibleue</w:t>
      </w:r>
      <w:proofErr w:type="spellEnd"/>
      <w:r w:rsidRPr="00CF48DF">
        <w:t xml:space="preserve">, </w:t>
      </w:r>
      <w:proofErr w:type="spellStart"/>
      <w:r w:rsidRPr="00CF48DF">
        <w:t>antiverte</w:t>
      </w:r>
      <w:proofErr w:type="spellEnd"/>
      <w:r w:rsidRPr="00CF48DF">
        <w:t xml:space="preserve"> ou antirouge pour une antiparticule.</w:t>
      </w:r>
    </w:p>
    <w:p w14:paraId="771E2738" w14:textId="77777777" w:rsidR="00CF48DF" w:rsidRPr="00CF48DF" w:rsidRDefault="00CF48DF" w:rsidP="00CF48DF">
      <w:r w:rsidRPr="00CF48DF">
        <w:t>Il s'agit d'un </w:t>
      </w:r>
      <w:hyperlink r:id="rId10" w:tooltip="Nombre quantique" w:history="1">
        <w:r w:rsidRPr="00CF48DF">
          <w:t>nombre quantique</w:t>
        </w:r>
      </w:hyperlink>
      <w:r w:rsidRPr="00CF48DF">
        <w:t>, analogue à la </w:t>
      </w:r>
      <w:hyperlink r:id="rId11" w:tooltip="Charge électrique" w:history="1">
        <w:r w:rsidRPr="00CF48DF">
          <w:t>charge électrique</w:t>
        </w:r>
      </w:hyperlink>
      <w:r w:rsidRPr="00CF48DF">
        <w:t> de la </w:t>
      </w:r>
      <w:hyperlink r:id="rId12" w:tooltip="Force électrostatique" w:history="1">
        <w:r w:rsidRPr="00CF48DF">
          <w:t>force électrostatique</w:t>
        </w:r>
      </w:hyperlink>
      <w:r w:rsidRPr="00CF48DF">
        <w:t>. Il n'existe pas de lien avec la notion de couleur du </w:t>
      </w:r>
      <w:hyperlink r:id="rId13" w:tooltip="Spectre visible" w:history="1">
        <w:r w:rsidRPr="00CF48DF">
          <w:t>spectre lumineux</w:t>
        </w:r>
      </w:hyperlink>
      <w:r w:rsidRPr="00CF48DF">
        <w:t> hormis un parallèle avec la décomposition de la lumière visible chez l'humain en 3 composantes </w:t>
      </w:r>
      <w:hyperlink r:id="rId14" w:tooltip="Rouge vert bleu" w:history="1">
        <w:r w:rsidRPr="00CF48DF">
          <w:t>rouge-vert-bleu</w:t>
        </w:r>
      </w:hyperlink>
      <w:r w:rsidRPr="00CF48DF">
        <w:t>.</w:t>
      </w:r>
    </w:p>
    <w:p w14:paraId="5AD37B17" w14:textId="77777777" w:rsidR="00CF48DF" w:rsidRDefault="00CF48DF" w:rsidP="00CF48DF">
      <w:r w:rsidRPr="00CF48DF">
        <w:t>Un autre principe fondamental de la théorie est en effet qu’une particule constituée de quarks doit toujours avoir une couleur résultante blanche, c'est-à-dire que sa </w:t>
      </w:r>
      <w:hyperlink r:id="rId15" w:tooltip="Charge de couleur" w:history="1">
        <w:r w:rsidRPr="00CF48DF">
          <w:t>charge de couleur</w:t>
        </w:r>
      </w:hyperlink>
      <w:r w:rsidRPr="00CF48DF">
        <w:t> doit être nulle. Cela peut être obtenu en combinant trois quarks de couleurs différentes : bleu, vert et rouge. Le baryon résultant est ainsi de couleur blanche. De la même façon, en combinant un quark et un antiquark de couleurs opposées (par exemple, bleu et antibleu), nous obtenons un méson de couleur blanche.</w:t>
      </w:r>
    </w:p>
    <w:p w14:paraId="500C9022" w14:textId="77777777" w:rsidR="00CF48DF" w:rsidRPr="00CF48DF" w:rsidRDefault="00CF48DF" w:rsidP="00CF48DF"/>
    <w:p w14:paraId="134D7164" w14:textId="0D025513" w:rsidR="00CF48DF" w:rsidRPr="00CF48DF" w:rsidRDefault="00CF48DF" w:rsidP="00CF48DF">
      <w:pPr>
        <w:pStyle w:val="Titre1"/>
      </w:pPr>
      <w:bookmarkStart w:id="2" w:name="_Toc212897984"/>
      <w:r w:rsidRPr="00CF48DF">
        <w:t>Confinement</w:t>
      </w:r>
      <w:bookmarkEnd w:id="2"/>
    </w:p>
    <w:p w14:paraId="1D03B5EA" w14:textId="77777777" w:rsidR="00CF48DF" w:rsidRPr="00CF48DF" w:rsidRDefault="00CF48DF" w:rsidP="00CF48DF">
      <w:r w:rsidRPr="00CF48DF">
        <w:t>Le confinement des quarks provient du fait que la force qui les lie croît avec la distance. Lorsque celle-ci est très faible, les quarks n’interagissent presque pas entre eux, tandis que plus ils s’écartent et plus l’interaction s’intensifie. Ce phénomène est appelé la </w:t>
      </w:r>
      <w:hyperlink r:id="rId16" w:tooltip="Liberté asymptotique" w:history="1">
        <w:r w:rsidRPr="00CF48DF">
          <w:t>liberté asymptotique</w:t>
        </w:r>
      </w:hyperlink>
      <w:r w:rsidRPr="00CF48DF">
        <w:t>. Cela explique le confinement des quarks : prenons l’exemple d’un </w:t>
      </w:r>
      <w:hyperlink r:id="rId17" w:tooltip="Baryon" w:history="1">
        <w:r w:rsidRPr="00CF48DF">
          <w:t>baryon</w:t>
        </w:r>
      </w:hyperlink>
      <w:r w:rsidRPr="00CF48DF">
        <w:t> (particule composée de 3 quarks). Si l’on essaye d’écarter un quark, il faut lui fournir une certaine énergie. Mais comme l’</w:t>
      </w:r>
      <w:hyperlink r:id="rId18" w:tooltip="Interaction forte" w:history="1">
        <w:r w:rsidRPr="00CF48DF">
          <w:t>interaction forte</w:t>
        </w:r>
      </w:hyperlink>
      <w:r w:rsidRPr="00CF48DF">
        <w:t> croît avec la distance, il faudra fournir de plus en plus d’énergie, jusqu’à un certain niveau où l’énergie fournie permettra la création d’une paire quark-antiquark supplémentaire, et on obtiendra ainsi un </w:t>
      </w:r>
      <w:hyperlink r:id="rId19" w:tooltip="Méson" w:history="1">
        <w:r w:rsidRPr="00CF48DF">
          <w:t>méson</w:t>
        </w:r>
      </w:hyperlink>
      <w:r w:rsidRPr="00CF48DF">
        <w:t> (particule composée de 1 quark et 1 antiquark) en plus de notre </w:t>
      </w:r>
      <w:hyperlink r:id="rId20" w:tooltip="Baryon" w:history="1">
        <w:r w:rsidRPr="00CF48DF">
          <w:t>baryon</w:t>
        </w:r>
      </w:hyperlink>
      <w:r w:rsidRPr="00CF48DF">
        <w:t>. C’est pour cela que l’on obtient des </w:t>
      </w:r>
      <w:hyperlink r:id="rId21" w:tooltip="Hadron" w:history="1">
        <w:r w:rsidRPr="00CF48DF">
          <w:t>jets hadroniques</w:t>
        </w:r>
      </w:hyperlink>
      <w:r w:rsidRPr="00CF48DF">
        <w:t> durant les collisions dans les accélérateurs de particules, et non des jets de quarks.</w:t>
      </w:r>
    </w:p>
    <w:p w14:paraId="32668868" w14:textId="77777777" w:rsidR="00CF48DF" w:rsidRDefault="00CF48DF" w:rsidP="00CF48DF">
      <w:r w:rsidRPr="00CF48DF">
        <w:t>Il est cependant possible d'obtenir des quarks et gluons quasi-libres en créant un </w:t>
      </w:r>
      <w:hyperlink r:id="rId22" w:tooltip="Plasma quark-gluon" w:history="1">
        <w:r w:rsidRPr="00CF48DF">
          <w:t>plasma quark-gluon</w:t>
        </w:r>
      </w:hyperlink>
      <w:r w:rsidRPr="00CF48DF">
        <w:t>. En collisionnant des ions lourds à suffisamment haute énergie, les quarks et gluons qu'ils contiennent sont soumis à des conditions de température et de pression extrêmes permettant la création d'un </w:t>
      </w:r>
      <w:hyperlink r:id="rId23" w:tooltip="État plasma" w:history="1">
        <w:r w:rsidRPr="00CF48DF">
          <w:t>état plasma</w:t>
        </w:r>
      </w:hyperlink>
      <w:r w:rsidRPr="00CF48DF">
        <w:t>, en partie analogue au plasma électrique. Les interactions entre particules sont alors masquées par l'effet d'</w:t>
      </w:r>
      <w:hyperlink r:id="rId24" w:tooltip="Écrantage" w:history="1">
        <w:r w:rsidRPr="00CF48DF">
          <w:t>écrantage</w:t>
        </w:r>
      </w:hyperlink>
      <w:r w:rsidRPr="00CF48DF">
        <w:t> de la charge de couleur, ce qui les rend pratiquement libres.</w:t>
      </w:r>
    </w:p>
    <w:p w14:paraId="1CE3EF52" w14:textId="77777777" w:rsidR="00CF48DF" w:rsidRPr="00CF48DF" w:rsidRDefault="00CF48DF" w:rsidP="00CF48DF"/>
    <w:p w14:paraId="228BD2AD" w14:textId="77777777" w:rsidR="00CF48DF" w:rsidRPr="00CF48DF" w:rsidRDefault="00CF48DF" w:rsidP="00CF48DF">
      <w:pPr>
        <w:pStyle w:val="Titre1"/>
      </w:pPr>
      <w:bookmarkStart w:id="3" w:name="_Toc212897985"/>
      <w:r w:rsidRPr="00CF48DF">
        <w:lastRenderedPageBreak/>
        <w:t>Dans le modèle standard</w:t>
      </w:r>
      <w:bookmarkEnd w:id="3"/>
    </w:p>
    <w:p w14:paraId="691E08F8" w14:textId="77777777" w:rsidR="00CF48DF" w:rsidRPr="00CF48DF" w:rsidRDefault="00CF48DF" w:rsidP="00CF48DF">
      <w:r w:rsidRPr="00CF48DF">
        <w:t>La chromodynamique quantique est une part importante du </w:t>
      </w:r>
      <w:hyperlink r:id="rId25" w:tooltip="Modèle standard de la physique des particules" w:history="1">
        <w:r w:rsidRPr="00CF48DF">
          <w:t>modèle standard de la physique des particules</w:t>
        </w:r>
      </w:hyperlink>
      <w:r w:rsidRPr="00CF48DF">
        <w:t>. Le terme « chromodynamique » vient du mot </w:t>
      </w:r>
      <w:hyperlink r:id="rId26" w:tooltip="Grec ancien" w:history="1">
        <w:r w:rsidRPr="00CF48DF">
          <w:t>grec</w:t>
        </w:r>
      </w:hyperlink>
      <w:r w:rsidRPr="00CF48DF">
        <w:t> </w:t>
      </w:r>
      <w:proofErr w:type="spellStart"/>
      <w:r w:rsidRPr="00CF48DF">
        <w:t>chrôma</w:t>
      </w:r>
      <w:proofErr w:type="spellEnd"/>
      <w:r w:rsidRPr="00CF48DF">
        <w:t> qui signifie couleur.</w:t>
      </w:r>
    </w:p>
    <w:p w14:paraId="404AEEEE" w14:textId="77777777" w:rsidR="00CF48DF" w:rsidRPr="00CF48DF" w:rsidRDefault="00CF48DF" w:rsidP="00CF48DF">
      <w:r w:rsidRPr="00CF48DF">
        <w:t>De manière plus précise, la chromodynamique quantique décrit l’interaction forte comme un groupe de jauge particulier sur la couleur des quarks, nommé groupe de jauge </w:t>
      </w:r>
      <w:hyperlink r:id="rId27" w:tooltip="Groupe spécial unitaire" w:history="1">
        <w:proofErr w:type="gramStart"/>
        <w:r w:rsidRPr="00CF48DF">
          <w:t>SU(</w:t>
        </w:r>
        <w:proofErr w:type="gramEnd"/>
        <w:r w:rsidRPr="00CF48DF">
          <w:t>3)</w:t>
        </w:r>
      </w:hyperlink>
      <w:r w:rsidRPr="00CF48DF">
        <w:t> (pour </w:t>
      </w:r>
      <w:proofErr w:type="spellStart"/>
      <w:r w:rsidRPr="00CF48DF">
        <w:t>special</w:t>
      </w:r>
      <w:proofErr w:type="spellEnd"/>
      <w:r w:rsidRPr="00CF48DF">
        <w:t xml:space="preserve"> </w:t>
      </w:r>
      <w:proofErr w:type="spellStart"/>
      <w:r w:rsidRPr="00CF48DF">
        <w:t>unitary</w:t>
      </w:r>
      <w:proofErr w:type="spellEnd"/>
      <w:r w:rsidRPr="00CF48DF">
        <w:t xml:space="preserve"> group, groupe spécial unitaire de degré 3).</w:t>
      </w:r>
    </w:p>
    <w:p w14:paraId="15BCFC53" w14:textId="34CDA75E" w:rsidR="00CF48DF" w:rsidRPr="00CF48DF" w:rsidRDefault="00CF48DF" w:rsidP="00CF48DF">
      <w:r w:rsidRPr="00CF48DF">
        <w:t>Dans ce modèle de groupe, la charge de couleur des quarks et antiquarks composant les hadrons peut être projetée suivant les 3 axes définissant la charge de couleur, chaque axe de cette couleur étant quantifiée selon deux états complémentaires : </w:t>
      </w:r>
      <m:oMath>
        <m:r>
          <w:rPr>
            <w:rFonts w:ascii="Cambria Math" w:hAnsi="Cambria Math"/>
          </w:rPr>
          <m:t>r</m:t>
        </m:r>
      </m:oMath>
      <w:r w:rsidRPr="00CF48DF">
        <w:t> ou </w:t>
      </w:r>
      <m:oMath>
        <m:bar>
          <m:barPr>
            <m:pos m:val="top"/>
            <m:ctrlPr>
              <w:rPr>
                <w:rFonts w:ascii="Cambria Math" w:hAnsi="Cambria Math"/>
              </w:rPr>
            </m:ctrlPr>
          </m:barPr>
          <m:e>
            <m:r>
              <w:rPr>
                <w:rFonts w:ascii="Cambria Math" w:hAnsi="Cambria Math"/>
              </w:rPr>
              <m:t>r</m:t>
            </m:r>
          </m:e>
        </m:bar>
      </m:oMath>
      <w:r w:rsidRPr="00CF48DF">
        <w:t> pour la charge rouge, </w:t>
      </w:r>
      <m:oMath>
        <m:r>
          <w:rPr>
            <w:rFonts w:ascii="Cambria Math" w:hAnsi="Cambria Math"/>
          </w:rPr>
          <m:t>v</m:t>
        </m:r>
      </m:oMath>
      <w:r w:rsidRPr="00CF48DF">
        <w:t> ou </w:t>
      </w:r>
      <m:oMath>
        <m:bar>
          <m:barPr>
            <m:pos m:val="top"/>
            <m:ctrlPr>
              <w:rPr>
                <w:rFonts w:ascii="Cambria Math" w:hAnsi="Cambria Math"/>
              </w:rPr>
            </m:ctrlPr>
          </m:barPr>
          <m:e>
            <m:r>
              <w:rPr>
                <w:rFonts w:ascii="Cambria Math" w:hAnsi="Cambria Math"/>
              </w:rPr>
              <m:t>v</m:t>
            </m:r>
          </m:e>
        </m:bar>
      </m:oMath>
      <w:r w:rsidRPr="00CF48DF">
        <w:t> pour la charge verte, </w:t>
      </w:r>
      <m:oMath>
        <m:r>
          <w:rPr>
            <w:rFonts w:ascii="Cambria Math" w:hAnsi="Cambria Math"/>
          </w:rPr>
          <m:t>b</m:t>
        </m:r>
      </m:oMath>
      <w:r w:rsidRPr="00CF48DF">
        <w:t> ou </w:t>
      </w:r>
      <m:oMath>
        <m:bar>
          <m:barPr>
            <m:pos m:val="top"/>
            <m:ctrlPr>
              <w:rPr>
                <w:rFonts w:ascii="Cambria Math" w:hAnsi="Cambria Math"/>
              </w:rPr>
            </m:ctrlPr>
          </m:barPr>
          <m:e>
            <m:r>
              <w:rPr>
                <w:rFonts w:ascii="Cambria Math" w:hAnsi="Cambria Math"/>
              </w:rPr>
              <m:t>b</m:t>
            </m:r>
          </m:e>
        </m:bar>
      </m:oMath>
      <w:r w:rsidRPr="00CF48DF">
        <w:t> pour la charge bleue. Pour les </w:t>
      </w:r>
      <w:hyperlink r:id="rId28" w:tooltip="Méson" w:history="1">
        <w:r w:rsidRPr="00CF48DF">
          <w:t>mésons</w:t>
        </w:r>
      </w:hyperlink>
      <w:r w:rsidRPr="00CF48DF">
        <w:t xml:space="preserve"> constitués d'une paire </w:t>
      </w:r>
      <w:proofErr w:type="spellStart"/>
      <w:r w:rsidRPr="00CF48DF">
        <w:t>quark+antiquark</w:t>
      </w:r>
      <w:proofErr w:type="spellEnd"/>
      <w:r w:rsidRPr="00CF48DF">
        <w:t>, on pourrait s'attendre à trouver 9 charges de couleur possibles définissant des états linéairement indépendants. Cependant le modèle chromodynamique nous apprend qu'un de ces états est intimement lié aux autres, réduisant le modèle de composition des gluons à une combinaison de seulement 8 états indépendants, selon l'équation :</w:t>
      </w:r>
    </w:p>
    <w:p w14:paraId="0E28CA28" w14:textId="509A8482" w:rsidR="00CF48DF" w:rsidRPr="00CF48DF" w:rsidRDefault="00CF48DF" w:rsidP="00CF48DF">
      <m:oMath>
        <m:r>
          <w:rPr>
            <w:rFonts w:ascii="Cambria Math" w:hAnsi="Cambria Math"/>
          </w:rPr>
          <m:t>r</m:t>
        </m:r>
        <m:bar>
          <m:barPr>
            <m:pos m:val="top"/>
            <m:ctrlPr>
              <w:rPr>
                <w:rFonts w:ascii="Cambria Math" w:hAnsi="Cambria Math"/>
              </w:rPr>
            </m:ctrlPr>
          </m:barPr>
          <m:e>
            <m:r>
              <w:rPr>
                <w:rFonts w:ascii="Cambria Math" w:hAnsi="Cambria Math"/>
              </w:rPr>
              <m:t>r</m:t>
            </m:r>
          </m:e>
        </m:bar>
        <m:r>
          <m:rPr>
            <m:sty m:val="p"/>
          </m:rPr>
          <w:rPr>
            <w:rFonts w:ascii="Cambria Math" w:hAnsi="Cambria Math"/>
          </w:rPr>
          <m:t>+</m:t>
        </m:r>
        <m:r>
          <w:rPr>
            <w:rFonts w:ascii="Cambria Math" w:hAnsi="Cambria Math"/>
          </w:rPr>
          <m:t>v</m:t>
        </m:r>
        <m:bar>
          <m:barPr>
            <m:pos m:val="top"/>
            <m:ctrlPr>
              <w:rPr>
                <w:rFonts w:ascii="Cambria Math" w:hAnsi="Cambria Math"/>
              </w:rPr>
            </m:ctrlPr>
          </m:barPr>
          <m:e>
            <m:r>
              <w:rPr>
                <w:rFonts w:ascii="Cambria Math" w:hAnsi="Cambria Math"/>
              </w:rPr>
              <m:t>v</m:t>
            </m:r>
          </m:e>
        </m:bar>
        <m:r>
          <m:rPr>
            <m:sty m:val="p"/>
          </m:rPr>
          <w:rPr>
            <w:rFonts w:ascii="Cambria Math" w:hAnsi="Cambria Math"/>
          </w:rPr>
          <m:t>+</m:t>
        </m:r>
        <m:r>
          <w:rPr>
            <w:rFonts w:ascii="Cambria Math" w:hAnsi="Cambria Math"/>
          </w:rPr>
          <m:t>b</m:t>
        </m:r>
        <m:bar>
          <m:barPr>
            <m:pos m:val="top"/>
            <m:ctrlPr>
              <w:rPr>
                <w:rFonts w:ascii="Cambria Math" w:hAnsi="Cambria Math"/>
              </w:rPr>
            </m:ctrlPr>
          </m:barPr>
          <m:e>
            <m:r>
              <w:rPr>
                <w:rFonts w:ascii="Cambria Math" w:hAnsi="Cambria Math"/>
              </w:rPr>
              <m:t>b</m:t>
            </m:r>
          </m:e>
        </m:bar>
        <m:r>
          <m:rPr>
            <m:sty m:val="p"/>
          </m:rPr>
          <w:rPr>
            <w:rFonts w:ascii="Cambria Math" w:hAnsi="Cambria Math"/>
          </w:rPr>
          <m:t>=0</m:t>
        </m:r>
      </m:oMath>
      <w:r w:rsidRPr="00CF48DF">
        <w:t>.</w:t>
      </w:r>
    </w:p>
    <w:p w14:paraId="4DE01761" w14:textId="77777777" w:rsidR="00CF48DF" w:rsidRPr="00CF48DF" w:rsidRDefault="00CF48DF" w:rsidP="00CF48DF">
      <w:r w:rsidRPr="00CF48DF">
        <w:t>Par ce fait, il n'est pas possible de distinguer les quarks ou antiquarks composant les mésons, qui forment une algèbre d'états à part (pour la conservation des charges de couleur), et donc que les gluons constituent une classe de particules qu'on doit distinguer des hadrons. Cette équation contraint aussi la composition des autres hadrons dans la qualification de la charge de couleur de leur état composé, quel que soit le nombre de quarks ou antiquarks (et de gluons) qui les composent, et ne permet pas de prédire le type de gluon qui sera émis lors de leur désintégration ou leur interaction, en dehors de cette équation qui définit un invariant des états solutions possibles (comparable à l'invariant de la loi de conservation du </w:t>
      </w:r>
      <w:hyperlink r:id="rId29" w:tooltip="Nombre baryonique" w:history="1">
        <w:r w:rsidRPr="00CF48DF">
          <w:t>nombre baryonique</w:t>
        </w:r>
      </w:hyperlink>
      <w:r w:rsidRPr="00CF48DF">
        <w:t> dans le modèle standard, ou celle de la conservation du spin, de la charge, ou encore à celle de la conservation de l'énergie totale prenant en compte l'équivalence masse-énergie).</w:t>
      </w:r>
    </w:p>
    <w:p w14:paraId="5ECEBA73" w14:textId="77777777" w:rsidR="00CF48DF" w:rsidRDefault="00CF48DF" w:rsidP="00FE16A4"/>
    <w:p w14:paraId="4CA2DDCB" w14:textId="475D45B1" w:rsidR="00CF48DF" w:rsidRPr="00CF48DF" w:rsidRDefault="00CF48DF" w:rsidP="00CF48DF">
      <w:pPr>
        <w:pStyle w:val="Titre1"/>
      </w:pPr>
      <w:bookmarkStart w:id="4" w:name="_Toc212897986"/>
      <w:r w:rsidRPr="00CF48DF">
        <w:t>Groupe spécial unitaire</w:t>
      </w:r>
      <w:r>
        <w:t xml:space="preserve"> SU</w:t>
      </w:r>
      <w:bookmarkEnd w:id="4"/>
    </w:p>
    <w:p w14:paraId="70ED820E" w14:textId="77777777" w:rsidR="00CF48DF" w:rsidRPr="00CF48DF" w:rsidRDefault="00CF48DF" w:rsidP="00CF48DF">
      <w:r w:rsidRPr="00CF48DF">
        <w:t>En </w:t>
      </w:r>
      <w:hyperlink r:id="rId30" w:tooltip="Mathématiques" w:history="1">
        <w:r w:rsidRPr="00CF48DF">
          <w:t>mathématiques</w:t>
        </w:r>
      </w:hyperlink>
      <w:r w:rsidRPr="00CF48DF">
        <w:t>, le groupe spécial unitaire de E, où E est un </w:t>
      </w:r>
      <w:hyperlink r:id="rId31" w:tooltip="Espace hermitien" w:history="1">
        <w:r w:rsidRPr="00CF48DF">
          <w:t>espace hermitien</w:t>
        </w:r>
      </w:hyperlink>
      <w:r w:rsidRPr="00CF48DF">
        <w:t>, est le </w:t>
      </w:r>
      <w:hyperlink r:id="rId32" w:tooltip="Groupe (mathématiques)" w:history="1">
        <w:r w:rsidRPr="00CF48DF">
          <w:t>groupe</w:t>
        </w:r>
      </w:hyperlink>
      <w:r w:rsidRPr="00CF48DF">
        <w:t> des </w:t>
      </w:r>
      <w:hyperlink r:id="rId33" w:tooltip="Automorphisme orthogonal" w:history="1">
        <w:r w:rsidRPr="00CF48DF">
          <w:t>automorphismes unitaires</w:t>
        </w:r>
      </w:hyperlink>
      <w:r w:rsidRPr="00CF48DF">
        <w:t> de E de </w:t>
      </w:r>
      <w:hyperlink r:id="rId34" w:tooltip="Déterminant (mathématiques)" w:history="1">
        <w:r w:rsidRPr="00CF48DF">
          <w:t>déterminant</w:t>
        </w:r>
      </w:hyperlink>
      <w:r w:rsidRPr="00CF48DF">
        <w:t> 1, la </w:t>
      </w:r>
      <w:hyperlink r:id="rId35" w:tooltip="Loi de composition interne" w:history="1">
        <w:r w:rsidRPr="00CF48DF">
          <w:t>loi de composition interne</w:t>
        </w:r>
      </w:hyperlink>
      <w:r w:rsidRPr="00CF48DF">
        <w:t> considérée étant la composition d’automorphismes. Il est noté SU(E). C’est un </w:t>
      </w:r>
      <w:hyperlink r:id="rId36" w:tooltip="Sous-groupe" w:history="1">
        <w:r w:rsidRPr="00CF48DF">
          <w:t>sous-groupe</w:t>
        </w:r>
      </w:hyperlink>
      <w:r w:rsidRPr="00CF48DF">
        <w:t> de U(E), le </w:t>
      </w:r>
      <w:hyperlink r:id="rId37" w:tooltip="Groupe unitaire" w:history="1">
        <w:r w:rsidRPr="00CF48DF">
          <w:t>groupe unitaire</w:t>
        </w:r>
      </w:hyperlink>
      <w:r w:rsidRPr="00CF48DF">
        <w:t> des automorphismes de E.</w:t>
      </w:r>
    </w:p>
    <w:p w14:paraId="62A334B7" w14:textId="77777777" w:rsidR="00CF48DF" w:rsidRDefault="00CF48DF" w:rsidP="00CF48DF">
      <w:r w:rsidRPr="00CF48DF">
        <w:t>De manière générale, on peut définir le groupe spécial unitaire d'une </w:t>
      </w:r>
      <w:hyperlink r:id="rId38" w:tooltip="Forme sesquilinéaire" w:history="1">
        <w:r w:rsidRPr="00CF48DF">
          <w:t>forme sesquilinéaire</w:t>
        </w:r>
      </w:hyperlink>
      <w:r w:rsidRPr="00CF48DF">
        <w:t xml:space="preserve"> hermitienne complexe non dégénérée, ou d'une forme sesquilinéaire hermitienne ou </w:t>
      </w:r>
      <w:proofErr w:type="spellStart"/>
      <w:r w:rsidRPr="00CF48DF">
        <w:t>antihermitienne</w:t>
      </w:r>
      <w:proofErr w:type="spellEnd"/>
      <w:r w:rsidRPr="00CF48DF">
        <w:t xml:space="preserve"> non dégénérée sur un </w:t>
      </w:r>
      <w:hyperlink r:id="rId39" w:tooltip="Espace vectoriel" w:history="1">
        <w:r w:rsidRPr="00CF48DF">
          <w:t>espace vectoriel</w:t>
        </w:r>
      </w:hyperlink>
      <w:r w:rsidRPr="00CF48DF">
        <w:t> de dimension finie sur certains corps (commutatifs ou non) </w:t>
      </w:r>
      <w:hyperlink r:id="rId40" w:tooltip="Forme hermitienne" w:history="1">
        <w:r w:rsidRPr="00CF48DF">
          <w:t>relativement à une involution</w:t>
        </w:r>
      </w:hyperlink>
      <w:r w:rsidRPr="00CF48DF">
        <w:t>.</w:t>
      </w:r>
    </w:p>
    <w:p w14:paraId="66017B28" w14:textId="77777777" w:rsidR="00CF48DF" w:rsidRPr="00CF48DF" w:rsidRDefault="00CF48DF" w:rsidP="00CF48DF"/>
    <w:p w14:paraId="2A2A4465" w14:textId="77777777" w:rsidR="00CF48DF" w:rsidRPr="00CF48DF" w:rsidRDefault="00CF48DF" w:rsidP="00CF48DF">
      <w:pPr>
        <w:pStyle w:val="Titre2"/>
      </w:pPr>
      <w:bookmarkStart w:id="5" w:name="_Toc212897987"/>
      <w:r w:rsidRPr="00CF48DF">
        <w:t>Groupe spécial unitaire complexe SU(</w:t>
      </w:r>
      <w:r w:rsidRPr="00CF48DF">
        <w:rPr>
          <w:i/>
          <w:iCs/>
        </w:rPr>
        <w:t>n</w:t>
      </w:r>
      <w:r w:rsidRPr="00CF48DF">
        <w:t>)</w:t>
      </w:r>
      <w:bookmarkEnd w:id="5"/>
    </w:p>
    <w:p w14:paraId="27144336" w14:textId="77777777" w:rsidR="00CF48DF" w:rsidRPr="00CF48DF" w:rsidRDefault="00CF48DF" w:rsidP="00CF48DF">
      <w:r w:rsidRPr="00CF48DF">
        <w:t>Un cas particulier est le groupe spécial unitaire de degré n qui est le groupe des </w:t>
      </w:r>
      <w:hyperlink r:id="rId41" w:tooltip="Matrice unitaire" w:history="1">
        <w:r w:rsidRPr="00CF48DF">
          <w:t>matrices unitaires</w:t>
        </w:r>
      </w:hyperlink>
      <w:r w:rsidRPr="00CF48DF">
        <w:t> à coefficients </w:t>
      </w:r>
      <w:hyperlink r:id="rId42" w:tooltip="Nombre complexe" w:history="1">
        <w:r w:rsidRPr="00CF48DF">
          <w:t>complexes</w:t>
        </w:r>
      </w:hyperlink>
      <w:r w:rsidRPr="00CF48DF">
        <w:t> de dimensions </w:t>
      </w:r>
      <w:proofErr w:type="spellStart"/>
      <w:r w:rsidRPr="00CF48DF">
        <w:t>n×n</w:t>
      </w:r>
      <w:proofErr w:type="spellEnd"/>
      <w:r w:rsidRPr="00CF48DF">
        <w:t> et de déterminant 1, et que l’on note SU(n).</w:t>
      </w:r>
    </w:p>
    <w:p w14:paraId="4F6325C4" w14:textId="77777777" w:rsidR="00CF48DF" w:rsidRPr="00CF48DF" w:rsidRDefault="00CF48DF" w:rsidP="00CF48DF">
      <w:r w:rsidRPr="00CF48DF">
        <w:t>SU(n) est un </w:t>
      </w:r>
      <w:hyperlink r:id="rId43" w:anchor="Groupe_de_Lie_r%C3%A9el_compact" w:tooltip="Groupe de Lie compact" w:history="1">
        <w:r w:rsidRPr="00CF48DF">
          <w:t>groupe de Lie réel compact</w:t>
        </w:r>
      </w:hyperlink>
      <w:r w:rsidRPr="00CF48DF">
        <w:t> </w:t>
      </w:r>
      <w:hyperlink r:id="rId44" w:tooltip="Simplement connexe" w:history="1">
        <w:r w:rsidRPr="00CF48DF">
          <w:t>simplement connexe</w:t>
        </w:r>
      </w:hyperlink>
      <w:r w:rsidRPr="00CF48DF">
        <w:t> de dimension </w:t>
      </w:r>
      <w:r w:rsidRPr="00CF48DF">
        <w:rPr>
          <w:i/>
          <w:iCs/>
        </w:rPr>
        <w:t>n</w:t>
      </w:r>
      <w:r w:rsidRPr="00CF48DF">
        <w:rPr>
          <w:vertAlign w:val="superscript"/>
        </w:rPr>
        <w:t>2</w:t>
      </w:r>
      <w:r w:rsidRPr="00CF48DF">
        <w:t> – 1. Pour </w:t>
      </w:r>
      <w:r w:rsidRPr="00CF48DF">
        <w:rPr>
          <w:i/>
          <w:iCs/>
        </w:rPr>
        <w:t>n</w:t>
      </w:r>
      <w:r w:rsidRPr="00CF48DF">
        <w:t> ≥ 2, c'est un </w:t>
      </w:r>
      <w:hyperlink r:id="rId45" w:tooltip="Groupe de Lie simple" w:history="1">
        <w:r w:rsidRPr="00CF48DF">
          <w:t>groupe de Lie simple</w:t>
        </w:r>
      </w:hyperlink>
      <w:r w:rsidRPr="00CF48DF">
        <w:t>.</w:t>
      </w:r>
    </w:p>
    <w:p w14:paraId="29AC9E0E" w14:textId="720EE941" w:rsidR="00CF48DF" w:rsidRDefault="00CF48DF" w:rsidP="00CF48DF">
      <w:r w:rsidRPr="00CF48DF">
        <w:lastRenderedPageBreak/>
        <w:t>Son </w:t>
      </w:r>
      <w:hyperlink r:id="rId46" w:tooltip="Algèbre de Lie" w:history="1">
        <w:r w:rsidRPr="00CF48DF">
          <w:t>algèbre de Lie</w:t>
        </w:r>
      </w:hyperlink>
      <w:r w:rsidRPr="00CF48DF">
        <w:t>, notée </w:t>
      </w:r>
      <m:oMath>
        <m:r>
          <m:rPr>
            <m:scr m:val="fraktur"/>
            <m:sty m:val="p"/>
          </m:rPr>
          <w:rPr>
            <w:rFonts w:ascii="Cambria Math" w:hAnsi="Cambria Math"/>
          </w:rPr>
          <m:t>su(</m:t>
        </m:r>
        <m:r>
          <w:rPr>
            <w:rFonts w:ascii="Cambria Math" w:hAnsi="Cambria Math"/>
          </w:rPr>
          <m:t>n</m:t>
        </m:r>
        <m:r>
          <m:rPr>
            <m:sty m:val="p"/>
          </m:rPr>
          <w:rPr>
            <w:rFonts w:ascii="Cambria Math" w:hAnsi="Cambria Math"/>
          </w:rPr>
          <m:t>)</m:t>
        </m:r>
      </m:oMath>
      <w:r w:rsidRPr="00CF48DF">
        <w:t>, est l'algèbre de Lie réelle des matrices complexes </w:t>
      </w:r>
      <w:proofErr w:type="spellStart"/>
      <w:r w:rsidRPr="00CF48DF">
        <w:t>n×n</w:t>
      </w:r>
      <w:proofErr w:type="spellEnd"/>
      <w:r w:rsidRPr="00CF48DF">
        <w:t> </w:t>
      </w:r>
      <w:proofErr w:type="spellStart"/>
      <w:r w:rsidRPr="00CF48DF">
        <w:fldChar w:fldCharType="begin"/>
      </w:r>
      <w:r w:rsidRPr="00CF48DF">
        <w:instrText>HYPERLINK "https://fr.wikipedia.org/w/index.php?title=Matrice_antihermitienne&amp;action=edit&amp;redlink=1" \o "Matrice antihermitienne (page inexistante)"</w:instrText>
      </w:r>
      <w:r w:rsidRPr="00CF48DF">
        <w:fldChar w:fldCharType="separate"/>
      </w:r>
      <w:r w:rsidRPr="00CF48DF">
        <w:t>antihermitiennes</w:t>
      </w:r>
      <w:proofErr w:type="spellEnd"/>
      <w:r w:rsidRPr="00CF48DF">
        <w:fldChar w:fldCharType="end"/>
      </w:r>
      <w:r w:rsidRPr="00CF48DF">
        <w:t> de </w:t>
      </w:r>
      <w:hyperlink r:id="rId47" w:tooltip="Trace (algèbre)" w:history="1">
        <w:r w:rsidRPr="00CF48DF">
          <w:t>trace</w:t>
        </w:r>
      </w:hyperlink>
      <w:r w:rsidRPr="00CF48DF">
        <w:t> nulle, le </w:t>
      </w:r>
      <w:hyperlink r:id="rId48" w:anchor="En_th%C3%A9orie_des_anneaux" w:tooltip="Commutateur (opérateur)" w:history="1">
        <w:r w:rsidRPr="00CF48DF">
          <w:t>commutateur standard</w:t>
        </w:r>
      </w:hyperlink>
      <w:r w:rsidRPr="00CF48DF">
        <w:t> servant de </w:t>
      </w:r>
      <w:hyperlink r:id="rId49" w:tooltip="Crochet de Lie" w:history="1">
        <w:r w:rsidRPr="00CF48DF">
          <w:t>crochet de Lie</w:t>
        </w:r>
      </w:hyperlink>
      <w:r w:rsidRPr="00CF48DF">
        <w:t>.</w:t>
      </w:r>
    </w:p>
    <w:p w14:paraId="6F91C3AB" w14:textId="77777777" w:rsidR="00CF48DF" w:rsidRPr="00CF48DF" w:rsidRDefault="00CF48DF" w:rsidP="00CF48DF"/>
    <w:p w14:paraId="5E384E5C" w14:textId="77777777" w:rsidR="00CF48DF" w:rsidRPr="00CF48DF" w:rsidRDefault="00CF48DF" w:rsidP="00CF48DF">
      <w:pPr>
        <w:pStyle w:val="Titre2"/>
      </w:pPr>
      <w:bookmarkStart w:id="6" w:name="_Toc212897988"/>
      <w:r w:rsidRPr="00CF48DF">
        <w:t xml:space="preserve">Groupe spécial unitaire complexe </w:t>
      </w:r>
      <w:proofErr w:type="gramStart"/>
      <w:r w:rsidRPr="00CF48DF">
        <w:t>SU(</w:t>
      </w:r>
      <w:proofErr w:type="gramEnd"/>
      <w:r w:rsidRPr="00CF48DF">
        <w:t>2)</w:t>
      </w:r>
      <w:bookmarkEnd w:id="6"/>
    </w:p>
    <w:p w14:paraId="31230001" w14:textId="77777777" w:rsidR="00CF48DF" w:rsidRPr="00CF48DF" w:rsidRDefault="00CF48DF" w:rsidP="00CF48DF">
      <w:r w:rsidRPr="00CF48DF">
        <w:t xml:space="preserve">Le groupe </w:t>
      </w:r>
      <w:proofErr w:type="gramStart"/>
      <w:r w:rsidRPr="00CF48DF">
        <w:t>SU(</w:t>
      </w:r>
      <w:proofErr w:type="gramEnd"/>
      <w:r w:rsidRPr="00CF48DF">
        <w:t>2) est explicitement :</w:t>
      </w:r>
    </w:p>
    <w:p w14:paraId="0F36F380" w14:textId="70899BB3" w:rsidR="00CF48DF" w:rsidRPr="00CF48DF" w:rsidRDefault="00CF48DF" w:rsidP="00CF48DF">
      <w:pPr>
        <w:rPr>
          <w:rFonts w:eastAsiaTheme="minorEastAsia"/>
        </w:rPr>
      </w:pPr>
      <w:r w:rsidRPr="00CF48DF">
        <w:rPr>
          <w:rFonts w:eastAsiaTheme="minorEastAsia"/>
        </w:rPr>
        <w:drawing>
          <wp:inline distT="0" distB="0" distL="0" distR="0" wp14:anchorId="6A2726F3" wp14:editId="55E3E92F">
            <wp:extent cx="3177540" cy="471797"/>
            <wp:effectExtent l="0" t="0" r="3810" b="5080"/>
            <wp:docPr id="166338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8625" name=""/>
                    <pic:cNvPicPr/>
                  </pic:nvPicPr>
                  <pic:blipFill>
                    <a:blip r:embed="rId50"/>
                    <a:stretch>
                      <a:fillRect/>
                    </a:stretch>
                  </pic:blipFill>
                  <pic:spPr>
                    <a:xfrm>
                      <a:off x="0" y="0"/>
                      <a:ext cx="3204664" cy="475824"/>
                    </a:xfrm>
                    <a:prstGeom prst="rect">
                      <a:avLst/>
                    </a:prstGeom>
                  </pic:spPr>
                </pic:pic>
              </a:graphicData>
            </a:graphic>
          </wp:inline>
        </w:drawing>
      </w:r>
    </w:p>
    <w:p w14:paraId="490EF3A4" w14:textId="0BB739F4" w:rsidR="00CF48DF" w:rsidRPr="00CF48DF" w:rsidRDefault="00CF48DF" w:rsidP="00CF48DF">
      <w:r w:rsidRPr="00CF48DF">
        <w:t>Il est </w:t>
      </w:r>
      <w:hyperlink r:id="rId51" w:tooltip="Difféomorphisme" w:history="1">
        <w:r w:rsidRPr="00CF48DF">
          <w:t>difféomorphe</w:t>
        </w:r>
      </w:hyperlink>
      <w:r w:rsidRPr="00CF48DF">
        <w:t> à la </w:t>
      </w:r>
      <w:hyperlink r:id="rId52" w:tooltip="N-sphère" w:history="1">
        <w:r w:rsidRPr="00CF48DF">
          <w:t>3-sphère</w:t>
        </w:r>
      </w:hyperlink>
      <w:r w:rsidRPr="00CF48DF">
        <w:t> par l'application suivante :</w:t>
      </w:r>
    </w:p>
    <w:p w14:paraId="5DA5A428" w14:textId="48812207" w:rsidR="00CF48DF" w:rsidRPr="00CF48DF" w:rsidRDefault="00CF48DF" w:rsidP="00CF48DF">
      <m:oMathPara>
        <m:oMath>
          <m:m>
            <m:mPr>
              <m:plcHide m:val="1"/>
              <m:mcs>
                <m:mc>
                  <m:mcPr>
                    <m:count m:val="3"/>
                    <m:mcJc m:val="center"/>
                  </m:mcPr>
                </m:mc>
              </m:mcs>
              <m:ctrlPr>
                <w:rPr>
                  <w:rFonts w:ascii="Cambria Math" w:hAnsi="Cambria Math"/>
                </w:rPr>
              </m:ctrlPr>
            </m:mPr>
            <m:mr>
              <m:e>
                <m:r>
                  <w:rPr>
                    <w:rFonts w:ascii="Cambria Math" w:hAnsi="Cambria Math"/>
                  </w:rPr>
                  <m:t>φ:</m:t>
                </m:r>
                <m:sSup>
                  <m:sSupPr>
                    <m:ctrlPr>
                      <w:rPr>
                        <w:rFonts w:ascii="Cambria Math" w:hAnsi="Cambria Math"/>
                      </w:rPr>
                    </m:ctrlPr>
                  </m:sSupPr>
                  <m:e>
                    <m:r>
                      <w:rPr>
                        <w:rFonts w:ascii="Cambria Math" w:hAnsi="Cambria Math"/>
                      </w:rPr>
                      <m:t>S</m:t>
                    </m:r>
                  </m:e>
                  <m:sup>
                    <m:r>
                      <w:rPr>
                        <w:rFonts w:ascii="Cambria Math" w:hAnsi="Cambria Math"/>
                      </w:rPr>
                      <m:t>3</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e>
              <m:e>
                <m:r>
                  <w:rPr>
                    <w:rFonts w:ascii="Cambria Math" w:hAnsi="Cambria Math"/>
                  </w:rPr>
                  <m:t>→</m:t>
                </m:r>
              </m:e>
              <m:e>
                <m:r>
                  <m:rPr>
                    <m:nor/>
                  </m:rPr>
                  <m:t>SU</m:t>
                </m:r>
                <m:r>
                  <w:rPr>
                    <w:rFonts w:ascii="Cambria Math" w:hAnsi="Cambria Math"/>
                  </w:rPr>
                  <m:t>(2)</m:t>
                </m:r>
              </m:e>
            </m:mr>
            <m:mr>
              <m:e>
                <m:r>
                  <w:rPr>
                    <w:rFonts w:ascii="Cambria Math" w:hAnsi="Cambria Math"/>
                  </w:rPr>
                  <m:t>(a,b,c,d)</m:t>
                </m:r>
              </m:e>
              <m:e>
                <m:r>
                  <w:rPr>
                    <w:rFonts w:ascii="Cambria Math" w:hAnsi="Cambria Math"/>
                  </w:rPr>
                  <m:t>↦</m:t>
                </m:r>
              </m:e>
              <m:e>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a+</m:t>
                      </m:r>
                      <m:r>
                        <m:rPr>
                          <m:sty m:val="p"/>
                        </m:rPr>
                        <w:rPr>
                          <w:rFonts w:ascii="Cambria Math" w:hAnsi="Cambria Math"/>
                        </w:rPr>
                        <m:t>i</m:t>
                      </m:r>
                      <m:r>
                        <w:rPr>
                          <w:rFonts w:ascii="Cambria Math" w:hAnsi="Cambria Math"/>
                        </w:rPr>
                        <m:t>b</m:t>
                      </m:r>
                    </m:e>
                    <m:e>
                      <m:r>
                        <w:rPr>
                          <w:rFonts w:ascii="Cambria Math" w:hAnsi="Cambria Math"/>
                        </w:rPr>
                        <m:t>-c+</m:t>
                      </m:r>
                      <m:r>
                        <m:rPr>
                          <m:sty m:val="p"/>
                        </m:rPr>
                        <w:rPr>
                          <w:rFonts w:ascii="Cambria Math" w:hAnsi="Cambria Math"/>
                        </w:rPr>
                        <m:t>i</m:t>
                      </m:r>
                      <m:r>
                        <w:rPr>
                          <w:rFonts w:ascii="Cambria Math" w:hAnsi="Cambria Math"/>
                        </w:rPr>
                        <m:t>d</m:t>
                      </m:r>
                    </m:e>
                  </m:mr>
                  <m:mr>
                    <m:e>
                      <m:r>
                        <w:rPr>
                          <w:rFonts w:ascii="Cambria Math" w:hAnsi="Cambria Math"/>
                        </w:rPr>
                        <m:t>c+</m:t>
                      </m:r>
                      <m:r>
                        <m:rPr>
                          <m:sty m:val="p"/>
                        </m:rPr>
                        <w:rPr>
                          <w:rFonts w:ascii="Cambria Math" w:hAnsi="Cambria Math"/>
                        </w:rPr>
                        <m:t>i</m:t>
                      </m:r>
                      <m:r>
                        <w:rPr>
                          <w:rFonts w:ascii="Cambria Math" w:hAnsi="Cambria Math"/>
                        </w:rPr>
                        <m:t>d</m:t>
                      </m:r>
                    </m:e>
                    <m:e>
                      <m:r>
                        <w:rPr>
                          <w:rFonts w:ascii="Cambria Math" w:hAnsi="Cambria Math"/>
                        </w:rPr>
                        <m:t>a-</m:t>
                      </m:r>
                      <m:r>
                        <m:rPr>
                          <m:sty m:val="p"/>
                        </m:rPr>
                        <w:rPr>
                          <w:rFonts w:ascii="Cambria Math" w:hAnsi="Cambria Math"/>
                        </w:rPr>
                        <m:t>i</m:t>
                      </m:r>
                      <m:r>
                        <w:rPr>
                          <w:rFonts w:ascii="Cambria Math" w:hAnsi="Cambria Math"/>
                        </w:rPr>
                        <m:t>b</m:t>
                      </m:r>
                    </m:e>
                  </m:mr>
                </m:m>
                <m:r>
                  <w:rPr>
                    <w:rFonts w:ascii="Cambria Math" w:hAnsi="Cambria Math"/>
                  </w:rPr>
                  <m:t>).</m:t>
                </m:r>
              </m:e>
            </m:mr>
          </m:m>
        </m:oMath>
      </m:oMathPara>
    </w:p>
    <w:p w14:paraId="36977A9C" w14:textId="77777777" w:rsidR="00CF48DF" w:rsidRPr="00CF48DF" w:rsidRDefault="00CF48DF" w:rsidP="00CF48DF">
      <w:r w:rsidRPr="00CF48DF">
        <w:t xml:space="preserve">Le difféomorphisme φ transmet la multiplication de </w:t>
      </w:r>
      <w:proofErr w:type="gramStart"/>
      <w:r w:rsidRPr="00CF48DF">
        <w:t>SU(</w:t>
      </w:r>
      <w:proofErr w:type="gramEnd"/>
      <w:r w:rsidRPr="00CF48DF">
        <w:t>2) à S</w:t>
      </w:r>
      <w:r w:rsidRPr="00CF48DF">
        <w:rPr>
          <w:vertAlign w:val="superscript"/>
        </w:rPr>
        <w:t>3 </w:t>
      </w:r>
      <w:r w:rsidRPr="00CF48DF">
        <w:t>: cela donne la multiplication des </w:t>
      </w:r>
      <w:hyperlink r:id="rId53" w:tooltip="Quaternion" w:history="1">
        <w:r w:rsidRPr="00CF48DF">
          <w:t>quaternions</w:t>
        </w:r>
      </w:hyperlink>
      <w:r w:rsidRPr="00CF48DF">
        <w:t xml:space="preserve">. </w:t>
      </w:r>
      <w:proofErr w:type="gramStart"/>
      <w:r w:rsidRPr="00CF48DF">
        <w:t>SU(</w:t>
      </w:r>
      <w:proofErr w:type="gramEnd"/>
      <w:r w:rsidRPr="00CF48DF">
        <w:t>2) est donc </w:t>
      </w:r>
      <w:hyperlink r:id="rId54" w:tooltip="Isomorphisme de groupes" w:history="1">
        <w:r w:rsidRPr="00CF48DF">
          <w:t>isomorphe</w:t>
        </w:r>
      </w:hyperlink>
      <w:r w:rsidRPr="00CF48DF">
        <w:t> au </w:t>
      </w:r>
      <w:hyperlink r:id="rId55" w:anchor="Le_groupe_Sp(1)" w:tooltip="Quaternion" w:history="1">
        <w:r w:rsidRPr="00CF48DF">
          <w:t>groupe des quaternions unitaires</w:t>
        </w:r>
      </w:hyperlink>
      <w:r w:rsidRPr="00CF48DF">
        <w:t>. Comme les quaternions représentent les </w:t>
      </w:r>
      <w:hyperlink r:id="rId56" w:tooltip="Rotation dans l'espace" w:history="1">
        <w:r w:rsidRPr="00CF48DF">
          <w:t>rotations</w:t>
        </w:r>
      </w:hyperlink>
      <w:r w:rsidRPr="00CF48DF">
        <w:t> dans l’espace à 3 dimensions, il existe un </w:t>
      </w:r>
      <w:hyperlink r:id="rId57" w:tooltip="Morphisme de groupes de Lie" w:history="1">
        <w:r w:rsidRPr="00CF48DF">
          <w:t>homomorphisme</w:t>
        </w:r>
      </w:hyperlink>
      <w:r w:rsidRPr="00CF48DF">
        <w:t> </w:t>
      </w:r>
      <w:hyperlink r:id="rId58" w:tooltip="Surjectif" w:history="1">
        <w:r w:rsidRPr="00CF48DF">
          <w:t>surjectif</w:t>
        </w:r>
      </w:hyperlink>
      <w:r w:rsidRPr="00CF48DF">
        <w:t> de groupes de Lie SU(2) → </w:t>
      </w:r>
      <w:hyperlink r:id="rId59" w:tooltip="Groupe orthogonal" w:history="1">
        <w:r w:rsidRPr="00CF48DF">
          <w:t>SO(3)</w:t>
        </w:r>
      </w:hyperlink>
      <w:r w:rsidRPr="00CF48DF">
        <w:t> de </w:t>
      </w:r>
      <w:hyperlink r:id="rId60" w:tooltip="Noyau (algèbre)" w:history="1">
        <w:r w:rsidRPr="00CF48DF">
          <w:t>noyau</w:t>
        </w:r>
      </w:hyperlink>
      <w:r w:rsidRPr="00CF48DF">
        <w:t> {+I, –I}.</w:t>
      </w:r>
    </w:p>
    <w:p w14:paraId="6C47719C" w14:textId="7B29BB42" w:rsidR="00CF48DF" w:rsidRPr="00CF48DF" w:rsidRDefault="00CF48DF" w:rsidP="00CF48DF">
      <w:r w:rsidRPr="00CF48DF">
        <w:t>Les matrices suivantes forment une </w:t>
      </w:r>
      <w:hyperlink r:id="rId61" w:tooltip="Base (algèbre linéaire)" w:history="1">
        <w:r w:rsidRPr="00CF48DF">
          <w:t>base</w:t>
        </w:r>
      </w:hyperlink>
      <w:r w:rsidRPr="00CF48DF">
        <w:t> de </w:t>
      </w:r>
      <m:oMath>
        <m:r>
          <m:rPr>
            <m:scr m:val="fraktur"/>
            <m:sty m:val="p"/>
          </m:rPr>
          <w:rPr>
            <w:rFonts w:ascii="Cambria Math" w:hAnsi="Cambria Math"/>
          </w:rPr>
          <m:t>su</m:t>
        </m:r>
        <m:r>
          <m:rPr>
            <m:sty m:val="p"/>
          </m:rPr>
          <w:rPr>
            <w:rFonts w:ascii="Cambria Math" w:hAnsi="Cambria Math"/>
          </w:rPr>
          <m:t>(2)</m:t>
        </m:r>
      </m:oMath>
      <w:r w:rsidRPr="00CF48DF">
        <w:t> :</w:t>
      </w:r>
    </w:p>
    <w:p w14:paraId="0BDE5DB1" w14:textId="426A180E" w:rsidR="00CF48DF" w:rsidRPr="00CF48DF" w:rsidRDefault="00CF48DF" w:rsidP="00CF48DF">
      <m:oMathPara>
        <m:oMath>
          <m:r>
            <m:rPr>
              <m:sty m:val="p"/>
            </m:rPr>
            <w:rPr>
              <w:rFonts w:ascii="Cambria Math" w:hAnsi="Cambria Math"/>
            </w:rPr>
            <m:t>i</m:t>
          </m:r>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m>
            <m:mPr>
              <m:plcHide m:val="1"/>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i</m:t>
                </m:r>
              </m:e>
            </m:mr>
            <m:mr>
              <m:e>
                <m:r>
                  <m:rPr>
                    <m:sty m:val="p"/>
                  </m:rPr>
                  <w:rPr>
                    <w:rFonts w:ascii="Cambria Math" w:hAnsi="Cambria Math"/>
                  </w:rPr>
                  <m:t>i</m:t>
                </m:r>
              </m:e>
              <m:e>
                <m:r>
                  <m:rPr>
                    <m:sty m:val="p"/>
                  </m:rPr>
                  <w:rPr>
                    <w:rFonts w:ascii="Cambria Math" w:hAnsi="Cambria Math"/>
                  </w:rPr>
                  <m:t>0</m:t>
                </m:r>
              </m:e>
            </m:mr>
          </m:m>
          <m:r>
            <m:rPr>
              <m:sty m:val="p"/>
            </m:rPr>
            <w:rPr>
              <w:rFonts w:ascii="Cambria Math" w:hAnsi="Cambria Math"/>
            </w:rPr>
            <m:t>)</m:t>
          </m:r>
        </m:oMath>
      </m:oMathPara>
    </w:p>
    <w:p w14:paraId="6CBD180E" w14:textId="75B1D5F5" w:rsidR="00CF48DF" w:rsidRPr="00CF48DF" w:rsidRDefault="00CF48DF" w:rsidP="00CF48DF">
      <m:oMathPara>
        <m:oMath>
          <m:r>
            <m:rPr>
              <m:sty m:val="p"/>
            </m:rPr>
            <w:rPr>
              <w:rFonts w:ascii="Cambria Math" w:hAnsi="Cambria Math"/>
            </w:rPr>
            <m:t>i</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m>
            <m:mPr>
              <m:plcHide m:val="1"/>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r>
            <m:rPr>
              <m:sty m:val="p"/>
            </m:rPr>
            <w:rPr>
              <w:rFonts w:ascii="Cambria Math" w:hAnsi="Cambria Math"/>
            </w:rPr>
            <m:t>)</m:t>
          </m:r>
        </m:oMath>
      </m:oMathPara>
    </w:p>
    <w:p w14:paraId="2D50B93D" w14:textId="0452C08F" w:rsidR="00CF48DF" w:rsidRPr="00CF48DF" w:rsidRDefault="00CF48DF" w:rsidP="00CF48DF">
      <m:oMathPara>
        <m:oMath>
          <m:r>
            <m:rPr>
              <m:sty m:val="p"/>
            </m:rPr>
            <w:rPr>
              <w:rFonts w:ascii="Cambria Math" w:hAnsi="Cambria Math"/>
            </w:rPr>
            <m:t>i</m:t>
          </m:r>
          <m:sSub>
            <m:sSubPr>
              <m:ctrlPr>
                <w:rPr>
                  <w:rFonts w:ascii="Cambria Math" w:hAnsi="Cambria Math"/>
                </w:rPr>
              </m:ctrlPr>
            </m:sSubPr>
            <m:e>
              <m:r>
                <w:rPr>
                  <w:rFonts w:ascii="Cambria Math" w:hAnsi="Cambria Math"/>
                </w:rPr>
                <m:t>σ</m:t>
              </m:r>
            </m:e>
            <m:sub>
              <m:r>
                <w:rPr>
                  <w:rFonts w:ascii="Cambria Math" w:hAnsi="Cambria Math"/>
                </w:rPr>
                <m:t>z</m:t>
              </m:r>
            </m:sub>
          </m:sSub>
          <m:r>
            <m:rPr>
              <m:sty m:val="p"/>
            </m:rPr>
            <w:rPr>
              <w:rFonts w:ascii="Cambria Math" w:hAnsi="Cambria Math"/>
            </w:rPr>
            <m:t>=(</m:t>
          </m:r>
          <m:m>
            <m:mPr>
              <m:plcHide m:val="1"/>
              <m:mcs>
                <m:mc>
                  <m:mcPr>
                    <m:count m:val="2"/>
                    <m:mcJc m:val="center"/>
                  </m:mcPr>
                </m:mc>
              </m:mcs>
              <m:ctrlPr>
                <w:rPr>
                  <w:rFonts w:ascii="Cambria Math" w:hAnsi="Cambria Math"/>
                </w:rPr>
              </m:ctrlPr>
            </m:mPr>
            <m:mr>
              <m:e>
                <m:r>
                  <m:rPr>
                    <m:sty m:val="p"/>
                  </m:rPr>
                  <w:rPr>
                    <w:rFonts w:ascii="Cambria Math" w:hAnsi="Cambria Math"/>
                  </w:rPr>
                  <m:t>i</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-i</m:t>
                </m:r>
              </m:e>
            </m:mr>
          </m:m>
          <m:r>
            <m:rPr>
              <m:sty m:val="p"/>
            </m:rPr>
            <w:rPr>
              <w:rFonts w:ascii="Cambria Math" w:hAnsi="Cambria Math"/>
            </w:rPr>
            <m:t>)</m:t>
          </m:r>
        </m:oMath>
      </m:oMathPara>
    </w:p>
    <w:p w14:paraId="0CDF1F39" w14:textId="77777777" w:rsidR="00CF48DF" w:rsidRPr="00CF48DF" w:rsidRDefault="00CF48DF" w:rsidP="00CF48DF">
      <w:r w:rsidRPr="00CF48DF">
        <w:t>(</w:t>
      </w:r>
      <w:proofErr w:type="gramStart"/>
      <w:r w:rsidRPr="00CF48DF">
        <w:t>où</w:t>
      </w:r>
      <w:proofErr w:type="gramEnd"/>
      <w:r w:rsidRPr="00CF48DF">
        <w:t> i est « l’</w:t>
      </w:r>
      <w:hyperlink r:id="rId62" w:tooltip="Unité imaginaire" w:history="1">
        <w:r w:rsidRPr="00CF48DF">
          <w:t>unité imaginaire</w:t>
        </w:r>
      </w:hyperlink>
      <w:r w:rsidRPr="00CF48DF">
        <w:t> »)</w:t>
      </w:r>
    </w:p>
    <w:p w14:paraId="66BD7AD0" w14:textId="28B35F10" w:rsidR="00CF48DF" w:rsidRPr="00CF48DF" w:rsidRDefault="00CF48DF" w:rsidP="00CF48DF">
      <w:r w:rsidRPr="00CF48DF">
        <w:t>Les matrices </w:t>
      </w:r>
      <m:oMath>
        <m:r>
          <w:rPr>
            <w:rFonts w:ascii="Cambria Math" w:hAnsi="Cambria Math"/>
          </w:rPr>
          <m:t>σ</m:t>
        </m:r>
      </m:oMath>
      <w:r w:rsidRPr="00CF48DF">
        <w:t> (dites « </w:t>
      </w:r>
      <w:hyperlink r:id="rId63" w:tooltip="Matrices de Pauli" w:history="1">
        <w:proofErr w:type="spellStart"/>
        <w:r w:rsidRPr="00CF48DF">
          <w:t>matrices</w:t>
        </w:r>
        <w:proofErr w:type="spellEnd"/>
        <w:r w:rsidRPr="00CF48DF">
          <w:t xml:space="preserve"> de Pauli</w:t>
        </w:r>
      </w:hyperlink>
      <w:r w:rsidRPr="00CF48DF">
        <w:t> ») sont souvent utilisées en </w:t>
      </w:r>
      <w:hyperlink r:id="rId64" w:tooltip="Mécanique quantique" w:history="1">
        <w:r w:rsidRPr="00CF48DF">
          <w:t>mécanique quantique</w:t>
        </w:r>
      </w:hyperlink>
      <w:r w:rsidRPr="00CF48DF">
        <w:t> pour représenter le </w:t>
      </w:r>
      <w:hyperlink r:id="rId65" w:tooltip="Spin" w:history="1">
        <w:r w:rsidRPr="00CF48DF">
          <w:t>spin</w:t>
        </w:r>
      </w:hyperlink>
      <w:r w:rsidRPr="00CF48DF">
        <w:t> des </w:t>
      </w:r>
      <w:hyperlink r:id="rId66" w:tooltip="Particule (physique)" w:history="1">
        <w:r w:rsidRPr="00CF48DF">
          <w:t>particules</w:t>
        </w:r>
      </w:hyperlink>
      <w:r w:rsidRPr="00CF48DF">
        <w:t>.</w:t>
      </w:r>
    </w:p>
    <w:p w14:paraId="1D6BEAA1" w14:textId="77777777" w:rsidR="00CF48DF" w:rsidRPr="00FE16A4" w:rsidRDefault="00CF48DF" w:rsidP="00FE16A4"/>
    <w:sectPr w:rsidR="00CF48DF" w:rsidRPr="00FE16A4">
      <w:headerReference w:type="default" r:id="rId67"/>
      <w:footerReference w:type="default" r:id="rId6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A20F4" w14:textId="77777777" w:rsidR="008912B7" w:rsidRDefault="008912B7" w:rsidP="00D54EB9">
      <w:pPr>
        <w:spacing w:after="0" w:line="240" w:lineRule="auto"/>
      </w:pPr>
      <w:r>
        <w:separator/>
      </w:r>
    </w:p>
  </w:endnote>
  <w:endnote w:type="continuationSeparator" w:id="0">
    <w:p w14:paraId="645A26B2" w14:textId="77777777" w:rsidR="008912B7" w:rsidRDefault="008912B7"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3038" w14:textId="77777777" w:rsidR="008912B7" w:rsidRDefault="008912B7" w:rsidP="00D54EB9">
      <w:pPr>
        <w:spacing w:after="0" w:line="240" w:lineRule="auto"/>
      </w:pPr>
      <w:r>
        <w:separator/>
      </w:r>
    </w:p>
  </w:footnote>
  <w:footnote w:type="continuationSeparator" w:id="0">
    <w:p w14:paraId="06FDCD43" w14:textId="77777777" w:rsidR="008912B7" w:rsidRDefault="008912B7"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44CC4B7C" w:rsidR="00D54EB9" w:rsidRDefault="00D54EB9">
    <w:pPr>
      <w:pStyle w:val="En-tte"/>
    </w:pPr>
    <w:r>
      <w:t>PHYSIQUE –</w:t>
    </w:r>
    <w:r w:rsidR="00A55D9B">
      <w:t xml:space="preserve"> </w:t>
    </w:r>
    <w:r w:rsidR="00CF48DF" w:rsidRPr="00CF48DF">
      <w:t>Chromodynamique quantique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7"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5"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24"/>
  </w:num>
  <w:num w:numId="2" w16cid:durableId="985860346">
    <w:abstractNumId w:val="30"/>
  </w:num>
  <w:num w:numId="3" w16cid:durableId="196166302">
    <w:abstractNumId w:val="43"/>
  </w:num>
  <w:num w:numId="4" w16cid:durableId="85611783">
    <w:abstractNumId w:val="28"/>
  </w:num>
  <w:num w:numId="5" w16cid:durableId="1764495135">
    <w:abstractNumId w:val="35"/>
  </w:num>
  <w:num w:numId="6" w16cid:durableId="9337082">
    <w:abstractNumId w:val="59"/>
  </w:num>
  <w:num w:numId="7" w16cid:durableId="1363626625">
    <w:abstractNumId w:val="2"/>
  </w:num>
  <w:num w:numId="8" w16cid:durableId="78605320">
    <w:abstractNumId w:val="11"/>
  </w:num>
  <w:num w:numId="9" w16cid:durableId="1745495026">
    <w:abstractNumId w:val="23"/>
  </w:num>
  <w:num w:numId="10" w16cid:durableId="1290820955">
    <w:abstractNumId w:val="22"/>
  </w:num>
  <w:num w:numId="11" w16cid:durableId="985741773">
    <w:abstractNumId w:val="16"/>
  </w:num>
  <w:num w:numId="12" w16cid:durableId="157624102">
    <w:abstractNumId w:val="64"/>
  </w:num>
  <w:num w:numId="13" w16cid:durableId="1794011271">
    <w:abstractNumId w:val="31"/>
  </w:num>
  <w:num w:numId="14" w16cid:durableId="2126852057">
    <w:abstractNumId w:val="47"/>
  </w:num>
  <w:num w:numId="15" w16cid:durableId="1823424295">
    <w:abstractNumId w:val="58"/>
  </w:num>
  <w:num w:numId="16" w16cid:durableId="928343046">
    <w:abstractNumId w:val="62"/>
  </w:num>
  <w:num w:numId="17" w16cid:durableId="67197130">
    <w:abstractNumId w:val="66"/>
  </w:num>
  <w:num w:numId="18" w16cid:durableId="51733916">
    <w:abstractNumId w:val="37"/>
  </w:num>
  <w:num w:numId="19" w16cid:durableId="1633438650">
    <w:abstractNumId w:val="49"/>
  </w:num>
  <w:num w:numId="20" w16cid:durableId="1157109359">
    <w:abstractNumId w:val="50"/>
  </w:num>
  <w:num w:numId="21" w16cid:durableId="1604875568">
    <w:abstractNumId w:val="4"/>
  </w:num>
  <w:num w:numId="22" w16cid:durableId="1840459850">
    <w:abstractNumId w:val="27"/>
  </w:num>
  <w:num w:numId="23" w16cid:durableId="1803888255">
    <w:abstractNumId w:val="40"/>
  </w:num>
  <w:num w:numId="24" w16cid:durableId="1998876001">
    <w:abstractNumId w:val="9"/>
  </w:num>
  <w:num w:numId="25" w16cid:durableId="466240926">
    <w:abstractNumId w:val="54"/>
  </w:num>
  <w:num w:numId="26" w16cid:durableId="1032612191">
    <w:abstractNumId w:val="60"/>
  </w:num>
  <w:num w:numId="27" w16cid:durableId="2059477957">
    <w:abstractNumId w:val="19"/>
  </w:num>
  <w:num w:numId="28" w16cid:durableId="60102640">
    <w:abstractNumId w:val="3"/>
  </w:num>
  <w:num w:numId="29" w16cid:durableId="2043286050">
    <w:abstractNumId w:val="65"/>
  </w:num>
  <w:num w:numId="30" w16cid:durableId="876817421">
    <w:abstractNumId w:val="13"/>
  </w:num>
  <w:num w:numId="31" w16cid:durableId="1191183674">
    <w:abstractNumId w:val="44"/>
  </w:num>
  <w:num w:numId="32" w16cid:durableId="1457868945">
    <w:abstractNumId w:val="12"/>
  </w:num>
  <w:num w:numId="33" w16cid:durableId="830872827">
    <w:abstractNumId w:val="34"/>
  </w:num>
  <w:num w:numId="34" w16cid:durableId="1402214887">
    <w:abstractNumId w:val="41"/>
  </w:num>
  <w:num w:numId="35" w16cid:durableId="804467890">
    <w:abstractNumId w:val="39"/>
  </w:num>
  <w:num w:numId="36" w16cid:durableId="531307307">
    <w:abstractNumId w:val="42"/>
  </w:num>
  <w:num w:numId="37" w16cid:durableId="1335260250">
    <w:abstractNumId w:val="55"/>
  </w:num>
  <w:num w:numId="38" w16cid:durableId="1648129253">
    <w:abstractNumId w:val="36"/>
  </w:num>
  <w:num w:numId="39" w16cid:durableId="808477923">
    <w:abstractNumId w:val="57"/>
  </w:num>
  <w:num w:numId="40" w16cid:durableId="313603430">
    <w:abstractNumId w:val="10"/>
  </w:num>
  <w:num w:numId="41" w16cid:durableId="832066700">
    <w:abstractNumId w:val="18"/>
  </w:num>
  <w:num w:numId="42" w16cid:durableId="222176590">
    <w:abstractNumId w:val="21"/>
  </w:num>
  <w:num w:numId="43" w16cid:durableId="1802648874">
    <w:abstractNumId w:val="61"/>
  </w:num>
  <w:num w:numId="44" w16cid:durableId="445126056">
    <w:abstractNumId w:val="67"/>
  </w:num>
  <w:num w:numId="45" w16cid:durableId="146552461">
    <w:abstractNumId w:val="14"/>
  </w:num>
  <w:num w:numId="46" w16cid:durableId="692920360">
    <w:abstractNumId w:val="5"/>
  </w:num>
  <w:num w:numId="47" w16cid:durableId="356856055">
    <w:abstractNumId w:val="26"/>
  </w:num>
  <w:num w:numId="48" w16cid:durableId="597755524">
    <w:abstractNumId w:val="53"/>
  </w:num>
  <w:num w:numId="49" w16cid:durableId="1096709593">
    <w:abstractNumId w:val="17"/>
  </w:num>
  <w:num w:numId="50" w16cid:durableId="1169979567">
    <w:abstractNumId w:val="48"/>
  </w:num>
  <w:num w:numId="51" w16cid:durableId="1886015818">
    <w:abstractNumId w:val="0"/>
  </w:num>
  <w:num w:numId="52" w16cid:durableId="107546424">
    <w:abstractNumId w:val="6"/>
  </w:num>
  <w:num w:numId="53" w16cid:durableId="223613737">
    <w:abstractNumId w:val="15"/>
  </w:num>
  <w:num w:numId="54" w16cid:durableId="1084836597">
    <w:abstractNumId w:val="33"/>
  </w:num>
  <w:num w:numId="55" w16cid:durableId="717434181">
    <w:abstractNumId w:val="46"/>
  </w:num>
  <w:num w:numId="56" w16cid:durableId="1677535290">
    <w:abstractNumId w:val="63"/>
  </w:num>
  <w:num w:numId="57" w16cid:durableId="334190522">
    <w:abstractNumId w:val="51"/>
  </w:num>
  <w:num w:numId="58" w16cid:durableId="1029602556">
    <w:abstractNumId w:val="38"/>
  </w:num>
  <w:num w:numId="59" w16cid:durableId="196553088">
    <w:abstractNumId w:val="25"/>
  </w:num>
  <w:num w:numId="60" w16cid:durableId="624122783">
    <w:abstractNumId w:val="56"/>
  </w:num>
  <w:num w:numId="61" w16cid:durableId="1168592437">
    <w:abstractNumId w:val="45"/>
  </w:num>
  <w:num w:numId="62" w16cid:durableId="1951012609">
    <w:abstractNumId w:val="1"/>
  </w:num>
  <w:num w:numId="63" w16cid:durableId="1223298642">
    <w:abstractNumId w:val="32"/>
  </w:num>
  <w:num w:numId="64" w16cid:durableId="726612268">
    <w:abstractNumId w:val="7"/>
  </w:num>
  <w:num w:numId="65" w16cid:durableId="136144830">
    <w:abstractNumId w:val="8"/>
  </w:num>
  <w:num w:numId="66" w16cid:durableId="870999469">
    <w:abstractNumId w:val="20"/>
  </w:num>
  <w:num w:numId="67" w16cid:durableId="234780024">
    <w:abstractNumId w:val="52"/>
  </w:num>
  <w:num w:numId="68" w16cid:durableId="75471375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14546"/>
    <w:rsid w:val="00023DA7"/>
    <w:rsid w:val="000B35BC"/>
    <w:rsid w:val="000E0F94"/>
    <w:rsid w:val="00110F1E"/>
    <w:rsid w:val="001166E0"/>
    <w:rsid w:val="00123C4A"/>
    <w:rsid w:val="001305B5"/>
    <w:rsid w:val="00160823"/>
    <w:rsid w:val="00173795"/>
    <w:rsid w:val="001904F9"/>
    <w:rsid w:val="001B225C"/>
    <w:rsid w:val="001B5761"/>
    <w:rsid w:val="001D443E"/>
    <w:rsid w:val="00256BEA"/>
    <w:rsid w:val="0027206F"/>
    <w:rsid w:val="002E3539"/>
    <w:rsid w:val="00305670"/>
    <w:rsid w:val="00326B0B"/>
    <w:rsid w:val="00361D9F"/>
    <w:rsid w:val="00363932"/>
    <w:rsid w:val="00371451"/>
    <w:rsid w:val="00372046"/>
    <w:rsid w:val="00391031"/>
    <w:rsid w:val="00392085"/>
    <w:rsid w:val="003B22A5"/>
    <w:rsid w:val="00400244"/>
    <w:rsid w:val="0043081B"/>
    <w:rsid w:val="004326FA"/>
    <w:rsid w:val="00466571"/>
    <w:rsid w:val="00521C27"/>
    <w:rsid w:val="00536250"/>
    <w:rsid w:val="005364F4"/>
    <w:rsid w:val="00552CCB"/>
    <w:rsid w:val="0058124D"/>
    <w:rsid w:val="005954CB"/>
    <w:rsid w:val="005974A9"/>
    <w:rsid w:val="00597966"/>
    <w:rsid w:val="006269C7"/>
    <w:rsid w:val="00634B4A"/>
    <w:rsid w:val="0063560C"/>
    <w:rsid w:val="0064590E"/>
    <w:rsid w:val="00663AA1"/>
    <w:rsid w:val="00674DD9"/>
    <w:rsid w:val="006766D4"/>
    <w:rsid w:val="0068768C"/>
    <w:rsid w:val="006A5A09"/>
    <w:rsid w:val="006C63B6"/>
    <w:rsid w:val="006E1F77"/>
    <w:rsid w:val="00740465"/>
    <w:rsid w:val="0074489B"/>
    <w:rsid w:val="00755A4E"/>
    <w:rsid w:val="007A01AE"/>
    <w:rsid w:val="007B0483"/>
    <w:rsid w:val="007B7C0A"/>
    <w:rsid w:val="007D3665"/>
    <w:rsid w:val="007D7286"/>
    <w:rsid w:val="007F07CE"/>
    <w:rsid w:val="00802A22"/>
    <w:rsid w:val="00860933"/>
    <w:rsid w:val="00880AA3"/>
    <w:rsid w:val="008912B7"/>
    <w:rsid w:val="008C1C67"/>
    <w:rsid w:val="00900C0A"/>
    <w:rsid w:val="00927C71"/>
    <w:rsid w:val="00940EDE"/>
    <w:rsid w:val="00975931"/>
    <w:rsid w:val="009B16DB"/>
    <w:rsid w:val="009C6666"/>
    <w:rsid w:val="009C6EA7"/>
    <w:rsid w:val="009D3220"/>
    <w:rsid w:val="00A30394"/>
    <w:rsid w:val="00A323C4"/>
    <w:rsid w:val="00A55D9B"/>
    <w:rsid w:val="00A67375"/>
    <w:rsid w:val="00A75422"/>
    <w:rsid w:val="00AA1169"/>
    <w:rsid w:val="00AB2814"/>
    <w:rsid w:val="00B130DF"/>
    <w:rsid w:val="00B21333"/>
    <w:rsid w:val="00B35ECA"/>
    <w:rsid w:val="00B436E8"/>
    <w:rsid w:val="00B71B6F"/>
    <w:rsid w:val="00B96FD4"/>
    <w:rsid w:val="00BB135E"/>
    <w:rsid w:val="00BF3C81"/>
    <w:rsid w:val="00C12FFF"/>
    <w:rsid w:val="00C54A6A"/>
    <w:rsid w:val="00C570D7"/>
    <w:rsid w:val="00C72B4C"/>
    <w:rsid w:val="00C76D87"/>
    <w:rsid w:val="00C90B8E"/>
    <w:rsid w:val="00CF40B0"/>
    <w:rsid w:val="00CF48DF"/>
    <w:rsid w:val="00CF6EFC"/>
    <w:rsid w:val="00D04A84"/>
    <w:rsid w:val="00D14313"/>
    <w:rsid w:val="00D44A07"/>
    <w:rsid w:val="00D54EB9"/>
    <w:rsid w:val="00D71C3B"/>
    <w:rsid w:val="00D95E5B"/>
    <w:rsid w:val="00DA7944"/>
    <w:rsid w:val="00DC3C9B"/>
    <w:rsid w:val="00E42C0D"/>
    <w:rsid w:val="00E56699"/>
    <w:rsid w:val="00E81853"/>
    <w:rsid w:val="00EC1105"/>
    <w:rsid w:val="00EE277C"/>
    <w:rsid w:val="00F01A98"/>
    <w:rsid w:val="00F4078C"/>
    <w:rsid w:val="00F90671"/>
    <w:rsid w:val="00F92723"/>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Grec_ancien" TargetMode="External"/><Relationship Id="rId21" Type="http://schemas.openxmlformats.org/officeDocument/2006/relationships/hyperlink" Target="https://fr.wikipedia.org/wiki/Hadron" TargetMode="External"/><Relationship Id="rId42" Type="http://schemas.openxmlformats.org/officeDocument/2006/relationships/hyperlink" Target="https://fr.wikipedia.org/wiki/Nombre_complexe" TargetMode="External"/><Relationship Id="rId47" Type="http://schemas.openxmlformats.org/officeDocument/2006/relationships/hyperlink" Target="https://fr.wikipedia.org/wiki/Trace_(alg%C3%A8bre)" TargetMode="External"/><Relationship Id="rId63" Type="http://schemas.openxmlformats.org/officeDocument/2006/relationships/hyperlink" Target="https://fr.wikipedia.org/wiki/Matrices_de_Pauli" TargetMode="External"/><Relationship Id="rId68" Type="http://schemas.openxmlformats.org/officeDocument/2006/relationships/footer" Target="footer1.xml"/><Relationship Id="rId7" Type="http://schemas.openxmlformats.org/officeDocument/2006/relationships/hyperlink" Target="https://fr.wikipedia.org/wiki/Quark" TargetMode="External"/><Relationship Id="rId2" Type="http://schemas.openxmlformats.org/officeDocument/2006/relationships/styles" Target="styles.xml"/><Relationship Id="rId16" Type="http://schemas.openxmlformats.org/officeDocument/2006/relationships/hyperlink" Target="https://fr.wikipedia.org/wiki/Libert%C3%A9_asymptotique" TargetMode="External"/><Relationship Id="rId29" Type="http://schemas.openxmlformats.org/officeDocument/2006/relationships/hyperlink" Target="https://fr.wikipedia.org/wiki/Nombre_baryonique" TargetMode="External"/><Relationship Id="rId11" Type="http://schemas.openxmlformats.org/officeDocument/2006/relationships/hyperlink" Target="https://fr.wikipedia.org/wiki/Charge_%C3%A9lectrique" TargetMode="External"/><Relationship Id="rId24" Type="http://schemas.openxmlformats.org/officeDocument/2006/relationships/hyperlink" Target="https://fr.wikipedia.org/wiki/%C3%89crantage" TargetMode="External"/><Relationship Id="rId32" Type="http://schemas.openxmlformats.org/officeDocument/2006/relationships/hyperlink" Target="https://fr.wikipedia.org/wiki/Groupe_(math%C3%A9matiques)" TargetMode="External"/><Relationship Id="rId37" Type="http://schemas.openxmlformats.org/officeDocument/2006/relationships/hyperlink" Target="https://fr.wikipedia.org/wiki/Groupe_unitaire" TargetMode="External"/><Relationship Id="rId40" Type="http://schemas.openxmlformats.org/officeDocument/2006/relationships/hyperlink" Target="https://fr.wikipedia.org/wiki/Forme_hermitienne" TargetMode="External"/><Relationship Id="rId45" Type="http://schemas.openxmlformats.org/officeDocument/2006/relationships/hyperlink" Target="https://fr.wikipedia.org/wiki/Groupe_de_Lie_simple" TargetMode="External"/><Relationship Id="rId53" Type="http://schemas.openxmlformats.org/officeDocument/2006/relationships/hyperlink" Target="https://fr.wikipedia.org/wiki/Quaternion" TargetMode="External"/><Relationship Id="rId58" Type="http://schemas.openxmlformats.org/officeDocument/2006/relationships/hyperlink" Target="https://fr.wikipedia.org/wiki/Surjectif" TargetMode="External"/><Relationship Id="rId66" Type="http://schemas.openxmlformats.org/officeDocument/2006/relationships/hyperlink" Target="https://fr.wikipedia.org/wiki/Particule_(physique)" TargetMode="External"/><Relationship Id="rId5" Type="http://schemas.openxmlformats.org/officeDocument/2006/relationships/footnotes" Target="footnotes.xml"/><Relationship Id="rId61" Type="http://schemas.openxmlformats.org/officeDocument/2006/relationships/hyperlink" Target="https://fr.wikipedia.org/wiki/Base_(alg%C3%A8bre_lin%C3%A9aire)" TargetMode="External"/><Relationship Id="rId19" Type="http://schemas.openxmlformats.org/officeDocument/2006/relationships/hyperlink" Target="https://fr.wikipedia.org/wiki/M%C3%A9son" TargetMode="External"/><Relationship Id="rId14" Type="http://schemas.openxmlformats.org/officeDocument/2006/relationships/hyperlink" Target="https://fr.wikipedia.org/wiki/Rouge_vert_bleu" TargetMode="External"/><Relationship Id="rId22" Type="http://schemas.openxmlformats.org/officeDocument/2006/relationships/hyperlink" Target="https://fr.wikipedia.org/wiki/Plasma_quark-gluon" TargetMode="External"/><Relationship Id="rId27" Type="http://schemas.openxmlformats.org/officeDocument/2006/relationships/hyperlink" Target="https://fr.wikipedia.org/wiki/Groupe_sp%C3%A9cial_unitaire" TargetMode="External"/><Relationship Id="rId30" Type="http://schemas.openxmlformats.org/officeDocument/2006/relationships/hyperlink" Target="https://fr.wikipedia.org/wiki/Math%C3%A9matiques" TargetMode="External"/><Relationship Id="rId35" Type="http://schemas.openxmlformats.org/officeDocument/2006/relationships/hyperlink" Target="https://fr.wikipedia.org/wiki/Loi_de_composition_interne" TargetMode="External"/><Relationship Id="rId43" Type="http://schemas.openxmlformats.org/officeDocument/2006/relationships/hyperlink" Target="https://fr.wikipedia.org/wiki/Groupe_de_Lie_compact" TargetMode="External"/><Relationship Id="rId48" Type="http://schemas.openxmlformats.org/officeDocument/2006/relationships/hyperlink" Target="https://fr.wikipedia.org/wiki/Commutateur_(op%C3%A9rateur)" TargetMode="External"/><Relationship Id="rId56" Type="http://schemas.openxmlformats.org/officeDocument/2006/relationships/hyperlink" Target="https://fr.wikipedia.org/wiki/Rotation_dans_l%27espace" TargetMode="External"/><Relationship Id="rId64" Type="http://schemas.openxmlformats.org/officeDocument/2006/relationships/hyperlink" Target="https://fr.wikipedia.org/wiki/M%C3%A9canique_quantique" TargetMode="External"/><Relationship Id="rId69" Type="http://schemas.openxmlformats.org/officeDocument/2006/relationships/fontTable" Target="fontTable.xml"/><Relationship Id="rId8" Type="http://schemas.openxmlformats.org/officeDocument/2006/relationships/hyperlink" Target="https://fr.wikipedia.org/wiki/Antiquark" TargetMode="External"/><Relationship Id="rId51" Type="http://schemas.openxmlformats.org/officeDocument/2006/relationships/hyperlink" Target="https://fr.wikipedia.org/wiki/Diff%C3%A9omorphisme" TargetMode="External"/><Relationship Id="rId3" Type="http://schemas.openxmlformats.org/officeDocument/2006/relationships/settings" Target="settings.xml"/><Relationship Id="rId12" Type="http://schemas.openxmlformats.org/officeDocument/2006/relationships/hyperlink" Target="https://fr.wikipedia.org/wiki/Force_%C3%A9lectrostatique" TargetMode="External"/><Relationship Id="rId17" Type="http://schemas.openxmlformats.org/officeDocument/2006/relationships/hyperlink" Target="https://fr.wikipedia.org/wiki/Baryon" TargetMode="External"/><Relationship Id="rId25" Type="http://schemas.openxmlformats.org/officeDocument/2006/relationships/hyperlink" Target="https://fr.wikipedia.org/wiki/Mod%C3%A8le_standard_de_la_physique_des_particules" TargetMode="External"/><Relationship Id="rId33" Type="http://schemas.openxmlformats.org/officeDocument/2006/relationships/hyperlink" Target="https://fr.wikipedia.org/wiki/Automorphisme_orthogonal" TargetMode="External"/><Relationship Id="rId38" Type="http://schemas.openxmlformats.org/officeDocument/2006/relationships/hyperlink" Target="https://fr.wikipedia.org/wiki/Forme_sesquilin%C3%A9aire" TargetMode="External"/><Relationship Id="rId46" Type="http://schemas.openxmlformats.org/officeDocument/2006/relationships/hyperlink" Target="https://fr.wikipedia.org/wiki/Alg%C3%A8bre_de_Lie" TargetMode="External"/><Relationship Id="rId59" Type="http://schemas.openxmlformats.org/officeDocument/2006/relationships/hyperlink" Target="https://fr.wikipedia.org/wiki/Groupe_orthogonal" TargetMode="External"/><Relationship Id="rId67" Type="http://schemas.openxmlformats.org/officeDocument/2006/relationships/header" Target="header1.xml"/><Relationship Id="rId20" Type="http://schemas.openxmlformats.org/officeDocument/2006/relationships/hyperlink" Target="https://fr.wikipedia.org/wiki/Baryon" TargetMode="External"/><Relationship Id="rId41" Type="http://schemas.openxmlformats.org/officeDocument/2006/relationships/hyperlink" Target="https://fr.wikipedia.org/wiki/Matrice_unitaire" TargetMode="External"/><Relationship Id="rId54" Type="http://schemas.openxmlformats.org/officeDocument/2006/relationships/hyperlink" Target="https://fr.wikipedia.org/wiki/Isomorphisme_de_groupes" TargetMode="External"/><Relationship Id="rId62" Type="http://schemas.openxmlformats.org/officeDocument/2006/relationships/hyperlink" Target="https://fr.wikipedia.org/wiki/Unit%C3%A9_imaginaire"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Charge_de_couleur" TargetMode="External"/><Relationship Id="rId23" Type="http://schemas.openxmlformats.org/officeDocument/2006/relationships/hyperlink" Target="https://fr.wikipedia.org/wiki/%C3%89tat_plasma" TargetMode="External"/><Relationship Id="rId28" Type="http://schemas.openxmlformats.org/officeDocument/2006/relationships/hyperlink" Target="https://fr.wikipedia.org/wiki/M%C3%A9son" TargetMode="External"/><Relationship Id="rId36" Type="http://schemas.openxmlformats.org/officeDocument/2006/relationships/hyperlink" Target="https://fr.wikipedia.org/wiki/Sous-groupe" TargetMode="External"/><Relationship Id="rId49" Type="http://schemas.openxmlformats.org/officeDocument/2006/relationships/hyperlink" Target="https://fr.wikipedia.org/wiki/Crochet_de_Lie" TargetMode="External"/><Relationship Id="rId57" Type="http://schemas.openxmlformats.org/officeDocument/2006/relationships/hyperlink" Target="https://fr.wikipedia.org/wiki/Morphisme_de_groupes_de_Lie" TargetMode="External"/><Relationship Id="rId10" Type="http://schemas.openxmlformats.org/officeDocument/2006/relationships/hyperlink" Target="https://fr.wikipedia.org/wiki/Nombre_quantique" TargetMode="External"/><Relationship Id="rId31" Type="http://schemas.openxmlformats.org/officeDocument/2006/relationships/hyperlink" Target="https://fr.wikipedia.org/wiki/Espace_hermitien" TargetMode="External"/><Relationship Id="rId44" Type="http://schemas.openxmlformats.org/officeDocument/2006/relationships/hyperlink" Target="https://fr.wikipedia.org/wiki/Simplement_connexe" TargetMode="External"/><Relationship Id="rId52" Type="http://schemas.openxmlformats.org/officeDocument/2006/relationships/hyperlink" Target="https://fr.wikipedia.org/wiki/N-sph%C3%A8re" TargetMode="External"/><Relationship Id="rId60" Type="http://schemas.openxmlformats.org/officeDocument/2006/relationships/hyperlink" Target="https://fr.wikipedia.org/wiki/Noyau_(alg%C3%A8bre)" TargetMode="External"/><Relationship Id="rId65" Type="http://schemas.openxmlformats.org/officeDocument/2006/relationships/hyperlink" Target="https://fr.wikipedia.org/wiki/Spin" TargetMode="External"/><Relationship Id="rId4" Type="http://schemas.openxmlformats.org/officeDocument/2006/relationships/webSettings" Target="webSettings.xml"/><Relationship Id="rId9" Type="http://schemas.openxmlformats.org/officeDocument/2006/relationships/hyperlink" Target="https://fr.wikipedia.org/wiki/Charge_de_couleur" TargetMode="External"/><Relationship Id="rId13" Type="http://schemas.openxmlformats.org/officeDocument/2006/relationships/hyperlink" Target="https://fr.wikipedia.org/wiki/Spectre_visible" TargetMode="External"/><Relationship Id="rId18" Type="http://schemas.openxmlformats.org/officeDocument/2006/relationships/hyperlink" Target="https://fr.wikipedia.org/wiki/Interaction_forte" TargetMode="External"/><Relationship Id="rId39" Type="http://schemas.openxmlformats.org/officeDocument/2006/relationships/hyperlink" Target="https://fr.wikipedia.org/wiki/Espace_vectoriel" TargetMode="External"/><Relationship Id="rId34" Type="http://schemas.openxmlformats.org/officeDocument/2006/relationships/hyperlink" Target="https://fr.wikipedia.org/wiki/D%C3%A9terminant_(math%C3%A9matiques)" TargetMode="External"/><Relationship Id="rId50" Type="http://schemas.openxmlformats.org/officeDocument/2006/relationships/image" Target="media/image1.png"/><Relationship Id="rId55" Type="http://schemas.openxmlformats.org/officeDocument/2006/relationships/hyperlink" Target="https://fr.wikipedia.org/wiki/Quatern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4</Pages>
  <Words>2083</Words>
  <Characters>11462</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59</cp:revision>
  <dcterms:created xsi:type="dcterms:W3CDTF">2022-12-23T07:20:00Z</dcterms:created>
  <dcterms:modified xsi:type="dcterms:W3CDTF">2025-11-01T12:59:00Z</dcterms:modified>
</cp:coreProperties>
</file>