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23F8" w14:textId="5BDF2044" w:rsidR="00B33482" w:rsidRPr="007E575E" w:rsidRDefault="0085647B" w:rsidP="0085647B">
      <w:pPr>
        <w:pStyle w:val="Titre1"/>
        <w:jc w:val="both"/>
      </w:pPr>
      <w:r>
        <w:t>KEK</w:t>
      </w:r>
    </w:p>
    <w:p w14:paraId="23ECA171" w14:textId="73D83C5A" w:rsidR="002D54BA" w:rsidRDefault="003D5A98" w:rsidP="0085647B">
      <w:pPr>
        <w:pStyle w:val="Titre2"/>
        <w:jc w:val="both"/>
      </w:pPr>
      <w:r>
        <w:t>Introduction</w:t>
      </w:r>
    </w:p>
    <w:p w14:paraId="68819C76" w14:textId="3C2494E8" w:rsidR="00E71370" w:rsidRPr="0085647B" w:rsidRDefault="0085647B" w:rsidP="0085647B">
      <w:pPr>
        <w:pStyle w:val="Titre2"/>
        <w:jc w:val="both"/>
        <w:rPr>
          <w:rFonts w:ascii="Arial" w:eastAsiaTheme="minorHAnsi" w:hAnsi="Arial" w:cs="Arial"/>
          <w:color w:val="auto"/>
          <w:sz w:val="22"/>
          <w:szCs w:val="22"/>
        </w:rPr>
      </w:pPr>
      <w:r w:rsidRPr="0085647B">
        <w:rPr>
          <w:rFonts w:ascii="Arial" w:eastAsiaTheme="minorHAnsi" w:hAnsi="Arial" w:cs="Arial"/>
          <w:color w:val="auto"/>
          <w:sz w:val="22"/>
          <w:szCs w:val="22"/>
        </w:rPr>
        <w:t>L'Organisation de recherche avec des accélérateurs de haute énergie (</w:t>
      </w:r>
      <w:r w:rsidRPr="0085647B">
        <w:rPr>
          <w:rFonts w:ascii="MS Gothic" w:eastAsia="MS Gothic" w:hAnsi="MS Gothic" w:cs="MS Gothic" w:hint="eastAsia"/>
          <w:color w:val="auto"/>
          <w:sz w:val="22"/>
          <w:szCs w:val="22"/>
        </w:rPr>
        <w:t>高エネルギー加速器研究機構</w:t>
      </w:r>
      <w:r w:rsidRPr="0085647B">
        <w:rPr>
          <w:rFonts w:ascii="Arial" w:eastAsiaTheme="minorHAnsi" w:hAnsi="Arial" w:cs="Arial"/>
          <w:color w:val="auto"/>
          <w:sz w:val="22"/>
          <w:szCs w:val="22"/>
        </w:rPr>
        <w:t>, Kō Enerugī Kasokuki Kenkyū Kikō</w:t>
      </w:r>
      <w:hyperlink r:id="rId7" w:tooltip="Aide:Japonais" w:history="1">
        <w:r w:rsidRPr="0085647B">
          <w:rPr>
            <w:rFonts w:eastAsiaTheme="minorHAnsi"/>
            <w:color w:val="auto"/>
            <w:sz w:val="22"/>
            <w:szCs w:val="22"/>
          </w:rPr>
          <w:t>?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), connue sous le nom de KEK, est une organisation japonaise dont le but est d'exploiter le plus grand laboratoire de </w:t>
      </w:r>
      <w:hyperlink r:id="rId8" w:tooltip="Physique des particules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physique des particules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 au Japon, situé à </w:t>
      </w:r>
      <w:hyperlink r:id="rId9" w:tooltip="Tsukuba" w:history="1">
        <w:proofErr w:type="spellStart"/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Tsukuba</w:t>
        </w:r>
        <w:proofErr w:type="spellEnd"/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, </w:t>
      </w:r>
      <w:hyperlink r:id="rId10" w:tooltip="Préfecture d'Ibaraki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préfecture d'Ibaraki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. Il a été créé en 1997. Le terme "KEK" est également utilisé pour désigner le laboratoire lui-même, qui emploie environ 695 employés. La fonction principale de KEK est de fournir les </w:t>
      </w:r>
      <w:hyperlink r:id="rId11" w:tooltip="Accélérateur de particules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accélérateurs de particules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 et autres infrastructures nécessaires à la </w:t>
      </w:r>
      <w:hyperlink r:id="rId12" w:tooltip="Physique des hautes énergies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physique des hautes énergies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, à la </w:t>
      </w:r>
      <w:hyperlink r:id="rId13" w:tooltip="Science des matériaux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science des matériaux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 , la </w:t>
      </w:r>
      <w:hyperlink r:id="rId14" w:tooltip="Biologie structurale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biologie structurale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, la science des </w:t>
      </w:r>
      <w:hyperlink r:id="rId15" w:tooltip="Rayonnement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rayonnements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>, l'</w:t>
      </w:r>
      <w:hyperlink r:id="rId16" w:tooltip="Informatique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informatique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, la </w:t>
      </w:r>
      <w:hyperlink r:id="rId17" w:tooltip="Transmutation nucléaire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transmutation nucléaire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, etc. De nombreuses expériences ont été effectuées au KEK par les collaborations internes et internationales qui en ont fait usage. </w:t>
      </w:r>
      <w:hyperlink r:id="rId18" w:tooltip="Makoto Kobayashi (physicien)" w:history="1">
        <w:proofErr w:type="spellStart"/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Makoto</w:t>
        </w:r>
        <w:proofErr w:type="spellEnd"/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 xml:space="preserve"> Kobayashi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, professeur émérite à KEK, est connu dans le monde entier pour ses travaux sur la </w:t>
      </w:r>
      <w:hyperlink r:id="rId19" w:tooltip="Violation de CP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violation de CP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 et a reçu le </w:t>
      </w:r>
      <w:hyperlink r:id="rId20" w:tooltip="Prix Nobel de physique" w:history="1">
        <w:r w:rsidRPr="0085647B">
          <w:rPr>
            <w:rFonts w:ascii="Arial" w:eastAsiaTheme="minorHAnsi" w:hAnsi="Arial" w:cs="Arial"/>
            <w:color w:val="auto"/>
            <w:sz w:val="22"/>
            <w:szCs w:val="22"/>
          </w:rPr>
          <w:t>prix Nobel de physique</w:t>
        </w:r>
      </w:hyperlink>
      <w:r w:rsidRPr="0085647B">
        <w:rPr>
          <w:rFonts w:ascii="Arial" w:eastAsiaTheme="minorHAnsi" w:hAnsi="Arial" w:cs="Arial"/>
          <w:color w:val="auto"/>
          <w:sz w:val="22"/>
          <w:szCs w:val="22"/>
        </w:rPr>
        <w:t xml:space="preserve"> 2008.</w:t>
      </w:r>
    </w:p>
    <w:p w14:paraId="7D277694" w14:textId="68E5D7C0" w:rsidR="0085647B" w:rsidRDefault="0085647B" w:rsidP="0085647B">
      <w:pPr>
        <w:jc w:val="both"/>
      </w:pPr>
    </w:p>
    <w:p w14:paraId="42234FDA" w14:textId="4B40AB8F" w:rsidR="0085647B" w:rsidRPr="0085647B" w:rsidRDefault="0085647B" w:rsidP="0085647B">
      <w:pPr>
        <w:pStyle w:val="Titre2"/>
        <w:jc w:val="both"/>
        <w:rPr>
          <w:b/>
          <w:bCs/>
        </w:rPr>
      </w:pPr>
      <w:r w:rsidRPr="0085647B">
        <w:rPr>
          <w:rStyle w:val="mw-headline"/>
          <w:b/>
          <w:bCs/>
        </w:rPr>
        <w:t>Accélérateurs de particules</w:t>
      </w:r>
    </w:p>
    <w:p w14:paraId="2DC8D2C7" w14:textId="2F8EA54A" w:rsidR="0085647B" w:rsidRPr="0085647B" w:rsidRDefault="0085647B" w:rsidP="0085647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0" locked="0" layoutInCell="1" allowOverlap="1" wp14:anchorId="5F91DE98" wp14:editId="3D8E3E74">
            <wp:simplePos x="0" y="0"/>
            <wp:positionH relativeFrom="column">
              <wp:posOffset>4338955</wp:posOffset>
            </wp:positionH>
            <wp:positionV relativeFrom="paragraph">
              <wp:posOffset>88265</wp:posOffset>
            </wp:positionV>
            <wp:extent cx="1905000" cy="2857500"/>
            <wp:effectExtent l="0" t="0" r="0" b="0"/>
            <wp:wrapSquare wrapText="bothSides"/>
            <wp:docPr id="2" name="Image 2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85647B">
        <w:rPr>
          <w:rFonts w:ascii="Arial" w:hAnsi="Arial" w:cs="Arial"/>
          <w:b/>
          <w:bCs/>
        </w:rPr>
        <w:t>SuperKEKB</w:t>
      </w:r>
      <w:proofErr w:type="spellEnd"/>
      <w:r w:rsidRPr="0085647B">
        <w:rPr>
          <w:rFonts w:ascii="Arial" w:hAnsi="Arial" w:cs="Arial"/>
          <w:b/>
          <w:bCs/>
        </w:rPr>
        <w:t> :</w:t>
      </w:r>
      <w:r w:rsidRPr="0085647B">
        <w:rPr>
          <w:rFonts w:ascii="Arial" w:hAnsi="Arial" w:cs="Arial"/>
        </w:rPr>
        <w:t xml:space="preserve"> </w:t>
      </w:r>
      <w:hyperlink r:id="rId23" w:tooltip="Collisionneur" w:history="1">
        <w:r w:rsidRPr="0085647B">
          <w:rPr>
            <w:rFonts w:ascii="Arial" w:hAnsi="Arial" w:cs="Arial"/>
          </w:rPr>
          <w:t>collisionneur</w:t>
        </w:r>
      </w:hyperlink>
      <w:r w:rsidRPr="0085647B">
        <w:rPr>
          <w:rFonts w:ascii="Arial" w:hAnsi="Arial" w:cs="Arial"/>
        </w:rPr>
        <w:t xml:space="preserve"> </w:t>
      </w:r>
      <w:hyperlink r:id="rId24" w:tooltip="Électron" w:history="1">
        <w:r w:rsidRPr="0085647B">
          <w:rPr>
            <w:rFonts w:ascii="Arial" w:hAnsi="Arial" w:cs="Arial"/>
          </w:rPr>
          <w:t>électron</w:t>
        </w:r>
      </w:hyperlink>
      <w:r w:rsidRPr="0085647B">
        <w:rPr>
          <w:rFonts w:ascii="Arial" w:hAnsi="Arial" w:cs="Arial"/>
        </w:rPr>
        <w:t>-</w:t>
      </w:r>
      <w:hyperlink r:id="rId25" w:tooltip="Positon" w:history="1">
        <w:r w:rsidRPr="0085647B">
          <w:rPr>
            <w:rFonts w:ascii="Arial" w:hAnsi="Arial" w:cs="Arial"/>
          </w:rPr>
          <w:t>positon</w:t>
        </w:r>
      </w:hyperlink>
      <w:r w:rsidRPr="0085647B">
        <w:rPr>
          <w:rFonts w:ascii="Arial" w:hAnsi="Arial" w:cs="Arial"/>
        </w:rPr>
        <w:t xml:space="preserve"> et mise à niveau de KEKB. Avec deux anneaux de stockage : un </w:t>
      </w:r>
      <w:hyperlink r:id="rId26" w:tooltip="Anneau de stockage" w:history="1">
        <w:r w:rsidRPr="0085647B">
          <w:rPr>
            <w:rFonts w:ascii="Arial" w:hAnsi="Arial" w:cs="Arial"/>
          </w:rPr>
          <w:t>anneau de stockage</w:t>
        </w:r>
      </w:hyperlink>
      <w:r w:rsidRPr="0085647B">
        <w:rPr>
          <w:rFonts w:ascii="Arial" w:hAnsi="Arial" w:cs="Arial"/>
        </w:rPr>
        <w:t xml:space="preserve"> d'électrons de 7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et un anneau de stockage de positrons de 4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. La longueur circonférentielle est d'environ 3,016 km. De grandes quantités de </w:t>
      </w:r>
      <w:hyperlink r:id="rId27" w:tooltip="Méson B" w:history="1">
        <w:r w:rsidRPr="0085647B">
          <w:rPr>
            <w:rFonts w:ascii="Arial" w:hAnsi="Arial" w:cs="Arial"/>
          </w:rPr>
          <w:t>méson B</w:t>
        </w:r>
      </w:hyperlink>
      <w:r w:rsidRPr="0085647B">
        <w:rPr>
          <w:rFonts w:ascii="Arial" w:hAnsi="Arial" w:cs="Arial"/>
        </w:rPr>
        <w:t xml:space="preserve"> et d'anti-méson B seront générées, fournissant des données pour l'expérience Belle </w:t>
      </w:r>
      <w:proofErr w:type="gramStart"/>
      <w:r w:rsidRPr="0085647B">
        <w:rPr>
          <w:rFonts w:ascii="Arial" w:hAnsi="Arial" w:cs="Arial"/>
        </w:rPr>
        <w:t>II .</w:t>
      </w:r>
      <w:proofErr w:type="gramEnd"/>
    </w:p>
    <w:p w14:paraId="0C4AE547" w14:textId="4846A222" w:rsidR="0085647B" w:rsidRPr="0085647B" w:rsidRDefault="0085647B" w:rsidP="0085647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t xml:space="preserve">Photon </w:t>
      </w:r>
      <w:proofErr w:type="spellStart"/>
      <w:r w:rsidRPr="0085647B">
        <w:rPr>
          <w:rFonts w:ascii="Arial" w:hAnsi="Arial" w:cs="Arial"/>
          <w:b/>
          <w:bCs/>
        </w:rPr>
        <w:t>Factory</w:t>
      </w:r>
      <w:proofErr w:type="spellEnd"/>
      <w:r w:rsidRPr="0085647B">
        <w:rPr>
          <w:rFonts w:ascii="Arial" w:hAnsi="Arial" w:cs="Arial"/>
          <w:b/>
          <w:bCs/>
        </w:rPr>
        <w:t xml:space="preserve"> (PF) :</w:t>
      </w:r>
      <w:r w:rsidRPr="0085647B">
        <w:rPr>
          <w:rFonts w:ascii="Arial" w:hAnsi="Arial" w:cs="Arial"/>
        </w:rPr>
        <w:t xml:space="preserve"> un anneau de stockage d'électrons est utilisé pour les expériences de </w:t>
      </w:r>
      <w:hyperlink r:id="rId28" w:tooltip="Rayonnement synchrotron" w:history="1">
        <w:r w:rsidRPr="0085647B">
          <w:rPr>
            <w:rFonts w:ascii="Arial" w:hAnsi="Arial" w:cs="Arial"/>
          </w:rPr>
          <w:t>rayonnement synchrotron</w:t>
        </w:r>
      </w:hyperlink>
      <w:r w:rsidRPr="0085647B">
        <w:rPr>
          <w:rFonts w:ascii="Arial" w:hAnsi="Arial" w:cs="Arial"/>
        </w:rPr>
        <w:t xml:space="preserve">. La longueur circonférentielle est d'environ 187 m. L'énergie du faisceau d'électrons est de 2,5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>.</w:t>
      </w:r>
    </w:p>
    <w:p w14:paraId="35E1D62C" w14:textId="6722B054" w:rsidR="0085647B" w:rsidRPr="0085647B" w:rsidRDefault="0085647B" w:rsidP="0085647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t xml:space="preserve">Photon </w:t>
      </w:r>
      <w:proofErr w:type="spellStart"/>
      <w:r w:rsidRPr="0085647B">
        <w:rPr>
          <w:rFonts w:ascii="Arial" w:hAnsi="Arial" w:cs="Arial"/>
          <w:b/>
          <w:bCs/>
        </w:rPr>
        <w:t>Factory</w:t>
      </w:r>
      <w:proofErr w:type="spellEnd"/>
      <w:r w:rsidRPr="0085647B">
        <w:rPr>
          <w:rFonts w:ascii="Arial" w:hAnsi="Arial" w:cs="Arial"/>
          <w:b/>
          <w:bCs/>
        </w:rPr>
        <w:t xml:space="preserve"> Advanced Ring (PF-AR) :</w:t>
      </w:r>
      <w:r w:rsidRPr="0085647B">
        <w:rPr>
          <w:rFonts w:ascii="Arial" w:hAnsi="Arial" w:cs="Arial"/>
        </w:rPr>
        <w:t xml:space="preserve"> un anneau de stockage d'électrons est utilisé pour les expériences de </w:t>
      </w:r>
      <w:hyperlink r:id="rId29" w:tooltip="Rayonnement synchrotron" w:history="1">
        <w:r w:rsidRPr="0085647B">
          <w:rPr>
            <w:rFonts w:ascii="Arial" w:hAnsi="Arial" w:cs="Arial"/>
          </w:rPr>
          <w:t>rayonnement synchrotron</w:t>
        </w:r>
      </w:hyperlink>
      <w:r w:rsidRPr="0085647B">
        <w:rPr>
          <w:rFonts w:ascii="Arial" w:hAnsi="Arial" w:cs="Arial"/>
        </w:rPr>
        <w:t xml:space="preserve">. Cet </w:t>
      </w:r>
      <w:hyperlink r:id="rId30" w:tooltip="Accélérateur de particules" w:history="1">
        <w:r w:rsidRPr="0085647B">
          <w:rPr>
            <w:rFonts w:ascii="Arial" w:hAnsi="Arial" w:cs="Arial"/>
          </w:rPr>
          <w:t>accélérateur</w:t>
        </w:r>
      </w:hyperlink>
      <w:r w:rsidRPr="0085647B">
        <w:rPr>
          <w:rFonts w:ascii="Arial" w:hAnsi="Arial" w:cs="Arial"/>
        </w:rPr>
        <w:t xml:space="preserve"> génère des rayons X pulsés de haute intensité avec un faisceau d'électrons de 6,5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>. La longueur circonférentielle est d'environ 377 m. Cet anneau était auparavant utilisé comme booster pour TRISTAN, collisionneur électron-positon, et appelé à l'origine TRISTAN Accumulation Ring (AR).</w:t>
      </w:r>
    </w:p>
    <w:p w14:paraId="0471A470" w14:textId="5492BDF6" w:rsidR="0085647B" w:rsidRPr="0085647B" w:rsidRDefault="0085647B" w:rsidP="0085647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drawing>
          <wp:anchor distT="0" distB="0" distL="114300" distR="114300" simplePos="0" relativeHeight="251659264" behindDoc="0" locked="0" layoutInCell="1" allowOverlap="1" wp14:anchorId="7A15688C" wp14:editId="1C7C9838">
            <wp:simplePos x="0" y="0"/>
            <wp:positionH relativeFrom="column">
              <wp:posOffset>4358005</wp:posOffset>
            </wp:positionH>
            <wp:positionV relativeFrom="paragraph">
              <wp:posOffset>9525</wp:posOffset>
            </wp:positionV>
            <wp:extent cx="2062480" cy="1371600"/>
            <wp:effectExtent l="0" t="0" r="0" b="0"/>
            <wp:wrapSquare wrapText="bothSides"/>
            <wp:docPr id="1" name="Image 1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47B">
        <w:rPr>
          <w:rFonts w:ascii="Arial" w:hAnsi="Arial" w:cs="Arial"/>
          <w:b/>
          <w:bCs/>
        </w:rPr>
        <w:t>KEK e + / e- Linac :</w:t>
      </w:r>
      <w:r w:rsidRPr="0085647B">
        <w:rPr>
          <w:rFonts w:ascii="Arial" w:hAnsi="Arial" w:cs="Arial"/>
        </w:rPr>
        <w:t xml:space="preserve"> Un complexe d'</w:t>
      </w:r>
      <w:hyperlink r:id="rId33" w:tooltip="Accélérateur linéaire" w:history="1">
        <w:r w:rsidRPr="0085647B">
          <w:rPr>
            <w:rFonts w:ascii="Arial" w:hAnsi="Arial" w:cs="Arial"/>
          </w:rPr>
          <w:t>accélérateur linéaire</w:t>
        </w:r>
      </w:hyperlink>
      <w:r w:rsidRPr="0085647B">
        <w:rPr>
          <w:rFonts w:ascii="Arial" w:hAnsi="Arial" w:cs="Arial"/>
        </w:rPr>
        <w:t xml:space="preserve"> injectait des électrons de 8,0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et des positrons de 3,5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dans KEKB. Le Linac fournit également des électrons de 2,5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pour PF et de 6,5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pour PF-AR. Le Linac a ces dernières années été mis à niveau pour </w:t>
      </w:r>
      <w:proofErr w:type="spellStart"/>
      <w:r w:rsidRPr="0085647B">
        <w:rPr>
          <w:rFonts w:ascii="Arial" w:hAnsi="Arial" w:cs="Arial"/>
        </w:rPr>
        <w:t>SuperKEKB</w:t>
      </w:r>
      <w:proofErr w:type="spellEnd"/>
      <w:r w:rsidRPr="0085647B">
        <w:rPr>
          <w:rFonts w:ascii="Arial" w:hAnsi="Arial" w:cs="Arial"/>
        </w:rPr>
        <w:t>.</w:t>
      </w:r>
    </w:p>
    <w:p w14:paraId="16BDFC89" w14:textId="77777777" w:rsidR="0085647B" w:rsidRPr="0085647B" w:rsidRDefault="0085647B" w:rsidP="0085647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</w:rPr>
        <w:t xml:space="preserve">Accelerator Test Facility (ATF) : Un accélérateur de test axé sur la génération d'un faisceau à très faible émittance. C'est l'une des techniques essentielles pour réaliser un futur collisionneur linéaire électron-positon. L'énergie du faisceau d'électrons est de 1,28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en fonctionnement normal.</w:t>
      </w:r>
    </w:p>
    <w:p w14:paraId="34B381FB" w14:textId="527AC767" w:rsidR="0085647B" w:rsidRPr="0085647B" w:rsidRDefault="0085647B" w:rsidP="0085647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t>Installation de test RF supraconductrice (STF) :</w:t>
      </w:r>
      <w:r w:rsidRPr="0085647B">
        <w:rPr>
          <w:rFonts w:ascii="Arial" w:hAnsi="Arial" w:cs="Arial"/>
        </w:rPr>
        <w:t xml:space="preserve"> installation de test pour construire et exploiter un Linac d'essai avec des cavités supraconductrices à gradient élevé, en </w:t>
      </w:r>
      <w:r w:rsidRPr="0085647B">
        <w:rPr>
          <w:rFonts w:ascii="Arial" w:hAnsi="Arial" w:cs="Arial"/>
        </w:rPr>
        <w:lastRenderedPageBreak/>
        <w:t xml:space="preserve">tant que prototype des principaux systèmes Linac pour </w:t>
      </w:r>
      <w:hyperlink r:id="rId34" w:tooltip="International Linear Collider" w:history="1">
        <w:r w:rsidRPr="0085647B">
          <w:rPr>
            <w:rFonts w:ascii="Arial" w:hAnsi="Arial" w:cs="Arial"/>
          </w:rPr>
          <w:t xml:space="preserve">International </w:t>
        </w:r>
        <w:proofErr w:type="spellStart"/>
        <w:r w:rsidRPr="0085647B">
          <w:rPr>
            <w:rFonts w:ascii="Arial" w:hAnsi="Arial" w:cs="Arial"/>
          </w:rPr>
          <w:t>Linear</w:t>
        </w:r>
        <w:proofErr w:type="spellEnd"/>
        <w:r w:rsidRPr="0085647B">
          <w:rPr>
            <w:rFonts w:ascii="Arial" w:hAnsi="Arial" w:cs="Arial"/>
          </w:rPr>
          <w:t xml:space="preserve"> </w:t>
        </w:r>
        <w:proofErr w:type="spellStart"/>
        <w:r w:rsidRPr="0085647B">
          <w:rPr>
            <w:rFonts w:ascii="Arial" w:hAnsi="Arial" w:cs="Arial"/>
          </w:rPr>
          <w:t>Collider</w:t>
        </w:r>
        <w:proofErr w:type="spellEnd"/>
      </w:hyperlink>
      <w:r w:rsidRPr="0085647B">
        <w:rPr>
          <w:rFonts w:ascii="Arial" w:hAnsi="Arial" w:cs="Arial"/>
        </w:rPr>
        <w:t xml:space="preserve"> (ILC).</w:t>
      </w:r>
    </w:p>
    <w:p w14:paraId="0843E080" w14:textId="77777777" w:rsidR="0085647B" w:rsidRPr="0085647B" w:rsidRDefault="0085647B" w:rsidP="0085647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t xml:space="preserve">Japan Proton Accelerator </w:t>
      </w:r>
      <w:proofErr w:type="spellStart"/>
      <w:r w:rsidRPr="0085647B">
        <w:rPr>
          <w:rFonts w:ascii="Arial" w:hAnsi="Arial" w:cs="Arial"/>
          <w:b/>
          <w:bCs/>
        </w:rPr>
        <w:t>Research</w:t>
      </w:r>
      <w:proofErr w:type="spellEnd"/>
      <w:r w:rsidRPr="0085647B">
        <w:rPr>
          <w:rFonts w:ascii="Arial" w:hAnsi="Arial" w:cs="Arial"/>
          <w:b/>
          <w:bCs/>
        </w:rPr>
        <w:t xml:space="preserve"> </w:t>
      </w:r>
      <w:proofErr w:type="spellStart"/>
      <w:r w:rsidRPr="0085647B">
        <w:rPr>
          <w:rFonts w:ascii="Arial" w:hAnsi="Arial" w:cs="Arial"/>
          <w:b/>
          <w:bCs/>
        </w:rPr>
        <w:t>Complex</w:t>
      </w:r>
      <w:proofErr w:type="spellEnd"/>
      <w:r w:rsidRPr="0085647B">
        <w:rPr>
          <w:rFonts w:ascii="Arial" w:hAnsi="Arial" w:cs="Arial"/>
          <w:b/>
          <w:bCs/>
        </w:rPr>
        <w:t xml:space="preserve"> (</w:t>
      </w:r>
      <w:hyperlink r:id="rId35" w:tooltip="J-PARC" w:history="1">
        <w:r w:rsidRPr="0085647B">
          <w:rPr>
            <w:rFonts w:ascii="Arial" w:hAnsi="Arial" w:cs="Arial"/>
            <w:b/>
            <w:bCs/>
          </w:rPr>
          <w:t>J-PARC</w:t>
        </w:r>
      </w:hyperlink>
      <w:r w:rsidRPr="0085647B">
        <w:rPr>
          <w:rFonts w:ascii="Arial" w:hAnsi="Arial" w:cs="Arial"/>
          <w:b/>
          <w:bCs/>
        </w:rPr>
        <w:t>) :</w:t>
      </w:r>
      <w:r w:rsidRPr="0085647B">
        <w:rPr>
          <w:rFonts w:ascii="Arial" w:hAnsi="Arial" w:cs="Arial"/>
        </w:rPr>
        <w:t xml:space="preserve"> Un accélérateur de protons complexe constitué essentiellement d'une Linac de 600 MeV, d'un synchrotron de 3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 et d'un synchrotron de 50 </w:t>
      </w:r>
      <w:proofErr w:type="spellStart"/>
      <w:r w:rsidRPr="0085647B">
        <w:rPr>
          <w:rFonts w:ascii="Arial" w:hAnsi="Arial" w:cs="Arial"/>
        </w:rPr>
        <w:t>GeV</w:t>
      </w:r>
      <w:proofErr w:type="spellEnd"/>
      <w:r w:rsidRPr="0085647B">
        <w:rPr>
          <w:rFonts w:ascii="Arial" w:hAnsi="Arial" w:cs="Arial"/>
        </w:rPr>
        <w:t xml:space="preserve">. J-PARC a été construit avec une collaboration entre KEK et </w:t>
      </w:r>
      <w:hyperlink r:id="rId36" w:tooltip="JAEA" w:history="1">
        <w:r w:rsidRPr="0085647B">
          <w:rPr>
            <w:rFonts w:ascii="Arial" w:hAnsi="Arial" w:cs="Arial"/>
          </w:rPr>
          <w:t>JAEA</w:t>
        </w:r>
      </w:hyperlink>
      <w:r w:rsidRPr="0085647B">
        <w:rPr>
          <w:rFonts w:ascii="Arial" w:hAnsi="Arial" w:cs="Arial"/>
        </w:rPr>
        <w:t xml:space="preserve">, et est utilisé pour la </w:t>
      </w:r>
      <w:hyperlink r:id="rId37" w:tooltip="Physique nucléaire" w:history="1">
        <w:r w:rsidRPr="0085647B">
          <w:rPr>
            <w:rFonts w:ascii="Arial" w:hAnsi="Arial" w:cs="Arial"/>
          </w:rPr>
          <w:t>physique nucléaire</w:t>
        </w:r>
      </w:hyperlink>
      <w:r w:rsidRPr="0085647B">
        <w:rPr>
          <w:rFonts w:ascii="Arial" w:hAnsi="Arial" w:cs="Arial"/>
        </w:rPr>
        <w:t xml:space="preserve">, la </w:t>
      </w:r>
      <w:hyperlink r:id="rId38" w:tooltip="Physique des particules" w:history="1">
        <w:r w:rsidRPr="0085647B">
          <w:rPr>
            <w:rFonts w:ascii="Arial" w:hAnsi="Arial" w:cs="Arial"/>
          </w:rPr>
          <w:t>physique des particules</w:t>
        </w:r>
      </w:hyperlink>
      <w:r w:rsidRPr="0085647B">
        <w:rPr>
          <w:rFonts w:ascii="Arial" w:hAnsi="Arial" w:cs="Arial"/>
        </w:rPr>
        <w:t xml:space="preserve">, l'étude des </w:t>
      </w:r>
      <w:hyperlink r:id="rId39" w:tooltip="Muon" w:history="1">
        <w:r w:rsidRPr="0085647B">
          <w:rPr>
            <w:rFonts w:ascii="Arial" w:hAnsi="Arial" w:cs="Arial"/>
          </w:rPr>
          <w:t>muons</w:t>
        </w:r>
      </w:hyperlink>
      <w:r w:rsidRPr="0085647B">
        <w:rPr>
          <w:rFonts w:ascii="Arial" w:hAnsi="Arial" w:cs="Arial"/>
        </w:rPr>
        <w:t xml:space="preserve">, l'étude des </w:t>
      </w:r>
      <w:hyperlink r:id="rId40" w:tooltip="Neutron" w:history="1">
        <w:r w:rsidRPr="0085647B">
          <w:rPr>
            <w:rFonts w:ascii="Arial" w:hAnsi="Arial" w:cs="Arial"/>
          </w:rPr>
          <w:t>neutrons</w:t>
        </w:r>
      </w:hyperlink>
      <w:r w:rsidRPr="0085647B">
        <w:rPr>
          <w:rFonts w:ascii="Arial" w:hAnsi="Arial" w:cs="Arial"/>
        </w:rPr>
        <w:t>, la configuration du système accélérateur-Driven (ADS) et une gamme d'autres applications.</w:t>
      </w:r>
    </w:p>
    <w:p w14:paraId="2F08474C" w14:textId="77777777" w:rsidR="0085647B" w:rsidRPr="0085647B" w:rsidRDefault="0085647B" w:rsidP="0085647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5647B">
        <w:rPr>
          <w:rFonts w:ascii="Arial" w:hAnsi="Arial" w:cs="Arial"/>
          <w:b/>
          <w:bCs/>
        </w:rPr>
        <w:t>Ligne de faisceaux de neutrinos :</w:t>
      </w:r>
      <w:r w:rsidRPr="0085647B">
        <w:rPr>
          <w:rFonts w:ascii="Arial" w:hAnsi="Arial" w:cs="Arial"/>
        </w:rPr>
        <w:t xml:space="preserve"> une ligne de faisceaux pour envoyer des neutrinos dans </w:t>
      </w:r>
      <w:hyperlink r:id="rId41" w:tooltip="Super-Kamiokande" w:history="1">
        <w:r w:rsidRPr="0085647B">
          <w:rPr>
            <w:rFonts w:ascii="Arial" w:hAnsi="Arial" w:cs="Arial"/>
          </w:rPr>
          <w:t>Super-</w:t>
        </w:r>
        <w:proofErr w:type="spellStart"/>
        <w:r w:rsidRPr="0085647B">
          <w:rPr>
            <w:rFonts w:ascii="Arial" w:hAnsi="Arial" w:cs="Arial"/>
          </w:rPr>
          <w:t>Kamiokande</w:t>
        </w:r>
        <w:proofErr w:type="spellEnd"/>
      </w:hyperlink>
      <w:r w:rsidRPr="0085647B">
        <w:rPr>
          <w:rFonts w:ascii="Arial" w:hAnsi="Arial" w:cs="Arial"/>
        </w:rPr>
        <w:t>, qui est à environ 250 km de KEK, et une expérience d'</w:t>
      </w:r>
      <w:hyperlink r:id="rId42" w:tooltip="Oscillation des neutrinos" w:history="1">
        <w:r w:rsidRPr="0085647B">
          <w:rPr>
            <w:rFonts w:ascii="Arial" w:hAnsi="Arial" w:cs="Arial"/>
          </w:rPr>
          <w:t>oscillation des neutrinos</w:t>
        </w:r>
      </w:hyperlink>
      <w:r w:rsidRPr="0085647B">
        <w:rPr>
          <w:rFonts w:ascii="Arial" w:hAnsi="Arial" w:cs="Arial"/>
        </w:rPr>
        <w:t xml:space="preserve"> nommée </w:t>
      </w:r>
      <w:hyperlink r:id="rId43" w:tooltip="K2K" w:history="1">
        <w:r w:rsidRPr="0085647B">
          <w:rPr>
            <w:rFonts w:ascii="Arial" w:hAnsi="Arial" w:cs="Arial"/>
          </w:rPr>
          <w:t>K2K</w:t>
        </w:r>
      </w:hyperlink>
      <w:r w:rsidRPr="0085647B">
        <w:rPr>
          <w:rFonts w:ascii="Arial" w:hAnsi="Arial" w:cs="Arial"/>
        </w:rPr>
        <w:t xml:space="preserve"> a été menée de 1999 à 2004. Une expérience d'oscillation des neutrinos nommée Tokai to </w:t>
      </w:r>
      <w:proofErr w:type="spellStart"/>
      <w:r w:rsidRPr="0085647B">
        <w:rPr>
          <w:rFonts w:ascii="Arial" w:hAnsi="Arial" w:cs="Arial"/>
        </w:rPr>
        <w:t>Kamioka</w:t>
      </w:r>
      <w:proofErr w:type="spellEnd"/>
      <w:r w:rsidRPr="0085647B">
        <w:rPr>
          <w:rFonts w:ascii="Arial" w:hAnsi="Arial" w:cs="Arial"/>
        </w:rPr>
        <w:t xml:space="preserve"> (</w:t>
      </w:r>
      <w:hyperlink r:id="rId44" w:tooltip="T2K" w:history="1">
        <w:r w:rsidRPr="0085647B">
          <w:rPr>
            <w:rFonts w:ascii="Arial" w:hAnsi="Arial" w:cs="Arial"/>
          </w:rPr>
          <w:t>T2K</w:t>
        </w:r>
      </w:hyperlink>
      <w:r w:rsidRPr="0085647B">
        <w:rPr>
          <w:rFonts w:ascii="Arial" w:hAnsi="Arial" w:cs="Arial"/>
        </w:rPr>
        <w:t>) est réalisée avec J-PARC depuis 2009.</w:t>
      </w:r>
    </w:p>
    <w:p w14:paraId="1F37010D" w14:textId="77777777" w:rsidR="0085647B" w:rsidRPr="0085647B" w:rsidRDefault="0085647B" w:rsidP="0085647B">
      <w:pPr>
        <w:jc w:val="both"/>
      </w:pPr>
    </w:p>
    <w:sectPr w:rsidR="0085647B" w:rsidRPr="0085647B">
      <w:headerReference w:type="default" r:id="rId45"/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1A88F" w14:textId="77777777" w:rsidR="00D32309" w:rsidRDefault="00D32309" w:rsidP="00B33482">
      <w:pPr>
        <w:spacing w:after="0" w:line="240" w:lineRule="auto"/>
      </w:pPr>
      <w:r>
        <w:separator/>
      </w:r>
    </w:p>
  </w:endnote>
  <w:endnote w:type="continuationSeparator" w:id="0">
    <w:p w14:paraId="45BF3F31" w14:textId="77777777" w:rsidR="00D32309" w:rsidRDefault="00D32309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90D44" w14:textId="77777777" w:rsidR="00D32309" w:rsidRDefault="00D32309" w:rsidP="00B33482">
      <w:pPr>
        <w:spacing w:after="0" w:line="240" w:lineRule="auto"/>
      </w:pPr>
      <w:r>
        <w:separator/>
      </w:r>
    </w:p>
  </w:footnote>
  <w:footnote w:type="continuationSeparator" w:id="0">
    <w:p w14:paraId="16DE7B1A" w14:textId="77777777" w:rsidR="00D32309" w:rsidRDefault="00D32309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1ED2170A" w:rsidR="00B33482" w:rsidRPr="00F67AFF" w:rsidRDefault="0085647B" w:rsidP="00F67AFF">
    <w:pPr>
      <w:pStyle w:val="En-tte"/>
    </w:pPr>
    <w:r>
      <w:t>PHYSIQUE - KEK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C0E23"/>
    <w:multiLevelType w:val="multilevel"/>
    <w:tmpl w:val="172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737AE"/>
    <w:multiLevelType w:val="multilevel"/>
    <w:tmpl w:val="AA9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6088">
    <w:abstractNumId w:val="3"/>
  </w:num>
  <w:num w:numId="2" w16cid:durableId="581375566">
    <w:abstractNumId w:val="1"/>
  </w:num>
  <w:num w:numId="3" w16cid:durableId="534390202">
    <w:abstractNumId w:val="2"/>
  </w:num>
  <w:num w:numId="4" w16cid:durableId="32729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275575"/>
    <w:rsid w:val="002D54BA"/>
    <w:rsid w:val="003618C1"/>
    <w:rsid w:val="003A01AC"/>
    <w:rsid w:val="003D5A98"/>
    <w:rsid w:val="005C020A"/>
    <w:rsid w:val="00757B00"/>
    <w:rsid w:val="007B298A"/>
    <w:rsid w:val="007E575E"/>
    <w:rsid w:val="00832021"/>
    <w:rsid w:val="0085647B"/>
    <w:rsid w:val="008E7FE0"/>
    <w:rsid w:val="00B33482"/>
    <w:rsid w:val="00B84C30"/>
    <w:rsid w:val="00B94464"/>
    <w:rsid w:val="00BF3640"/>
    <w:rsid w:val="00D32309"/>
    <w:rsid w:val="00E016DE"/>
    <w:rsid w:val="00E033D8"/>
    <w:rsid w:val="00E71370"/>
    <w:rsid w:val="00F33AE1"/>
    <w:rsid w:val="00F67AFF"/>
    <w:rsid w:val="00F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semiHidden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lang-ja">
    <w:name w:val="lang-ja"/>
    <w:basedOn w:val="Policepardfaut"/>
    <w:rsid w:val="0085647B"/>
  </w:style>
  <w:style w:type="character" w:customStyle="1" w:styleId="lang-ja-latn-alalc97">
    <w:name w:val="lang-ja-latn-alalc97"/>
    <w:basedOn w:val="Policepardfaut"/>
    <w:rsid w:val="0085647B"/>
  </w:style>
  <w:style w:type="character" w:customStyle="1" w:styleId="tnihongoicon">
    <w:name w:val="t_nihongo_icon"/>
    <w:basedOn w:val="Policepardfaut"/>
    <w:rsid w:val="00856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Science_des_mat%C3%A9riaux" TargetMode="External"/><Relationship Id="rId18" Type="http://schemas.openxmlformats.org/officeDocument/2006/relationships/hyperlink" Target="https://fr.wikipedia.org/wiki/Makoto_Kobayashi_(physicien)" TargetMode="External"/><Relationship Id="rId26" Type="http://schemas.openxmlformats.org/officeDocument/2006/relationships/hyperlink" Target="https://fr.wikipedia.org/wiki/Anneau_de_stockage" TargetMode="External"/><Relationship Id="rId39" Type="http://schemas.openxmlformats.org/officeDocument/2006/relationships/hyperlink" Target="https://fr.wikipedia.org/wiki/Muon" TargetMode="External"/><Relationship Id="rId21" Type="http://schemas.openxmlformats.org/officeDocument/2006/relationships/hyperlink" Target="https://commons.wikimedia.org/wiki/File:KEKB_Belle_Detector.jpg?uselang=fr" TargetMode="External"/><Relationship Id="rId34" Type="http://schemas.openxmlformats.org/officeDocument/2006/relationships/hyperlink" Target="https://fr.wikipedia.org/wiki/International_Linear_Collider" TargetMode="External"/><Relationship Id="rId42" Type="http://schemas.openxmlformats.org/officeDocument/2006/relationships/hyperlink" Target="https://fr.wikipedia.org/wiki/Oscillation_des_neutrino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fr.wikipedia.org/wiki/Aide:Japona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Informatique" TargetMode="External"/><Relationship Id="rId29" Type="http://schemas.openxmlformats.org/officeDocument/2006/relationships/hyperlink" Target="https://fr.wikipedia.org/wiki/Rayonnement_synchrotr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Acc%C3%A9l%C3%A9rateur_de_particules" TargetMode="External"/><Relationship Id="rId24" Type="http://schemas.openxmlformats.org/officeDocument/2006/relationships/hyperlink" Target="https://fr.wikipedia.org/wiki/%C3%89lectron" TargetMode="External"/><Relationship Id="rId32" Type="http://schemas.openxmlformats.org/officeDocument/2006/relationships/image" Target="media/image2.jpeg"/><Relationship Id="rId37" Type="http://schemas.openxmlformats.org/officeDocument/2006/relationships/hyperlink" Target="https://fr.wikipedia.org/wiki/Physique_nucl%C3%A9aire" TargetMode="External"/><Relationship Id="rId40" Type="http://schemas.openxmlformats.org/officeDocument/2006/relationships/hyperlink" Target="https://fr.wikipedia.org/wiki/Neutron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Rayonnement" TargetMode="External"/><Relationship Id="rId23" Type="http://schemas.openxmlformats.org/officeDocument/2006/relationships/hyperlink" Target="https://fr.wikipedia.org/wiki/Collisionneur" TargetMode="External"/><Relationship Id="rId28" Type="http://schemas.openxmlformats.org/officeDocument/2006/relationships/hyperlink" Target="https://fr.wikipedia.org/wiki/Rayonnement_synchrotron" TargetMode="External"/><Relationship Id="rId36" Type="http://schemas.openxmlformats.org/officeDocument/2006/relationships/hyperlink" Target="https://fr.wikipedia.org/wiki/JAEA" TargetMode="External"/><Relationship Id="rId10" Type="http://schemas.openxmlformats.org/officeDocument/2006/relationships/hyperlink" Target="https://fr.wikipedia.org/wiki/Pr%C3%A9fecture_d%27Ibaraki" TargetMode="External"/><Relationship Id="rId19" Type="http://schemas.openxmlformats.org/officeDocument/2006/relationships/hyperlink" Target="https://fr.wikipedia.org/wiki/Violation_de_CP" TargetMode="External"/><Relationship Id="rId31" Type="http://schemas.openxmlformats.org/officeDocument/2006/relationships/hyperlink" Target="https://commons.wikimedia.org/wiki/File:Linac_straight_for_600m.jpg?uselang=fr" TargetMode="External"/><Relationship Id="rId44" Type="http://schemas.openxmlformats.org/officeDocument/2006/relationships/hyperlink" Target="https://fr.wikipedia.org/wiki/T2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Tsukuba" TargetMode="External"/><Relationship Id="rId14" Type="http://schemas.openxmlformats.org/officeDocument/2006/relationships/hyperlink" Target="https://fr.wikipedia.org/wiki/Biologie_structurale" TargetMode="External"/><Relationship Id="rId22" Type="http://schemas.openxmlformats.org/officeDocument/2006/relationships/image" Target="media/image1.jpeg"/><Relationship Id="rId27" Type="http://schemas.openxmlformats.org/officeDocument/2006/relationships/hyperlink" Target="https://fr.wikipedia.org/wiki/M%C3%A9son_B" TargetMode="External"/><Relationship Id="rId30" Type="http://schemas.openxmlformats.org/officeDocument/2006/relationships/hyperlink" Target="https://fr.wikipedia.org/wiki/Acc%C3%A9l%C3%A9rateur_de_particules" TargetMode="External"/><Relationship Id="rId35" Type="http://schemas.openxmlformats.org/officeDocument/2006/relationships/hyperlink" Target="https://fr.wikipedia.org/wiki/J-PARC" TargetMode="External"/><Relationship Id="rId43" Type="http://schemas.openxmlformats.org/officeDocument/2006/relationships/hyperlink" Target="https://fr.wikipedia.org/wiki/K2K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fr.wikipedia.org/wiki/Physique_des_particul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r.wikipedia.org/wiki/Physique_des_hautes_%C3%A9nergies" TargetMode="External"/><Relationship Id="rId17" Type="http://schemas.openxmlformats.org/officeDocument/2006/relationships/hyperlink" Target="https://fr.wikipedia.org/wiki/Transmutation_nucl%C3%A9aire" TargetMode="External"/><Relationship Id="rId25" Type="http://schemas.openxmlformats.org/officeDocument/2006/relationships/hyperlink" Target="https://fr.wikipedia.org/wiki/Positon" TargetMode="External"/><Relationship Id="rId33" Type="http://schemas.openxmlformats.org/officeDocument/2006/relationships/hyperlink" Target="https://fr.wikipedia.org/wiki/Acc%C3%A9l%C3%A9rateur_lin%C3%A9aire" TargetMode="External"/><Relationship Id="rId38" Type="http://schemas.openxmlformats.org/officeDocument/2006/relationships/hyperlink" Target="https://fr.wikipedia.org/wiki/Physique_des_particules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fr.wikipedia.org/wiki/Prix_Nobel_de_physique" TargetMode="External"/><Relationship Id="rId41" Type="http://schemas.openxmlformats.org/officeDocument/2006/relationships/hyperlink" Target="https://fr.wikipedia.org/wiki/Super-Kamiokan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1030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20</cp:revision>
  <dcterms:created xsi:type="dcterms:W3CDTF">2022-11-21T18:39:00Z</dcterms:created>
  <dcterms:modified xsi:type="dcterms:W3CDTF">2022-11-27T20:10:00Z</dcterms:modified>
</cp:coreProperties>
</file>