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D364" w14:textId="67063F56" w:rsidR="0040036F" w:rsidRDefault="00BD3587">
      <w:pPr>
        <w:pStyle w:val="En-ttedetabledesmatires"/>
        <w:rPr>
          <w:bCs/>
          <w:color w:val="auto"/>
          <w:spacing w:val="-10"/>
          <w:kern w:val="28"/>
          <w:sz w:val="56"/>
          <w:szCs w:val="56"/>
          <w:lang w:eastAsia="en-US"/>
        </w:rPr>
      </w:pPr>
      <w:r w:rsidRPr="00BD3587">
        <w:rPr>
          <w:bCs/>
          <w:color w:val="auto"/>
          <w:spacing w:val="-10"/>
          <w:kern w:val="28"/>
          <w:sz w:val="56"/>
          <w:szCs w:val="56"/>
          <w:lang w:eastAsia="en-US"/>
        </w:rPr>
        <w:t>Paradoxe de Klein</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41355EB3" w:rsidR="002E3539" w:rsidRDefault="002E3539">
          <w:pPr>
            <w:pStyle w:val="En-ttedetabledesmatires"/>
          </w:pPr>
          <w:r>
            <w:t>Table des matières</w:t>
          </w:r>
        </w:p>
        <w:p w14:paraId="099C10EA" w14:textId="54142308" w:rsidR="00BD3587"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0164966" w:history="1">
            <w:r w:rsidR="00BD3587" w:rsidRPr="007A52B8">
              <w:rPr>
                <w:rStyle w:val="Lienhypertexte"/>
                <w:bCs/>
                <w:noProof/>
                <w:lang w:val="en-US"/>
              </w:rPr>
              <w:t>Introduction</w:t>
            </w:r>
            <w:r w:rsidR="00BD3587">
              <w:rPr>
                <w:noProof/>
                <w:webHidden/>
              </w:rPr>
              <w:tab/>
            </w:r>
            <w:r w:rsidR="00BD3587">
              <w:rPr>
                <w:noProof/>
                <w:webHidden/>
              </w:rPr>
              <w:fldChar w:fldCharType="begin"/>
            </w:r>
            <w:r w:rsidR="00BD3587">
              <w:rPr>
                <w:noProof/>
                <w:webHidden/>
              </w:rPr>
              <w:instrText xml:space="preserve"> PAGEREF _Toc220164966 \h </w:instrText>
            </w:r>
            <w:r w:rsidR="00BD3587">
              <w:rPr>
                <w:noProof/>
                <w:webHidden/>
              </w:rPr>
            </w:r>
            <w:r w:rsidR="00BD3587">
              <w:rPr>
                <w:noProof/>
                <w:webHidden/>
              </w:rPr>
              <w:fldChar w:fldCharType="separate"/>
            </w:r>
            <w:r w:rsidR="00BD3587">
              <w:rPr>
                <w:noProof/>
                <w:webHidden/>
              </w:rPr>
              <w:t>2</w:t>
            </w:r>
            <w:r w:rsidR="00BD3587">
              <w:rPr>
                <w:noProof/>
                <w:webHidden/>
              </w:rPr>
              <w:fldChar w:fldCharType="end"/>
            </w:r>
          </w:hyperlink>
        </w:p>
        <w:p w14:paraId="4341A3D8" w14:textId="028A3562" w:rsidR="00BD3587" w:rsidRDefault="00BD3587">
          <w:pPr>
            <w:pStyle w:val="TM1"/>
            <w:tabs>
              <w:tab w:val="right" w:leader="dot" w:pos="9062"/>
            </w:tabs>
            <w:rPr>
              <w:rFonts w:eastAsiaTheme="minorEastAsia"/>
              <w:noProof/>
              <w:kern w:val="2"/>
              <w:sz w:val="24"/>
              <w:szCs w:val="24"/>
              <w:lang w:eastAsia="fr-FR"/>
              <w14:ligatures w14:val="standardContextual"/>
            </w:rPr>
          </w:pPr>
          <w:hyperlink w:anchor="_Toc220164967" w:history="1">
            <w:r w:rsidRPr="007A52B8">
              <w:rPr>
                <w:rStyle w:val="Lienhypertexte"/>
                <w:noProof/>
              </w:rPr>
              <w:t>Physics overview</w:t>
            </w:r>
            <w:r>
              <w:rPr>
                <w:noProof/>
                <w:webHidden/>
              </w:rPr>
              <w:tab/>
            </w:r>
            <w:r>
              <w:rPr>
                <w:noProof/>
                <w:webHidden/>
              </w:rPr>
              <w:fldChar w:fldCharType="begin"/>
            </w:r>
            <w:r>
              <w:rPr>
                <w:noProof/>
                <w:webHidden/>
              </w:rPr>
              <w:instrText xml:space="preserve"> PAGEREF _Toc220164967 \h </w:instrText>
            </w:r>
            <w:r>
              <w:rPr>
                <w:noProof/>
                <w:webHidden/>
              </w:rPr>
            </w:r>
            <w:r>
              <w:rPr>
                <w:noProof/>
                <w:webHidden/>
              </w:rPr>
              <w:fldChar w:fldCharType="separate"/>
            </w:r>
            <w:r>
              <w:rPr>
                <w:noProof/>
                <w:webHidden/>
              </w:rPr>
              <w:t>2</w:t>
            </w:r>
            <w:r>
              <w:rPr>
                <w:noProof/>
                <w:webHidden/>
              </w:rPr>
              <w:fldChar w:fldCharType="end"/>
            </w:r>
          </w:hyperlink>
        </w:p>
        <w:p w14:paraId="48377035" w14:textId="17A70173" w:rsidR="00BD3587" w:rsidRDefault="00BD3587">
          <w:pPr>
            <w:pStyle w:val="TM1"/>
            <w:tabs>
              <w:tab w:val="right" w:leader="dot" w:pos="9062"/>
            </w:tabs>
            <w:rPr>
              <w:rFonts w:eastAsiaTheme="minorEastAsia"/>
              <w:noProof/>
              <w:kern w:val="2"/>
              <w:sz w:val="24"/>
              <w:szCs w:val="24"/>
              <w:lang w:eastAsia="fr-FR"/>
              <w14:ligatures w14:val="standardContextual"/>
            </w:rPr>
          </w:pPr>
          <w:hyperlink w:anchor="_Toc220164968" w:history="1">
            <w:r w:rsidRPr="007A52B8">
              <w:rPr>
                <w:rStyle w:val="Lienhypertexte"/>
                <w:noProof/>
              </w:rPr>
              <w:t>Dirac equation mysteries</w:t>
            </w:r>
            <w:r>
              <w:rPr>
                <w:noProof/>
                <w:webHidden/>
              </w:rPr>
              <w:tab/>
            </w:r>
            <w:r>
              <w:rPr>
                <w:noProof/>
                <w:webHidden/>
              </w:rPr>
              <w:fldChar w:fldCharType="begin"/>
            </w:r>
            <w:r>
              <w:rPr>
                <w:noProof/>
                <w:webHidden/>
              </w:rPr>
              <w:instrText xml:space="preserve"> PAGEREF _Toc220164968 \h </w:instrText>
            </w:r>
            <w:r>
              <w:rPr>
                <w:noProof/>
                <w:webHidden/>
              </w:rPr>
            </w:r>
            <w:r>
              <w:rPr>
                <w:noProof/>
                <w:webHidden/>
              </w:rPr>
              <w:fldChar w:fldCharType="separate"/>
            </w:r>
            <w:r>
              <w:rPr>
                <w:noProof/>
                <w:webHidden/>
              </w:rPr>
              <w:t>2</w:t>
            </w:r>
            <w:r>
              <w:rPr>
                <w:noProof/>
                <w:webHidden/>
              </w:rPr>
              <w:fldChar w:fldCharType="end"/>
            </w:r>
          </w:hyperlink>
        </w:p>
        <w:p w14:paraId="11D879D3" w14:textId="0740A1CB" w:rsidR="00BD3587" w:rsidRDefault="00BD3587">
          <w:pPr>
            <w:pStyle w:val="TM1"/>
            <w:tabs>
              <w:tab w:val="right" w:leader="dot" w:pos="9062"/>
            </w:tabs>
            <w:rPr>
              <w:rFonts w:eastAsiaTheme="minorEastAsia"/>
              <w:noProof/>
              <w:kern w:val="2"/>
              <w:sz w:val="24"/>
              <w:szCs w:val="24"/>
              <w:lang w:eastAsia="fr-FR"/>
              <w14:ligatures w14:val="standardContextual"/>
            </w:rPr>
          </w:pPr>
          <w:hyperlink w:anchor="_Toc220164969" w:history="1">
            <w:r w:rsidRPr="007A52B8">
              <w:rPr>
                <w:rStyle w:val="Lienhypertexte"/>
                <w:noProof/>
              </w:rPr>
              <w:t>Positron-electron creation</w:t>
            </w:r>
            <w:r>
              <w:rPr>
                <w:noProof/>
                <w:webHidden/>
              </w:rPr>
              <w:tab/>
            </w:r>
            <w:r>
              <w:rPr>
                <w:noProof/>
                <w:webHidden/>
              </w:rPr>
              <w:fldChar w:fldCharType="begin"/>
            </w:r>
            <w:r>
              <w:rPr>
                <w:noProof/>
                <w:webHidden/>
              </w:rPr>
              <w:instrText xml:space="preserve"> PAGEREF _Toc220164969 \h </w:instrText>
            </w:r>
            <w:r>
              <w:rPr>
                <w:noProof/>
                <w:webHidden/>
              </w:rPr>
            </w:r>
            <w:r>
              <w:rPr>
                <w:noProof/>
                <w:webHidden/>
              </w:rPr>
              <w:fldChar w:fldCharType="separate"/>
            </w:r>
            <w:r>
              <w:rPr>
                <w:noProof/>
                <w:webHidden/>
              </w:rPr>
              <w:t>3</w:t>
            </w:r>
            <w:r>
              <w:rPr>
                <w:noProof/>
                <w:webHidden/>
              </w:rPr>
              <w:fldChar w:fldCharType="end"/>
            </w:r>
          </w:hyperlink>
        </w:p>
        <w:p w14:paraId="38C63B97" w14:textId="66515B42" w:rsidR="00BD3587" w:rsidRDefault="00BD3587">
          <w:pPr>
            <w:pStyle w:val="TM1"/>
            <w:tabs>
              <w:tab w:val="right" w:leader="dot" w:pos="9062"/>
            </w:tabs>
            <w:rPr>
              <w:rFonts w:eastAsiaTheme="minorEastAsia"/>
              <w:noProof/>
              <w:kern w:val="2"/>
              <w:sz w:val="24"/>
              <w:szCs w:val="24"/>
              <w:lang w:eastAsia="fr-FR"/>
              <w14:ligatures w14:val="standardContextual"/>
            </w:rPr>
          </w:pPr>
          <w:hyperlink w:anchor="_Toc220164970" w:history="1">
            <w:r w:rsidRPr="007A52B8">
              <w:rPr>
                <w:rStyle w:val="Lienhypertexte"/>
                <w:noProof/>
              </w:rPr>
              <w:t>Massless particles</w:t>
            </w:r>
            <w:r>
              <w:rPr>
                <w:noProof/>
                <w:webHidden/>
              </w:rPr>
              <w:tab/>
            </w:r>
            <w:r>
              <w:rPr>
                <w:noProof/>
                <w:webHidden/>
              </w:rPr>
              <w:fldChar w:fldCharType="begin"/>
            </w:r>
            <w:r>
              <w:rPr>
                <w:noProof/>
                <w:webHidden/>
              </w:rPr>
              <w:instrText xml:space="preserve"> PAGEREF _Toc220164970 \h </w:instrText>
            </w:r>
            <w:r>
              <w:rPr>
                <w:noProof/>
                <w:webHidden/>
              </w:rPr>
            </w:r>
            <w:r>
              <w:rPr>
                <w:noProof/>
                <w:webHidden/>
              </w:rPr>
              <w:fldChar w:fldCharType="separate"/>
            </w:r>
            <w:r>
              <w:rPr>
                <w:noProof/>
                <w:webHidden/>
              </w:rPr>
              <w:t>4</w:t>
            </w:r>
            <w:r>
              <w:rPr>
                <w:noProof/>
                <w:webHidden/>
              </w:rPr>
              <w:fldChar w:fldCharType="end"/>
            </w:r>
          </w:hyperlink>
        </w:p>
        <w:p w14:paraId="73735383" w14:textId="27E8E294"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58CAA469" w14:textId="77777777" w:rsidR="00E51EDC" w:rsidRPr="00BD3587" w:rsidRDefault="00CF48DF" w:rsidP="00E51EDC">
      <w:pPr>
        <w:pStyle w:val="Titre1"/>
        <w:rPr>
          <w:bCs/>
          <w:lang w:val="en-US"/>
        </w:rPr>
      </w:pPr>
      <w:bookmarkStart w:id="0" w:name="_Toc220164966"/>
      <w:r w:rsidRPr="00BD3587">
        <w:rPr>
          <w:bCs/>
          <w:lang w:val="en-US"/>
        </w:rPr>
        <w:lastRenderedPageBreak/>
        <w:t>Introduction</w:t>
      </w:r>
      <w:bookmarkEnd w:id="0"/>
    </w:p>
    <w:p w14:paraId="07D757CF" w14:textId="77777777" w:rsidR="00BD3587" w:rsidRPr="00BD3587" w:rsidRDefault="00BD3587" w:rsidP="00BD3587">
      <w:r w:rsidRPr="00BD3587">
        <w:t xml:space="preserve">En mécanique quantique relativiste, le paradoxe de Klein (également connu sous le nom d'effet tunnel de Klein) est un phénomène quantique lié aux particules rencontrant des barrières de potentiel à haute énergie. Il tire son nom du physicien Oskar Klein qui l'a découvert en 1929. À l'origine, Klein a obtenu un résultat paradoxal en appliquant l'équation de Dirac au problème familier de la diffusion des électrons à partir d'une barrière de potentiel. En mécanique quantique non relativiste, on observe un effet tunnel des électrons dans une barrière, avec un amortissement exponentiel. Cependant, les résultats de Klein ont montré que si le potentiel est au moins de l'ordre de la masse de l'électron Ve≈mc^2 (où V est le potentiel électrique, e est la charge élémentaire, m est la masse de l'électron et </w:t>
      </w:r>
      <w:proofErr w:type="spellStart"/>
      <w:r w:rsidRPr="00BD3587">
        <w:t>c est</w:t>
      </w:r>
      <w:proofErr w:type="spellEnd"/>
      <w:r w:rsidRPr="00BD3587">
        <w:t xml:space="preserve"> la vitesse de la lumière), la barrière est presque transparente. De plus, lorsque le potentiel tend vers l'infini, la réflexion diminue et l'électron est toujours transmis.</w:t>
      </w:r>
    </w:p>
    <w:p w14:paraId="6B50534D" w14:textId="77777777" w:rsidR="00BD3587" w:rsidRPr="00BD3587" w:rsidRDefault="00BD3587" w:rsidP="00BD3587">
      <w:r w:rsidRPr="00BD3587">
        <w:t xml:space="preserve">L'application immédiate de ce paradoxe a été le modèle proton-électron de Rutherford pour les particules neutres à l'intérieur du noyau, avant la découverte du neutron. Le paradoxe présentait une objection quantique à la notion d'un électron confiné à l'intérieur d'un noyau. Ce paradoxe clair et précis suggérait qu'un électron ne pouvait être confiné à l'intérieur d'un noyau par aucun puits de potentiel. La signification de ce paradoxe a fait l'objet d'un débat intense entre Niels Bohr et d'autres à l'époque. </w:t>
      </w:r>
    </w:p>
    <w:p w14:paraId="0A5909D4" w14:textId="77777777" w:rsidR="00BD3587" w:rsidRPr="00BD3587" w:rsidRDefault="00BD3587" w:rsidP="00BD3587"/>
    <w:p w14:paraId="178F7064" w14:textId="77777777" w:rsidR="00BD3587" w:rsidRPr="00BD3587" w:rsidRDefault="00BD3587" w:rsidP="00BD3587">
      <w:pPr>
        <w:pStyle w:val="Titre1"/>
      </w:pPr>
      <w:bookmarkStart w:id="1" w:name="_Toc220164967"/>
      <w:proofErr w:type="spellStart"/>
      <w:r w:rsidRPr="00BD3587">
        <w:t>Physics</w:t>
      </w:r>
      <w:proofErr w:type="spellEnd"/>
      <w:r w:rsidRPr="00BD3587">
        <w:t xml:space="preserve"> </w:t>
      </w:r>
      <w:proofErr w:type="spellStart"/>
      <w:r w:rsidRPr="00BD3587">
        <w:t>overview</w:t>
      </w:r>
      <w:bookmarkEnd w:id="1"/>
      <w:proofErr w:type="spellEnd"/>
    </w:p>
    <w:p w14:paraId="68DB466B" w14:textId="77777777" w:rsidR="00BD3587" w:rsidRPr="00BD3587" w:rsidRDefault="00BD3587" w:rsidP="00BD3587">
      <w:r w:rsidRPr="00BD3587">
        <w:t xml:space="preserve">Le paradoxe de Klein est une conséquence inattendue de la relativité sur l'interaction des particules quantiques avec les potentiels électrostatiques. Le problème quantique des particules libres heurtant un potentiel électrostatique à gradins </w:t>
      </w:r>
      <w:proofErr w:type="gramStart"/>
      <w:r w:rsidRPr="00BD3587">
        <w:t>a</w:t>
      </w:r>
      <w:proofErr w:type="gramEnd"/>
      <w:r w:rsidRPr="00BD3587">
        <w:t xml:space="preserve"> deux solutions lorsque la relativité est ignorée. Une solution s'applique lorsque les particules approchant la barrière ont moins d'énergie cinétique que le gradin : les particules sont réfléchies. Si les particules ont plus d'énergie que le gradin, certaines sont transmises au-delà du gradin, tandis que d'autres sont réfléchies. Le rapport entre la réflexion et la transmission dépend de la différence d'énergie. La relativité ajoute une troisième solution : des potentiels très raides semblent créer des particules et des antiparticules qui modifient alors le rapport calculé entre la transmission et la réflexion. Les outils théoriques appelés mécanique quantique ne peuvent pas traiter la création de particules, ce qui rend toute analyse du cas relativiste suspecte. Avant la découverte des antiparticules et le développement de la théorie quantique des champs, cette troisième solution n'était pas comprise. Ce casse-tête a été baptisé « paradoxe de Klein ». </w:t>
      </w:r>
    </w:p>
    <w:p w14:paraId="635CEA7A" w14:textId="1E20FBFB" w:rsidR="00BD3587" w:rsidRPr="00BD3587" w:rsidRDefault="00BD3587" w:rsidP="00BD3587">
      <w:r w:rsidRPr="00BD3587">
        <w:t xml:space="preserve">Pour les particules massives, l'intensité du champ électrique nécessaire pour observer l'effet est énorme. Le changement d'énergie potentielle électrique similaire à l'énergie de repos de la particule entrante, mc^2, devrait se produire sur la longueur d'onde de Compton de la particule, </w:t>
      </w:r>
      <w:proofErr w:type="spellStart"/>
      <w:r w:rsidRPr="00BD3587">
        <w:rPr>
          <w:rFonts w:ascii="Cambria Math" w:hAnsi="Cambria Math" w:cs="Cambria Math"/>
        </w:rPr>
        <w:t>ℏ</w:t>
      </w:r>
      <w:r w:rsidRPr="00BD3587">
        <w:t>m</w:t>
      </w:r>
      <w:proofErr w:type="spellEnd"/>
      <w:r w:rsidRPr="00BD3587">
        <w:t xml:space="preserve">/c, ce qui correspond </w:t>
      </w:r>
      <w:r w:rsidRPr="00BD3587">
        <w:rPr>
          <w:rFonts w:ascii="Calibri" w:hAnsi="Calibri" w:cs="Calibri"/>
        </w:rPr>
        <w:t>à</w:t>
      </w:r>
      <w:r w:rsidRPr="00BD3587">
        <w:t xml:space="preserve"> 1016 V/cm pour les </w:t>
      </w:r>
      <w:r w:rsidRPr="00BD3587">
        <w:rPr>
          <w:rFonts w:ascii="Calibri" w:hAnsi="Calibri" w:cs="Calibri"/>
        </w:rPr>
        <w:t>é</w:t>
      </w:r>
      <w:r w:rsidRPr="00BD3587">
        <w:t xml:space="preserve">lectrons. Pour les </w:t>
      </w:r>
      <w:r w:rsidRPr="00BD3587">
        <w:rPr>
          <w:rFonts w:ascii="Calibri" w:hAnsi="Calibri" w:cs="Calibri"/>
        </w:rPr>
        <w:t>é</w:t>
      </w:r>
      <w:r w:rsidRPr="00BD3587">
        <w:t>lectrons, de tels champs extr</w:t>
      </w:r>
      <w:r w:rsidRPr="00BD3587">
        <w:rPr>
          <w:rFonts w:ascii="Calibri" w:hAnsi="Calibri" w:cs="Calibri"/>
        </w:rPr>
        <w:t>ê</w:t>
      </w:r>
      <w:r w:rsidRPr="00BD3587">
        <w:t xml:space="preserve">mes ne pourraient </w:t>
      </w:r>
      <w:r w:rsidRPr="00BD3587">
        <w:rPr>
          <w:rFonts w:ascii="Calibri" w:hAnsi="Calibri" w:cs="Calibri"/>
        </w:rPr>
        <w:t>ê</w:t>
      </w:r>
      <w:r w:rsidRPr="00BD3587">
        <w:t>tre pertinents que dans des noyaux Z&gt;170 ou lors de l'</w:t>
      </w:r>
      <w:r w:rsidRPr="00BD3587">
        <w:rPr>
          <w:rFonts w:ascii="Calibri" w:hAnsi="Calibri" w:cs="Calibri"/>
        </w:rPr>
        <w:t>é</w:t>
      </w:r>
      <w:r w:rsidRPr="00BD3587">
        <w:t xml:space="preserve">vaporation </w:t>
      </w:r>
      <w:r w:rsidRPr="00BD3587">
        <w:rPr>
          <w:rFonts w:ascii="Calibri" w:hAnsi="Calibri" w:cs="Calibri"/>
        </w:rPr>
        <w:t>à</w:t>
      </w:r>
      <w:r w:rsidRPr="00BD3587">
        <w:t xml:space="preserve"> l'horizon des </w:t>
      </w:r>
      <w:r w:rsidRPr="00BD3587">
        <w:rPr>
          <w:rFonts w:ascii="Calibri" w:hAnsi="Calibri" w:cs="Calibri"/>
        </w:rPr>
        <w:t>é</w:t>
      </w:r>
      <w:r w:rsidRPr="00BD3587">
        <w:t>v</w:t>
      </w:r>
      <w:r w:rsidRPr="00BD3587">
        <w:rPr>
          <w:rFonts w:ascii="Calibri" w:hAnsi="Calibri" w:cs="Calibri"/>
        </w:rPr>
        <w:t>é</w:t>
      </w:r>
      <w:r w:rsidRPr="00BD3587">
        <w:t xml:space="preserve">nements des trous noirs, mais pour les quasi-particules 2D aux jonctions p-n du graphène, l'effet peut être étudié expérimentalement. </w:t>
      </w:r>
    </w:p>
    <w:p w14:paraId="0C3E2F84" w14:textId="46276EEE" w:rsidR="00BD3587" w:rsidRPr="00BD3587" w:rsidRDefault="00BD3587" w:rsidP="00BD3587">
      <w:pPr>
        <w:pStyle w:val="Titre1"/>
        <w:rPr>
          <w:i/>
          <w:iCs/>
        </w:rPr>
      </w:pPr>
      <w:bookmarkStart w:id="2" w:name="_Toc220164968"/>
      <w:r w:rsidRPr="00BD3587">
        <w:t xml:space="preserve">Dirac </w:t>
      </w:r>
      <w:proofErr w:type="spellStart"/>
      <w:r w:rsidRPr="00BD3587">
        <w:t>equation</w:t>
      </w:r>
      <w:proofErr w:type="spellEnd"/>
      <w:r w:rsidRPr="00BD3587">
        <w:t xml:space="preserve"> </w:t>
      </w:r>
      <w:proofErr w:type="spellStart"/>
      <w:r w:rsidRPr="00BD3587">
        <w:t>mysteries</w:t>
      </w:r>
      <w:bookmarkEnd w:id="2"/>
      <w:proofErr w:type="spellEnd"/>
      <w:r w:rsidRPr="00BD3587">
        <w:rPr>
          <w:i/>
          <w:iCs/>
        </w:rPr>
        <w:t xml:space="preserve"> </w:t>
      </w:r>
    </w:p>
    <w:p w14:paraId="22A52FA4" w14:textId="77777777" w:rsidR="00BD3587" w:rsidRPr="00BD3587" w:rsidRDefault="00BD3587" w:rsidP="00BD3587">
      <w:r w:rsidRPr="00BD3587">
        <w:t xml:space="preserve">Le modèle atomique de Bohr publié en 1913 supposait que les électrons tournaient autour d'un noyau positif compact. Un électron atomique obéissant à la mécanique classique en présence d'un noyau chargé positivement subit une force de Lorentz : il devrait émettre de l'énergie et accélérer vers le </w:t>
      </w:r>
      <w:r w:rsidRPr="00BD3587">
        <w:lastRenderedPageBreak/>
        <w:t>noyau atomique. Le succès du modèle de Bohr dans la prédiction des spectres atomiques suggérait que la mécanique classique ne pouvait pas être correcte.</w:t>
      </w:r>
    </w:p>
    <w:p w14:paraId="36217687" w14:textId="77777777" w:rsidR="00BD3587" w:rsidRPr="00BD3587" w:rsidRDefault="00BD3587" w:rsidP="00BD3587">
      <w:r w:rsidRPr="00BD3587">
        <w:t>En 1926, Erwin Schrödinger développa une nouvelle mécanique pour l'électron, une mécanique quantique qui reproduisait les résultats de Bohr. Schrödinger et d'autres physiciens savaient que cette mécanique était incomplète : elle ne tenait pas compte des effets de la relativité restreinte ni de l'interaction entre la matière et le rayonnement.</w:t>
      </w:r>
    </w:p>
    <w:p w14:paraId="3CCCEB9D" w14:textId="77777777" w:rsidR="00BD3587" w:rsidRPr="00BD3587" w:rsidRDefault="00BD3587" w:rsidP="00BD3587">
      <w:r w:rsidRPr="00BD3587">
        <w:t>Paul Dirac résolut le premier problème en 1928 avec sa théorie quantique relativiste de l'électron. Cette combinaison était plus précise et prédisait également le spin de l'électron. Cependant, elle comprenait également deux fois plus d'états que prévu, tous avec une énergie inférieure à ceux impliqués dans la physique atomique.</w:t>
      </w:r>
    </w:p>
    <w:p w14:paraId="1C77C652" w14:textId="77777777" w:rsidR="00BD3587" w:rsidRPr="00BD3587" w:rsidRDefault="00BD3587" w:rsidP="00BD3587">
      <w:r w:rsidRPr="00BD3587">
        <w:t>Klein a découvert que ces états supplémentaires donnaient des résultats absurdes à partir de modèles d'électrons subissant un changement important et brusque du potentiel électrostatique : un courant négatif apparaissait au-delà de la barrière. Il est important de noter que la théorie de Dirac ne prédisait que des états à particule unique. La création ou l'annihilation de particules ne pouvait pas être analysée correctement dans la théorie à particule unique.</w:t>
      </w:r>
    </w:p>
    <w:p w14:paraId="58FAD752" w14:textId="77777777" w:rsidR="00BD3587" w:rsidRPr="00BD3587" w:rsidRDefault="00BD3587" w:rsidP="00BD3587">
      <w:r w:rsidRPr="00BD3587">
        <w:t xml:space="preserve">Le résultat de Klein a fait l'objet de nombreuses discussions dès sa publication. Niels Bohr pensait que ce résultat était lié à l'étape abrupte et Arnold Sommerfeld a donc demandé à Fritz Sauter d'étudier les étapes inclinées. Sauter a pu confirmer la conjecture de Bohr : le résultat paradoxal n'apparaissait que pour un pas de ΔV&gt;2mc^2 sur une distance similaire à la longueur d'onde de Compton des électrons, λ=h/mc, environ 2 x 10−12m. </w:t>
      </w:r>
    </w:p>
    <w:p w14:paraId="2A233809" w14:textId="77777777" w:rsidR="00BD3587" w:rsidRPr="00BD3587" w:rsidRDefault="00BD3587" w:rsidP="00BD3587">
      <w:r w:rsidRPr="00BD3587">
        <w:t xml:space="preserve">Tout au long des années 1929 et 1930, une série d'articles rédigés par différents physiciens ont tenté de comprendre les états supplémentaires de Dirac. Hermann Weyl a suggéré qu'ils correspondaient aux protons récemment découverts, la seule particule élémentaire autre que l'électron connue à l'époque. Dirac a souligné que les électrons négatifs de Klein ne pouvaient pas se convertir en protons positifs et a suggéré que les états supplémentaires étaient déjà tous remplis d'électrons. Un proton équivaudrait alors à un électron manquant dans ces états inférieurs. Robert Oppenheimer et, séparément, Igor Tamm ont montré que cela rendrait les atomes instables. Finalement, en 1931, Dirac a conclu que ces états devaient correspondre à une nouvelle particule « </w:t>
      </w:r>
      <w:proofErr w:type="spellStart"/>
      <w:r w:rsidRPr="00BD3587">
        <w:t>anti-électron</w:t>
      </w:r>
      <w:proofErr w:type="spellEnd"/>
      <w:r w:rsidRPr="00BD3587">
        <w:t xml:space="preserve"> ». En 1932, Carl Anderson a observé expérimentalement ces particules, rebaptisées positons. </w:t>
      </w:r>
    </w:p>
    <w:p w14:paraId="12D6F054" w14:textId="77777777" w:rsidR="00BD3587" w:rsidRPr="00BD3587" w:rsidRDefault="00BD3587" w:rsidP="00BD3587"/>
    <w:p w14:paraId="133B4BF8" w14:textId="28302339" w:rsidR="00BD3587" w:rsidRPr="00BD3587" w:rsidRDefault="00BD3587" w:rsidP="00BD3587">
      <w:pPr>
        <w:pStyle w:val="Titre1"/>
        <w:rPr>
          <w:i/>
          <w:iCs/>
        </w:rPr>
      </w:pPr>
      <w:bookmarkStart w:id="3" w:name="_Toc220164969"/>
      <w:r w:rsidRPr="00BD3587">
        <w:t>Positron-</w:t>
      </w:r>
      <w:proofErr w:type="spellStart"/>
      <w:r w:rsidRPr="00BD3587">
        <w:t>electron</w:t>
      </w:r>
      <w:proofErr w:type="spellEnd"/>
      <w:r w:rsidRPr="00BD3587">
        <w:t xml:space="preserve"> </w:t>
      </w:r>
      <w:proofErr w:type="spellStart"/>
      <w:r w:rsidRPr="00BD3587">
        <w:t>creation</w:t>
      </w:r>
      <w:bookmarkEnd w:id="3"/>
      <w:proofErr w:type="spellEnd"/>
      <w:r w:rsidRPr="00BD3587">
        <w:rPr>
          <w:i/>
          <w:iCs/>
        </w:rPr>
        <w:t xml:space="preserve"> </w:t>
      </w:r>
    </w:p>
    <w:p w14:paraId="7032D150" w14:textId="77777777" w:rsidR="00BD3587" w:rsidRPr="00BD3587" w:rsidRDefault="00BD3587" w:rsidP="00BD3587">
      <w:r w:rsidRPr="00BD3587">
        <w:t>La résolution de ce paradoxe nécessitait la théorie quantique des champs, qui s'est développée parallèlement à la mécanique quantique, mais à un rythme plus lent en raison de ses nombreuses complexités. Ce concept remonte à la démonstration de Max Planck selon laquelle l'électrodynamique classique de Maxwell, si efficace dans de nombreuses applications, ne permettait pas de prédire le spectre du corps noir. Planck a montré que les oscillateurs du corps noir devaient être limités aux transitions quantiques. En 1927, Dirac a publié son premier ouvrage sur l'électrodynamique quantique en utilisant la théorie quantique des champs. Sur cette base, Heisenberg, Jordan et Pauli ont intégré l'invariance relativiste dans les équations quantifiées de Maxwell en 1928 et 1929.</w:t>
      </w:r>
    </w:p>
    <w:p w14:paraId="6894DDF9" w14:textId="77777777" w:rsidR="00BD3587" w:rsidRPr="00BD3587" w:rsidRDefault="00BD3587" w:rsidP="00BD3587">
      <w:r w:rsidRPr="00BD3587">
        <w:t xml:space="preserve">Cependant, il fallut encore dix ans avant que la théorie puisse être appliquée au problème du paradoxe de Klein. En 1941, Friedrich Hund démontra que, dans les conditions du paradoxe, deux courants de charge opposée sont spontanément générés au niveau du seuil. En terminologie moderne, des paires </w:t>
      </w:r>
      <w:r w:rsidRPr="00BD3587">
        <w:lastRenderedPageBreak/>
        <w:t>d'électrons et de positons sont spontanément créées au niveau du potentiel de seuil. Ces résultats furent confirmés en 1981 par Hansen et Ravndal à l'aide d'un traitement plus général.</w:t>
      </w:r>
    </w:p>
    <w:p w14:paraId="790530A0" w14:textId="77777777" w:rsidR="00BD3587" w:rsidRPr="00BD3587" w:rsidRDefault="00BD3587" w:rsidP="00BD3587"/>
    <w:p w14:paraId="5AF62BD4" w14:textId="77777777" w:rsidR="00BD3587" w:rsidRPr="00BD3587" w:rsidRDefault="00BD3587" w:rsidP="00BD3587">
      <w:pPr>
        <w:pStyle w:val="Titre1"/>
      </w:pPr>
      <w:bookmarkStart w:id="4" w:name="_Toc220164970"/>
      <w:proofErr w:type="spellStart"/>
      <w:r w:rsidRPr="00BD3587">
        <w:t>Massless</w:t>
      </w:r>
      <w:proofErr w:type="spellEnd"/>
      <w:r w:rsidRPr="00BD3587">
        <w:t xml:space="preserve"> </w:t>
      </w:r>
      <w:proofErr w:type="spellStart"/>
      <w:r w:rsidRPr="00BD3587">
        <w:t>particles</w:t>
      </w:r>
      <w:bookmarkEnd w:id="4"/>
      <w:proofErr w:type="spellEnd"/>
    </w:p>
    <w:p w14:paraId="418BA214" w14:textId="4AF4B149" w:rsidR="00BD3587" w:rsidRPr="00BD3587" w:rsidRDefault="00BD3587" w:rsidP="00BD3587">
      <w:r w:rsidRPr="00BD3587">
        <w:t>Considérons une particule relativiste sans masse s'approchant d'un seuil potentiel de hauteur </w:t>
      </w: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BD3587">
        <w:t> avec une énergie </w:t>
      </w:r>
      <m:oMath>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&lt;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e</m:t>
        </m:r>
      </m:oMath>
      <w:r w:rsidRPr="00BD3587">
        <w:t> </w:t>
      </w:r>
      <w:r>
        <w:t>et une impulsion</w:t>
      </w:r>
      <w:r w:rsidRPr="00BD3587">
        <w:t> </w:t>
      </w:r>
      <m:oMath>
        <m:r>
          <w:rPr>
            <w:rFonts w:ascii="Cambria Math" w:hAnsi="Cambria Math"/>
          </w:rPr>
          <m:t>p</m:t>
        </m:r>
      </m:oMath>
      <w:r w:rsidRPr="00BD3587">
        <w:t>.</w:t>
      </w:r>
    </w:p>
    <w:p w14:paraId="24D59FC6" w14:textId="30546AB1" w:rsidR="00BD3587" w:rsidRPr="00BD3587" w:rsidRDefault="00BD3587" w:rsidP="00BD3587">
      <w:r w:rsidRPr="00BD3587">
        <w:drawing>
          <wp:inline distT="0" distB="0" distL="0" distR="0" wp14:anchorId="3C92BCF7" wp14:editId="0B755BEE">
            <wp:extent cx="5760720" cy="2655570"/>
            <wp:effectExtent l="0" t="0" r="0" b="0"/>
            <wp:docPr id="65600227" name="Image 39">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655570"/>
                    </a:xfrm>
                    <a:prstGeom prst="rect">
                      <a:avLst/>
                    </a:prstGeom>
                    <a:noFill/>
                    <a:ln>
                      <a:noFill/>
                    </a:ln>
                  </pic:spPr>
                </pic:pic>
              </a:graphicData>
            </a:graphic>
          </wp:inline>
        </w:drawing>
      </w:r>
    </w:p>
    <w:p w14:paraId="325F45D9" w14:textId="3B8ED0F0" w:rsidR="00BD3587" w:rsidRPr="00BD3587" w:rsidRDefault="00BD3587" w:rsidP="00BD3587">
      <w:pPr>
        <w:rPr>
          <w:rFonts w:ascii="Cambria Math" w:hAnsi="Cambria Math"/>
        </w:rPr>
      </w:pPr>
      <w:r w:rsidRPr="00BD3587">
        <w:t>La fonction d'onde de la particule</w:t>
      </w:r>
      <w:r w:rsidRPr="00BD3587">
        <w:t>, </w:t>
      </w:r>
      <m:oMath>
        <m:r>
          <w:rPr>
            <w:rFonts w:ascii="Cambria Math" w:hAnsi="Cambria Math"/>
          </w:rPr>
          <m:t>ψ</m:t>
        </m:r>
      </m:oMath>
      <w:r w:rsidRPr="00BD3587">
        <w:t xml:space="preserve">, </w:t>
      </w:r>
      <w:r w:rsidRPr="00BD3587">
        <w:t xml:space="preserve">suit l'équation </w:t>
      </w:r>
      <w:hyperlink r:id="rId9" w:tooltip="Dirac equation" w:history="1">
        <w:r w:rsidRPr="00BD3587">
          <w:rPr>
            <w:rFonts w:ascii="Cambria Math" w:hAnsi="Cambria Math"/>
          </w:rPr>
          <w:t xml:space="preserve">de Dirac indépendante du temps </w:t>
        </w:r>
      </w:hyperlink>
      <w:r w:rsidRPr="00BD3587">
        <w:rPr>
          <w:rFonts w:ascii="Cambria Math" w:hAnsi="Cambria Math"/>
        </w:rPr>
        <w:t>:</w:t>
      </w:r>
    </w:p>
    <w:p w14:paraId="0C076449" w14:textId="29072821" w:rsidR="00BD3587" w:rsidRPr="00BD3587" w:rsidRDefault="00BD3587" w:rsidP="00BD3587">
      <w:pPr>
        <w:rPr>
          <w:lang w:val="en-US"/>
        </w:rPr>
      </w:pPr>
      <m:oMathPara>
        <m:oMath>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x</m:t>
                  </m:r>
                </m:sub>
              </m:sSub>
              <m:r>
                <w:rPr>
                  <w:rFonts w:ascii="Cambria Math" w:hAnsi="Cambria Math"/>
                  <w:lang w:val="en-US"/>
                </w:rPr>
                <m:t>p</m:t>
              </m:r>
              <m:r>
                <m:rPr>
                  <m:sty m:val="p"/>
                </m:rPr>
                <w:rPr>
                  <w:rFonts w:ascii="Cambria Math" w:hAnsi="Cambria Math"/>
                  <w:lang w:val="en-US"/>
                </w:rPr>
                <m:t>+</m:t>
              </m:r>
              <m:r>
                <w:rPr>
                  <w:rFonts w:ascii="Cambria Math" w:hAnsi="Cambria Math"/>
                  <w:lang w:val="en-US"/>
                </w:rPr>
                <m:t>V</m:t>
              </m:r>
            </m:e>
          </m:d>
          <m:r>
            <w:rPr>
              <w:rFonts w:ascii="Cambria Math" w:hAnsi="Cambria Math"/>
              <w:lang w:val="en-US"/>
            </w:rPr>
            <m:t>ψ</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E</m:t>
              </m:r>
            </m:e>
            <m:sub>
              <m:r>
                <m:rPr>
                  <m:sty m:val="p"/>
                </m:rPr>
                <w:rPr>
                  <w:rFonts w:ascii="Cambria Math" w:hAnsi="Cambria Math"/>
                  <w:lang w:val="en-US"/>
                </w:rPr>
                <m:t>0</m:t>
              </m:r>
            </m:sub>
          </m:sSub>
          <m:r>
            <w:rPr>
              <w:rFonts w:ascii="Cambria Math" w:hAnsi="Cambria Math"/>
              <w:lang w:val="en-US"/>
            </w:rPr>
            <m:t>ψ</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d>
            <m:dPr>
              <m:begChr m:val="{"/>
              <m:endChr m:val=""/>
              <m:ctrlPr>
                <w:rPr>
                  <w:rFonts w:ascii="Cambria Math" w:hAnsi="Cambria Math"/>
                  <w:lang w:val="en-US"/>
                </w:rPr>
              </m:ctrlPr>
            </m:dPr>
            <m:e>
              <m:m>
                <m:mPr>
                  <m:plcHide m:val="1"/>
                  <m:mcs>
                    <m:mc>
                      <m:mcPr>
                        <m:count m:val="2"/>
                        <m:mcJc m:val="center"/>
                      </m:mcPr>
                    </m:mc>
                  </m:mcs>
                  <m:ctrlPr>
                    <w:rPr>
                      <w:rFonts w:ascii="Cambria Math" w:hAnsi="Cambria Math"/>
                      <w:lang w:val="en-US"/>
                    </w:rPr>
                  </m:ctrlPr>
                </m:mPr>
                <m:mr>
                  <m:e>
                    <m:r>
                      <m:rPr>
                        <m:sty m:val="p"/>
                      </m:rPr>
                      <w:rPr>
                        <w:rFonts w:ascii="Cambria Math" w:hAnsi="Cambria Math"/>
                        <w:lang w:val="en-US"/>
                      </w:rPr>
                      <m:t>0,</m:t>
                    </m:r>
                  </m:e>
                  <m:e>
                    <m:r>
                      <w:rPr>
                        <w:rFonts w:ascii="Cambria Math" w:hAnsi="Cambria Math"/>
                        <w:lang w:val="en-US"/>
                      </w:rPr>
                      <m:t>x</m:t>
                    </m:r>
                    <m:r>
                      <m:rPr>
                        <m:sty m:val="p"/>
                      </m:rPr>
                      <w:rPr>
                        <w:rFonts w:ascii="Cambria Math" w:hAnsi="Cambria Math"/>
                        <w:lang w:val="en-US"/>
                      </w:rPr>
                      <m:t>&lt;0</m:t>
                    </m:r>
                  </m:e>
                </m:mr>
                <m:mr>
                  <m:e>
                    <m:sSub>
                      <m:sSubPr>
                        <m:ctrlPr>
                          <w:rPr>
                            <w:rFonts w:ascii="Cambria Math" w:hAnsi="Cambria Math"/>
                            <w:lang w:val="en-US"/>
                          </w:rPr>
                        </m:ctrlPr>
                      </m:sSubPr>
                      <m:e>
                        <m:r>
                          <w:rPr>
                            <w:rFonts w:ascii="Cambria Math" w:hAnsi="Cambria Math"/>
                            <w:lang w:val="en-US"/>
                          </w:rPr>
                          <m:t>V</m:t>
                        </m:r>
                      </m:e>
                      <m:sub>
                        <m:r>
                          <m:rPr>
                            <m:sty m:val="p"/>
                          </m:rPr>
                          <w:rPr>
                            <w:rFonts w:ascii="Cambria Math" w:hAnsi="Cambria Math"/>
                            <w:lang w:val="en-US"/>
                          </w:rPr>
                          <m:t>0</m:t>
                        </m:r>
                      </m:sub>
                    </m:sSub>
                    <m:r>
                      <m:rPr>
                        <m:sty m:val="p"/>
                      </m:rPr>
                      <w:rPr>
                        <w:rFonts w:ascii="Cambria Math" w:hAnsi="Cambria Math"/>
                        <w:lang w:val="en-US"/>
                      </w:rPr>
                      <m:t>,</m:t>
                    </m:r>
                  </m:e>
                  <m:e>
                    <m:r>
                      <w:rPr>
                        <w:rFonts w:ascii="Cambria Math" w:hAnsi="Cambria Math"/>
                        <w:lang w:val="en-US"/>
                      </w:rPr>
                      <m:t>x</m:t>
                    </m:r>
                    <m:r>
                      <m:rPr>
                        <m:sty m:val="p"/>
                      </m:rPr>
                      <w:rPr>
                        <w:rFonts w:ascii="Cambria Math" w:hAnsi="Cambria Math"/>
                        <w:lang w:val="en-US"/>
                      </w:rPr>
                      <m:t>&gt;0</m:t>
                    </m:r>
                  </m:e>
                </m:mr>
              </m:m>
            </m:e>
          </m:d>
        </m:oMath>
      </m:oMathPara>
    </w:p>
    <w:p w14:paraId="129EFED1" w14:textId="79814B55" w:rsidR="00BD3587" w:rsidRPr="00BD3587" w:rsidRDefault="00BD3587" w:rsidP="00BD3587">
      <w:r w:rsidRPr="00BD3587">
        <w:t>Et</w:t>
      </w:r>
      <w:r w:rsidRPr="00BD3587">
        <w:t> </w:t>
      </w:r>
      <m:oMath>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x</m:t>
            </m:r>
          </m:sub>
        </m:sSub>
      </m:oMath>
      <w:r w:rsidRPr="00BD3587">
        <w:t> </w:t>
      </w:r>
      <w:r w:rsidRPr="00BD3587">
        <w:t xml:space="preserve">est la </w:t>
      </w:r>
      <w:hyperlink r:id="rId10" w:tooltip="Pauli matrix" w:history="1">
        <w:r w:rsidRPr="00BD3587">
          <w:t>matrice de Pauli</w:t>
        </w:r>
      </w:hyperlink>
      <w:r w:rsidRPr="00BD3587">
        <w:t>:</w:t>
      </w:r>
    </w:p>
    <w:p w14:paraId="78A25789" w14:textId="68AA2331" w:rsidR="00BD3587" w:rsidRPr="00BD3587" w:rsidRDefault="00BD3587" w:rsidP="00BD3587">
      <w:pPr>
        <w:rPr>
          <w:lang w:val="en-US"/>
        </w:rPr>
      </w:pPr>
      <m:oMathPara>
        <m:oMath>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x</m:t>
              </m:r>
            </m:sub>
          </m:sSub>
          <m:r>
            <m:rPr>
              <m:sty m:val="p"/>
            </m:rPr>
            <w:rPr>
              <w:rFonts w:ascii="Cambria Math" w:hAnsi="Cambria Math"/>
              <w:lang w:val="en-US"/>
            </w:rPr>
            <m:t>=</m:t>
          </m:r>
          <m:d>
            <m:dPr>
              <m:ctrlPr>
                <w:rPr>
                  <w:rFonts w:ascii="Cambria Math" w:hAnsi="Cambria Math"/>
                  <w:lang w:val="en-US"/>
                </w:rPr>
              </m:ctrlPr>
            </m:dPr>
            <m:e>
              <m:m>
                <m:mPr>
                  <m:plcHide m:val="1"/>
                  <m:mcs>
                    <m:mc>
                      <m:mcPr>
                        <m:count m:val="2"/>
                        <m:mcJc m:val="center"/>
                      </m:mcPr>
                    </m:mc>
                  </m:mcs>
                  <m:ctrlPr>
                    <w:rPr>
                      <w:rFonts w:ascii="Cambria Math" w:hAnsi="Cambria Math"/>
                      <w:lang w:val="en-US"/>
                    </w:rPr>
                  </m:ctrlPr>
                </m:mPr>
                <m:mr>
                  <m:e>
                    <m:r>
                      <m:rPr>
                        <m:sty m:val="p"/>
                      </m:rPr>
                      <w:rPr>
                        <w:rFonts w:ascii="Cambria Math" w:hAnsi="Cambria Math"/>
                        <w:lang w:val="en-US"/>
                      </w:rPr>
                      <m:t>0</m:t>
                    </m:r>
                  </m:e>
                  <m:e>
                    <m:r>
                      <m:rPr>
                        <m:sty m:val="p"/>
                      </m:rPr>
                      <w:rPr>
                        <w:rFonts w:ascii="Cambria Math" w:hAnsi="Cambria Math"/>
                        <w:lang w:val="en-US"/>
                      </w:rPr>
                      <m:t>1</m:t>
                    </m:r>
                  </m:e>
                </m:mr>
                <m:mr>
                  <m:e>
                    <m:r>
                      <m:rPr>
                        <m:sty m:val="p"/>
                      </m:rPr>
                      <w:rPr>
                        <w:rFonts w:ascii="Cambria Math" w:hAnsi="Cambria Math"/>
                        <w:lang w:val="en-US"/>
                      </w:rPr>
                      <m:t>1</m:t>
                    </m:r>
                  </m:e>
                  <m:e>
                    <m:r>
                      <m:rPr>
                        <m:sty m:val="p"/>
                      </m:rPr>
                      <w:rPr>
                        <w:rFonts w:ascii="Cambria Math" w:hAnsi="Cambria Math"/>
                        <w:lang w:val="en-US"/>
                      </w:rPr>
                      <m:t>0</m:t>
                    </m:r>
                  </m:e>
                </m:mr>
              </m:m>
            </m:e>
          </m:d>
        </m:oMath>
      </m:oMathPara>
    </w:p>
    <w:p w14:paraId="009CFDB5" w14:textId="77777777" w:rsidR="00BD3587" w:rsidRDefault="00BD3587" w:rsidP="00BD3587">
      <w:pPr>
        <w:rPr>
          <w:lang w:val="en-US"/>
        </w:rPr>
      </w:pPr>
      <w:r w:rsidRPr="00BD3587">
        <w:drawing>
          <wp:inline distT="0" distB="0" distL="0" distR="0" wp14:anchorId="3235A6BB" wp14:editId="05983E7F">
            <wp:extent cx="3810000" cy="2484120"/>
            <wp:effectExtent l="0" t="0" r="0" b="0"/>
            <wp:docPr id="808228018" name="Image 34">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0" cy="2484120"/>
                    </a:xfrm>
                    <a:prstGeom prst="rect">
                      <a:avLst/>
                    </a:prstGeom>
                    <a:noFill/>
                    <a:ln>
                      <a:noFill/>
                    </a:ln>
                  </pic:spPr>
                </pic:pic>
              </a:graphicData>
            </a:graphic>
          </wp:inline>
        </w:drawing>
      </w:r>
    </w:p>
    <w:p w14:paraId="462C9A13" w14:textId="77777777" w:rsidR="00BD3587" w:rsidRPr="00BD3587" w:rsidRDefault="00BD3587" w:rsidP="007574C2">
      <w:r w:rsidRPr="00BD3587">
        <w:t xml:space="preserve">Représentation de la relation de dispersion, </w:t>
      </w:r>
      <w:proofErr w:type="gramStart"/>
      <w:r w:rsidRPr="00BD3587">
        <w:t xml:space="preserve">l'  </w:t>
      </w:r>
      <w:proofErr w:type="gramEnd"/>
      <w:r w:rsidRPr="00BD3587">
        <w:t xml:space="preserve">axe </w:t>
      </w:r>
      <w:r w:rsidRPr="00BD3587">
        <w:rPr>
          <w:i/>
          <w:iCs/>
        </w:rPr>
        <w:t xml:space="preserve">des x </w:t>
      </w:r>
      <w:r w:rsidRPr="00BD3587">
        <w:t xml:space="preserve">représente la quantité de mouvement tandis que </w:t>
      </w:r>
      <w:proofErr w:type="gramStart"/>
      <w:r w:rsidRPr="00BD3587">
        <w:t xml:space="preserve">l' </w:t>
      </w:r>
      <w:r w:rsidRPr="00BD3587">
        <w:rPr>
          <w:i/>
          <w:iCs/>
        </w:rPr>
        <w:t xml:space="preserve"> </w:t>
      </w:r>
      <w:proofErr w:type="gramEnd"/>
      <w:r w:rsidRPr="00BD3587">
        <w:rPr>
          <w:i/>
          <w:iCs/>
        </w:rPr>
        <w:t>axe des y</w:t>
      </w:r>
      <w:r w:rsidRPr="00BD3587">
        <w:t xml:space="preserve"> représente l'énergie.</w:t>
      </w:r>
    </w:p>
    <w:p w14:paraId="05A1ECC8" w14:textId="77777777" w:rsidR="00BD3587" w:rsidRPr="00BD3587" w:rsidRDefault="00BD3587" w:rsidP="005B1267">
      <w:r w:rsidRPr="00BD3587">
        <w:lastRenderedPageBreak/>
        <w:t>En supposant que la particule se propage depuis la gauche, on obtient deux solutions — une avant l'étape, dans la région (1), et une sous le potentiel, dans la région (2) :</w:t>
      </w:r>
    </w:p>
    <w:p w14:paraId="0C70ED77" w14:textId="21BDBC02" w:rsidR="00BD3587" w:rsidRPr="00BD3587" w:rsidRDefault="00BD3587" w:rsidP="00BD3587">
      <m:oMathPara>
        <m:oMath>
          <m:sSub>
            <m:sSubPr>
              <m:ctrlPr>
                <w:rPr>
                  <w:rFonts w:ascii="Cambria Math" w:hAnsi="Cambria Math"/>
                </w:rPr>
              </m:ctrlPr>
            </m:sSubPr>
            <m:e>
              <m:r>
                <w:rPr>
                  <w:rFonts w:ascii="Cambria Math" w:hAnsi="Cambria Math"/>
                </w:rPr>
                <m:t>ψ</m:t>
              </m:r>
            </m:e>
            <m:sub>
              <m:r>
                <w:rPr>
                  <w:rFonts w:ascii="Cambria Math" w:hAnsi="Cambria Math"/>
                </w:rPr>
                <m:t>1</m:t>
              </m:r>
            </m:sub>
          </m:sSub>
          <m:r>
            <w:rPr>
              <w:rFonts w:ascii="Cambria Math" w:hAnsi="Cambria Math"/>
            </w:rPr>
            <m:t>=A</m:t>
          </m:r>
          <m:sSup>
            <m:sSupPr>
              <m:ctrlPr>
                <w:rPr>
                  <w:rFonts w:ascii="Cambria Math" w:hAnsi="Cambria Math"/>
                </w:rPr>
              </m:ctrlPr>
            </m:sSupPr>
            <m:e>
              <m:r>
                <w:rPr>
                  <w:rFonts w:ascii="Cambria Math" w:hAnsi="Cambria Math"/>
                </w:rPr>
                <m:t>e</m:t>
              </m:r>
            </m:e>
            <m:sup>
              <m:r>
                <w:rPr>
                  <w:rFonts w:ascii="Cambria Math" w:hAnsi="Cambria Math"/>
                </w:rPr>
                <m:t>ipx</m:t>
              </m:r>
            </m:sup>
          </m:sSup>
          <m:d>
            <m:dPr>
              <m:ctrlPr>
                <w:rPr>
                  <w:rFonts w:ascii="Cambria Math" w:hAnsi="Cambria Math"/>
                </w:rPr>
              </m:ctrlPr>
            </m:dPr>
            <m:e>
              <m:eqArr>
                <m:eqArrPr>
                  <m:ctrlPr>
                    <w:rPr>
                      <w:rFonts w:ascii="Cambria Math" w:hAnsi="Cambria Math"/>
                    </w:rPr>
                  </m:ctrlPr>
                </m:eqArrPr>
                <m:e>
                  <m:r>
                    <w:rPr>
                      <w:rFonts w:ascii="Cambria Math" w:hAnsi="Cambria Math"/>
                    </w:rPr>
                    <m:t>1</m:t>
                  </m:r>
                </m:e>
                <m:e>
                  <m:r>
                    <w:rPr>
                      <w:rFonts w:ascii="Cambria Math" w:hAnsi="Cambria Math"/>
                    </w:rPr>
                    <m:t>1</m:t>
                  </m:r>
                </m:e>
              </m:eqArr>
            </m:e>
          </m:d>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sSup>
            <m:sSupPr>
              <m:ctrlPr>
                <w:rPr>
                  <w:rFonts w:ascii="Cambria Math" w:hAnsi="Cambria Math"/>
                </w:rPr>
              </m:ctrlPr>
            </m:sSupPr>
            <m:e>
              <m:r>
                <w:rPr>
                  <w:rFonts w:ascii="Cambria Math" w:hAnsi="Cambria Math"/>
                </w:rPr>
                <m:t>e</m:t>
              </m:r>
            </m:e>
            <m:sup>
              <m:r>
                <w:rPr>
                  <w:rFonts w:ascii="Cambria Math" w:hAnsi="Cambria Math"/>
                </w:rPr>
                <m:t>-ipx</m:t>
              </m:r>
            </m:sup>
          </m:sSup>
          <m:d>
            <m:dPr>
              <m:ctrlPr>
                <w:rPr>
                  <w:rFonts w:ascii="Cambria Math" w:hAnsi="Cambria Math"/>
                </w:rPr>
              </m:ctrlPr>
            </m:dPr>
            <m:e>
              <m:eqArr>
                <m:eqArrPr>
                  <m:ctrlPr>
                    <w:rPr>
                      <w:rFonts w:ascii="Cambria Math" w:hAnsi="Cambria Math"/>
                    </w:rPr>
                  </m:ctrlPr>
                </m:eqArrPr>
                <m:e>
                  <m:r>
                    <w:rPr>
                      <w:rFonts w:ascii="Cambria Math" w:hAnsi="Cambria Math"/>
                    </w:rPr>
                    <m:t>-1</m:t>
                  </m:r>
                </m:e>
                <m:e>
                  <m:r>
                    <w:rPr>
                      <w:rFonts w:ascii="Cambria Math" w:hAnsi="Cambria Math"/>
                    </w:rPr>
                    <m:t>1</m:t>
                  </m:r>
                </m:e>
              </m:eqArr>
            </m:e>
          </m:d>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0</m:t>
              </m:r>
            </m:sub>
          </m:sSub>
        </m:oMath>
      </m:oMathPara>
    </w:p>
    <w:p w14:paraId="635298B7" w14:textId="06E25580" w:rsidR="00BD3587" w:rsidRPr="00BD3587" w:rsidRDefault="00BD3587" w:rsidP="00BD3587">
      <m:oMathPara>
        <m:oMath>
          <m:sSub>
            <m:sSubPr>
              <m:ctrlPr>
                <w:rPr>
                  <w:rFonts w:ascii="Cambria Math" w:hAnsi="Cambria Math"/>
                </w:rPr>
              </m:ctrlPr>
            </m:sSubPr>
            <m:e>
              <m:r>
                <w:rPr>
                  <w:rFonts w:ascii="Cambria Math" w:hAnsi="Cambria Math"/>
                </w:rPr>
                <m:t>ψ</m:t>
              </m:r>
            </m:e>
            <m:sub>
              <m:r>
                <w:rPr>
                  <w:rFonts w:ascii="Cambria Math" w:hAnsi="Cambria Math"/>
                </w:rPr>
                <m:t>2</m:t>
              </m:r>
            </m:sub>
          </m:sSub>
          <m:r>
            <w:rPr>
              <w:rFonts w:ascii="Cambria Math" w:hAnsi="Cambria Math"/>
            </w:rPr>
            <m:t>=B</m:t>
          </m:r>
          <m:sSup>
            <m:sSupPr>
              <m:ctrlPr>
                <w:rPr>
                  <w:rFonts w:ascii="Cambria Math" w:hAnsi="Cambria Math"/>
                </w:rPr>
              </m:ctrlPr>
            </m:sSupPr>
            <m:e>
              <m:r>
                <w:rPr>
                  <w:rFonts w:ascii="Cambria Math" w:hAnsi="Cambria Math"/>
                </w:rPr>
                <m:t>e</m:t>
              </m:r>
            </m:e>
            <m:sup>
              <m:r>
                <w:rPr>
                  <w:rFonts w:ascii="Cambria Math" w:hAnsi="Cambria Math"/>
                </w:rPr>
                <m:t>ikx</m:t>
              </m:r>
            </m:sup>
          </m:sSup>
          <m:d>
            <m:dPr>
              <m:ctrlPr>
                <w:rPr>
                  <w:rFonts w:ascii="Cambria Math" w:hAnsi="Cambria Math"/>
                </w:rPr>
              </m:ctrlPr>
            </m:dPr>
            <m:e>
              <m:eqArr>
                <m:eqArrPr>
                  <m:ctrlPr>
                    <w:rPr>
                      <w:rFonts w:ascii="Cambria Math" w:hAnsi="Cambria Math"/>
                    </w:rPr>
                  </m:ctrlPr>
                </m:eqArrPr>
                <m:e>
                  <m:r>
                    <w:rPr>
                      <w:rFonts w:ascii="Cambria Math" w:hAnsi="Cambria Math"/>
                    </w:rPr>
                    <m:t>1</m:t>
                  </m:r>
                </m:e>
                <m:e>
                  <m:r>
                    <w:rPr>
                      <w:rFonts w:ascii="Cambria Math" w:hAnsi="Cambria Math"/>
                    </w:rPr>
                    <m:t>1</m:t>
                  </m:r>
                </m:e>
              </m:eqArr>
            </m:e>
          </m:d>
          <m:r>
            <w:rPr>
              <w:rFonts w:ascii="Cambria Math" w:hAnsi="Cambria Math"/>
            </w:rPr>
            <m:t>,</m:t>
          </m:r>
          <m:d>
            <m:dPr>
              <m:begChr m:val="|"/>
              <m:endChr m:val="|"/>
              <m:ctrlPr>
                <w:rPr>
                  <w:rFonts w:ascii="Cambria Math" w:hAnsi="Cambria Math"/>
                </w:rPr>
              </m:ctrlPr>
            </m:dPr>
            <m:e>
              <m:r>
                <w:rPr>
                  <w:rFonts w:ascii="Cambria Math" w:hAnsi="Cambria Math"/>
                </w:rPr>
                <m:t>k</m:t>
              </m:r>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oMath>
      </m:oMathPara>
    </w:p>
    <w:p w14:paraId="604F74D1" w14:textId="77777777" w:rsidR="00BD3587" w:rsidRPr="00BD3587" w:rsidRDefault="00BD3587" w:rsidP="00FE4508">
      <w:proofErr w:type="gramStart"/>
      <w:r w:rsidRPr="00BD3587">
        <w:t>où</w:t>
      </w:r>
      <w:proofErr w:type="gramEnd"/>
      <w:r w:rsidRPr="00BD3587">
        <w:t xml:space="preserve"> les coefficients </w:t>
      </w:r>
      <w:r w:rsidRPr="00BD3587">
        <w:rPr>
          <w:i/>
          <w:iCs/>
        </w:rPr>
        <w:t>A</w:t>
      </w:r>
      <w:r w:rsidRPr="00BD3587">
        <w:t xml:space="preserve">, </w:t>
      </w:r>
      <w:r w:rsidRPr="00BD3587">
        <w:rPr>
          <w:i/>
          <w:iCs/>
        </w:rPr>
        <w:t>A′</w:t>
      </w:r>
      <w:r w:rsidRPr="00BD3587">
        <w:t xml:space="preserve"> et </w:t>
      </w:r>
      <w:r w:rsidRPr="00BD3587">
        <w:rPr>
          <w:i/>
          <w:iCs/>
        </w:rPr>
        <w:t>B</w:t>
      </w:r>
      <w:r w:rsidRPr="00BD3587">
        <w:t xml:space="preserve"> sont des nombres complexes. Les fonctions d'onde entrante et transmise sont toutes deux associées à une vitesse de groupe positive (lignes bleues dans la Fig.1), tandis que la fonction d'onde réfléchie est associée à une vitesse de groupe négative. (Lignes vertes dans la Fig.1)</w:t>
      </w:r>
    </w:p>
    <w:p w14:paraId="6341699D" w14:textId="77777777" w:rsidR="00BD3587" w:rsidRPr="00BD3587" w:rsidRDefault="00BD3587" w:rsidP="00FE4508">
      <w:r w:rsidRPr="00BD3587">
        <w:t xml:space="preserve">Nous voulons maintenant calculer les coefficients de transmission et de réflexion. Ils sont dérivés des </w:t>
      </w:r>
      <m:oMath>
        <m:r>
          <w:rPr>
            <w:rFonts w:ascii="Cambria Math" w:hAnsi="Cambria Math"/>
          </w:rPr>
          <m:t>T</m:t>
        </m:r>
        <m:r>
          <w:rPr>
            <w:rFonts w:ascii="Cambria Math" w:hAnsi="Cambria Math"/>
          </w:rPr>
          <m:t>,</m:t>
        </m:r>
        <m:r>
          <w:rPr>
            <w:rFonts w:ascii="Cambria Math" w:hAnsi="Cambria Math"/>
          </w:rPr>
          <m:t>R</m:t>
        </m:r>
        <m:r>
          <w:rPr>
            <w:rFonts w:ascii="Cambria Math" w:hAnsi="Cambria Math"/>
          </w:rPr>
          <m:t>.</m:t>
        </m:r>
      </m:oMath>
      <w:hyperlink r:id="rId13" w:tooltip="Probability amplitude" w:history="1">
        <w:r w:rsidRPr="00BD3587">
          <w:t xml:space="preserve"> courants d'amplitude de probabilité</w:t>
        </w:r>
      </w:hyperlink>
      <w:r w:rsidRPr="00BD3587">
        <w:t>.</w:t>
      </w:r>
    </w:p>
    <w:p w14:paraId="5F7D9742" w14:textId="77777777" w:rsidR="00BD3587" w:rsidRPr="00BD3587" w:rsidRDefault="00BD3587" w:rsidP="00FE4508">
      <w:r w:rsidRPr="00BD3587">
        <w:t>La définition du courant de probabilité associé à l'équation de Dirac est la suivante :</w:t>
      </w:r>
    </w:p>
    <w:p w14:paraId="6398120F" w14:textId="4CA4FE0E" w:rsidR="00BD3587" w:rsidRPr="00BD3587" w:rsidRDefault="00BD3587" w:rsidP="00BD3587">
      <w:pPr>
        <w:rPr>
          <w:lang w:val="en-US"/>
        </w:rPr>
      </w:pPr>
      <m:oMath>
        <m:sSub>
          <m:sSubPr>
            <m:ctrlPr>
              <w:rPr>
                <w:rFonts w:ascii="Cambria Math" w:hAnsi="Cambria Math"/>
              </w:rPr>
            </m:ctrlPr>
          </m:sSubPr>
          <m:e>
            <m:r>
              <w:rPr>
                <w:rFonts w:ascii="Cambria Math" w:hAnsi="Cambria Math"/>
              </w:rPr>
              <m:t>J</m:t>
            </m:r>
          </m:e>
          <m:sub>
            <m:r>
              <w:rPr>
                <w:rFonts w:ascii="Cambria Math" w:hAnsi="Cambria Math"/>
              </w:rPr>
              <m:t>i</m:t>
            </m:r>
          </m:sub>
        </m:sSub>
        <m:r>
          <w:rPr>
            <w:rFonts w:ascii="Cambria Math" w:hAnsi="Cambria Math"/>
            <w:lang w:val="en-US"/>
          </w:rPr>
          <m:t>=</m:t>
        </m:r>
        <m:sSubSup>
          <m:sSubSupPr>
            <m:ctrlPr>
              <w:rPr>
                <w:rFonts w:ascii="Cambria Math" w:hAnsi="Cambria Math"/>
              </w:rPr>
            </m:ctrlPr>
          </m:sSubSupPr>
          <m:e>
            <m:r>
              <w:rPr>
                <w:rFonts w:ascii="Cambria Math" w:hAnsi="Cambria Math"/>
              </w:rPr>
              <m:t>ψ</m:t>
            </m:r>
          </m:e>
          <m:sub>
            <m:r>
              <w:rPr>
                <w:rFonts w:ascii="Cambria Math" w:hAnsi="Cambria Math"/>
              </w:rPr>
              <m:t>i</m:t>
            </m:r>
          </m:sub>
          <m:sup>
            <m:r>
              <w:rPr>
                <w:rFonts w:ascii="Cambria Math" w:hAnsi="Cambria Math"/>
                <w:lang w:val="en-US"/>
              </w:rPr>
              <m:t>†</m:t>
            </m:r>
          </m:sup>
        </m:sSubSup>
        <m:sSub>
          <m:sSubPr>
            <m:ctrlPr>
              <w:rPr>
                <w:rFonts w:ascii="Cambria Math" w:hAnsi="Cambria Math"/>
              </w:rPr>
            </m:ctrlPr>
          </m:sSubPr>
          <m:e>
            <m:r>
              <w:rPr>
                <w:rFonts w:ascii="Cambria Math" w:hAnsi="Cambria Math"/>
              </w:rPr>
              <m:t>σ</m:t>
            </m:r>
          </m:e>
          <m:sub>
            <m:r>
              <w:rPr>
                <w:rFonts w:ascii="Cambria Math" w:hAnsi="Cambria Math"/>
              </w:rPr>
              <m:t>x</m:t>
            </m:r>
          </m:sub>
        </m:sSub>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lang w:val="en-US"/>
          </w:rPr>
          <m:t>,</m:t>
        </m:r>
        <m:r>
          <m:rPr>
            <m:nor/>
          </m:rPr>
          <w:rPr>
            <w:lang w:val="en-US"/>
          </w:rPr>
          <m:t xml:space="preserve"> </m:t>
        </m:r>
        <m:r>
          <m:rPr>
            <m:nor/>
          </m:rPr>
          <w:rPr>
            <w:lang w:val="en-US"/>
          </w:rPr>
          <m:t xml:space="preserve"> = 1,2</m:t>
        </m:r>
      </m:oMath>
      <w:r w:rsidRPr="00BD3587">
        <mc:AlternateContent>
          <mc:Choice Requires="wps">
            <w:drawing>
              <wp:inline distT="0" distB="0" distL="0" distR="0" wp14:anchorId="232F9578" wp14:editId="7195365E">
                <wp:extent cx="304800" cy="304800"/>
                <wp:effectExtent l="0" t="0" r="0" b="0"/>
                <wp:docPr id="422464055" name="Rectangle 30" descr="{\displaystyle J_{i}=\psi _{i}^{\dagger }\sigma _{x}\psi _{i},\ i=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E1BA58" id="Rectangle 30" o:spid="_x0000_s1026" alt="{\displaystyle J_{i}=\psi _{i}^{\dagger }\sigma _{x}\psi _{i},\ i=1,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F9A2B0" w14:textId="16A3DC88" w:rsidR="00BD3587" w:rsidRPr="00BD3587" w:rsidRDefault="00BD3587" w:rsidP="00BD3587">
      <w:pPr>
        <w:rPr>
          <w:lang w:val="en-US"/>
        </w:rPr>
      </w:pPr>
      <w:r w:rsidRPr="00BD3587">
        <w:t xml:space="preserve">Dans ce </w:t>
      </w:r>
      <w:proofErr w:type="gramStart"/>
      <w:r w:rsidRPr="00BD3587">
        <w:t>cas</w:t>
      </w:r>
      <w:r w:rsidRPr="00BD3587">
        <w:rPr>
          <w:lang w:val="en-US"/>
        </w:rPr>
        <w:t>:</w:t>
      </w:r>
      <w:proofErr w:type="gramEnd"/>
    </w:p>
    <w:p w14:paraId="12E32098" w14:textId="70B33CE5" w:rsidR="00BD3587" w:rsidRPr="00BD3587" w:rsidRDefault="00BD3587" w:rsidP="00BD3587">
      <m:oMathPara>
        <m:oMath>
          <m:sSub>
            <m:sSubPr>
              <m:ctrlPr>
                <w:rPr>
                  <w:rFonts w:ascii="Cambria Math" w:hAnsi="Cambria Math"/>
                </w:rPr>
              </m:ctrlPr>
            </m:sSubPr>
            <m:e>
              <m:r>
                <w:rPr>
                  <w:rFonts w:ascii="Cambria Math" w:hAnsi="Cambria Math"/>
                </w:rPr>
                <m:t>J</m:t>
              </m:r>
            </m:e>
            <m:sub>
              <m:r>
                <w:rPr>
                  <w:rFonts w:ascii="Cambria Math" w:hAnsi="Cambria Math"/>
                </w:rPr>
                <m:t>1</m:t>
              </m:r>
            </m:sub>
          </m:sSub>
          <m:r>
            <w:rPr>
              <w:rFonts w:ascii="Cambria Math" w:hAnsi="Cambria Math"/>
            </w:rPr>
            <m:t>=2</m:t>
          </m:r>
          <m:d>
            <m:dPr>
              <m:begChr m:val="["/>
              <m:endChr m:val="]"/>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r>
                        <w:rPr>
                          <w:rFonts w:ascii="Cambria Math" w:hAnsi="Cambria Math"/>
                        </w:rPr>
                        <m:t>A</m:t>
                      </m:r>
                    </m:e>
                  </m:d>
                </m:e>
                <m:sup>
                  <m:r>
                    <w:rPr>
                      <w:rFonts w:ascii="Cambria Math" w:hAnsi="Cambria Math"/>
                    </w:rPr>
                    <m:t>2</m:t>
                  </m:r>
                </m:sup>
              </m:sSup>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m:t>
                          </m:r>
                        </m:sup>
                      </m:sSup>
                    </m:e>
                  </m:d>
                </m:e>
                <m:sup>
                  <m:r>
                    <w:rPr>
                      <w:rFonts w:ascii="Cambria Math" w:hAnsi="Cambria Math"/>
                    </w:rPr>
                    <m:t>2</m:t>
                  </m:r>
                </m:sup>
              </m:sSup>
            </m:e>
          </m:d>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2</m:t>
              </m:r>
            </m:sub>
          </m:sSub>
          <m:r>
            <w:rPr>
              <w:rFonts w:ascii="Cambria Math" w:hAnsi="Cambria Math"/>
            </w:rPr>
            <m:t>=2</m:t>
          </m:r>
          <m:sSup>
            <m:sSupPr>
              <m:ctrlPr>
                <w:rPr>
                  <w:rFonts w:ascii="Cambria Math" w:hAnsi="Cambria Math"/>
                </w:rPr>
              </m:ctrlPr>
            </m:sSupPr>
            <m:e>
              <m:d>
                <m:dPr>
                  <m:begChr m:val="|"/>
                  <m:endChr m:val="|"/>
                  <m:ctrlPr>
                    <w:rPr>
                      <w:rFonts w:ascii="Cambria Math" w:hAnsi="Cambria Math"/>
                    </w:rPr>
                  </m:ctrlPr>
                </m:dPr>
                <m:e>
                  <m:r>
                    <w:rPr>
                      <w:rFonts w:ascii="Cambria Math" w:hAnsi="Cambria Math"/>
                    </w:rPr>
                    <m:t>B</m:t>
                  </m:r>
                </m:e>
              </m:d>
            </m:e>
            <m:sup>
              <m:r>
                <w:rPr>
                  <w:rFonts w:ascii="Cambria Math" w:hAnsi="Cambria Math"/>
                </w:rPr>
                <m:t>2</m:t>
              </m:r>
            </m:sup>
          </m:sSup>
        </m:oMath>
      </m:oMathPara>
    </w:p>
    <w:p w14:paraId="2E6614DA" w14:textId="3DBE1A00" w:rsidR="00BD3587" w:rsidRPr="00BD3587" w:rsidRDefault="00BD3587" w:rsidP="00BD3587">
      <w:r w:rsidRPr="00BD3587">
        <w:t xml:space="preserve">Les coefficients de transmission et de réflexion </w:t>
      </w:r>
      <w:proofErr w:type="gramStart"/>
      <w:r w:rsidRPr="00BD3587">
        <w:t>sont</w:t>
      </w:r>
      <w:r w:rsidRPr="00BD3587">
        <w:t>:</w:t>
      </w:r>
      <w:proofErr w:type="gramEnd"/>
    </w:p>
    <w:p w14:paraId="1D3ABA6D" w14:textId="273406EB" w:rsidR="00BD3587" w:rsidRPr="00BD3587" w:rsidRDefault="00BD3587" w:rsidP="00BD3587">
      <m:oMathPara>
        <m:oMath>
          <m:r>
            <w:rPr>
              <w:rFonts w:ascii="Cambria Math" w:hAnsi="Cambria Math"/>
            </w:rPr>
            <m:t>R=</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m:t>
                          </m:r>
                        </m:sup>
                      </m:sSup>
                    </m:e>
                  </m:d>
                </m:e>
                <m:sup>
                  <m:r>
                    <w:rPr>
                      <w:rFonts w:ascii="Cambria Math" w:hAnsi="Cambria Math"/>
                    </w:rPr>
                    <m:t>2</m:t>
                  </m:r>
                </m:sup>
              </m:sSup>
            </m:num>
            <m:den>
              <m:sSup>
                <m:sSupPr>
                  <m:ctrlPr>
                    <w:rPr>
                      <w:rFonts w:ascii="Cambria Math" w:hAnsi="Cambria Math"/>
                    </w:rPr>
                  </m:ctrlPr>
                </m:sSupPr>
                <m:e>
                  <m:d>
                    <m:dPr>
                      <m:begChr m:val="|"/>
                      <m:endChr m:val="|"/>
                      <m:ctrlPr>
                        <w:rPr>
                          <w:rFonts w:ascii="Cambria Math" w:hAnsi="Cambria Math"/>
                        </w:rPr>
                      </m:ctrlPr>
                    </m:dPr>
                    <m:e>
                      <m:r>
                        <w:rPr>
                          <w:rFonts w:ascii="Cambria Math" w:hAnsi="Cambria Math"/>
                        </w:rPr>
                        <m:t>A</m:t>
                      </m:r>
                    </m:e>
                  </m:d>
                </m:e>
                <m:sup>
                  <m:r>
                    <w:rPr>
                      <w:rFonts w:ascii="Cambria Math" w:hAnsi="Cambria Math"/>
                    </w:rPr>
                    <m:t>2</m:t>
                  </m:r>
                </m:sup>
              </m:sSup>
            </m:den>
          </m:f>
          <m:r>
            <w:rPr>
              <w:rFonts w:ascii="Cambria Math" w:hAnsi="Cambria Math"/>
            </w:rPr>
            <m:t>,T=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rPr>
                        <m:t>B</m:t>
                      </m:r>
                    </m:e>
                  </m:d>
                </m:e>
                <m:sup>
                  <m:r>
                    <w:rPr>
                      <w:rFonts w:ascii="Cambria Math" w:hAnsi="Cambria Math"/>
                    </w:rPr>
                    <m:t>2</m:t>
                  </m:r>
                </m:sup>
              </m:sSup>
            </m:num>
            <m:den>
              <m:sSup>
                <m:sSupPr>
                  <m:ctrlPr>
                    <w:rPr>
                      <w:rFonts w:ascii="Cambria Math" w:hAnsi="Cambria Math"/>
                    </w:rPr>
                  </m:ctrlPr>
                </m:sSupPr>
                <m:e>
                  <m:d>
                    <m:dPr>
                      <m:begChr m:val="|"/>
                      <m:endChr m:val="|"/>
                      <m:ctrlPr>
                        <w:rPr>
                          <w:rFonts w:ascii="Cambria Math" w:hAnsi="Cambria Math"/>
                        </w:rPr>
                      </m:ctrlPr>
                    </m:dPr>
                    <m:e>
                      <m:r>
                        <w:rPr>
                          <w:rFonts w:ascii="Cambria Math" w:hAnsi="Cambria Math"/>
                        </w:rPr>
                        <m:t>A</m:t>
                      </m:r>
                    </m:e>
                  </m:d>
                </m:e>
                <m:sup>
                  <m:r>
                    <w:rPr>
                      <w:rFonts w:ascii="Cambria Math" w:hAnsi="Cambria Math"/>
                    </w:rPr>
                    <m:t>2</m:t>
                  </m:r>
                </m:sup>
              </m:sSup>
            </m:den>
          </m:f>
        </m:oMath>
      </m:oMathPara>
    </w:p>
    <w:p w14:paraId="710EA928" w14:textId="3CA3BEF1" w:rsidR="00BD3587" w:rsidRPr="00BD3587" w:rsidRDefault="00BD3587" w:rsidP="00BD3587">
      <w:r w:rsidRPr="00BD3587">
        <w:t xml:space="preserve">La continuité de la fonction d'onde </w:t>
      </w:r>
      <w:proofErr w:type="gramStart"/>
      <w:r w:rsidRPr="00BD3587">
        <w:t>en ,</w:t>
      </w:r>
      <w:proofErr w:type="gramEnd"/>
      <w:r w:rsidRPr="00BD3587">
        <w:t xml:space="preserve"> donne</w:t>
      </w:r>
      <m:oMath>
        <m:r>
          <w:rPr>
            <w:rFonts w:ascii="Cambria Math" w:hAnsi="Cambria Math"/>
          </w:rPr>
          <m:t>x</m:t>
        </m:r>
        <m:r>
          <w:rPr>
            <w:rFonts w:ascii="Cambria Math" w:hAnsi="Cambria Math"/>
          </w:rPr>
          <m:t>=0</m:t>
        </m:r>
      </m:oMath>
      <w:r w:rsidRPr="00BD3587">
        <w:t>:</w:t>
      </w:r>
    </w:p>
    <w:p w14:paraId="5A7C6142" w14:textId="444CFAD9" w:rsidR="00BD3587" w:rsidRPr="00BD3587" w:rsidRDefault="00BD3587" w:rsidP="00BD3587">
      <m:oMathPara>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A</m:t>
                  </m:r>
                </m:e>
              </m:d>
            </m:e>
            <m:sup>
              <m:r>
                <w:rPr>
                  <w:rFonts w:ascii="Cambria Math" w:hAnsi="Cambria Math"/>
                </w:rPr>
                <m:t>2</m:t>
              </m:r>
            </m:sup>
          </m:sSup>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B</m:t>
                  </m:r>
                </m:e>
              </m:d>
            </m:e>
            <m:sup>
              <m:r>
                <w:rPr>
                  <w:rFonts w:ascii="Cambria Math" w:hAnsi="Cambria Math"/>
                </w:rPr>
                <m:t>2</m:t>
              </m:r>
            </m:sup>
          </m:sSup>
        </m:oMath>
      </m:oMathPara>
    </w:p>
    <w:p w14:paraId="70AC1962" w14:textId="584023A2" w:rsidR="00BD3587" w:rsidRPr="00BD3587" w:rsidRDefault="00BD3587" w:rsidP="00BD3587">
      <m:oMathPara>
        <m:oMath>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m:t>
                      </m:r>
                    </m:sup>
                  </m:sSup>
                </m:e>
              </m:d>
            </m:e>
            <m:sup>
              <m:r>
                <w:rPr>
                  <w:rFonts w:ascii="Cambria Math" w:hAnsi="Cambria Math"/>
                </w:rPr>
                <m:t>2</m:t>
              </m:r>
            </m:sup>
          </m:sSup>
          <m:r>
            <w:rPr>
              <w:rFonts w:ascii="Cambria Math" w:hAnsi="Cambria Math"/>
            </w:rPr>
            <m:t>=0</m:t>
          </m:r>
        </m:oMath>
      </m:oMathPara>
    </w:p>
    <w:p w14:paraId="20C47F3C" w14:textId="77777777" w:rsidR="00BD3587" w:rsidRPr="00BD3587" w:rsidRDefault="00BD3587" w:rsidP="00B31D38">
      <w:r w:rsidRPr="00BD3587">
        <w:t>Ainsi, le coefficient de transmission est de 1 et il n'y a pas de réflexion.</w:t>
      </w:r>
    </w:p>
    <w:p w14:paraId="2D51D2B3" w14:textId="77777777" w:rsidR="00BD3587" w:rsidRPr="00BD3587" w:rsidRDefault="00BD3587" w:rsidP="00B31D38">
      <w:r w:rsidRPr="00BD3587">
        <w:t xml:space="preserve">Une interprétation du paradoxe est qu'un pas potentiel ne peut pas inverser la direction de la vitesse de groupe d'une particule relativiste sans masse. Cette explication convient le mieux à la solution à particule unique citée ci-dessus. D'autres interprétations, plus complexes, sont suggérées dans la littérature, dans le contexte de </w:t>
      </w:r>
      <w:hyperlink r:id="rId14" w:tooltip="Quantum field theory" w:history="1">
        <w:r w:rsidRPr="00BD3587">
          <w:t>la théorie quantique des</w:t>
        </w:r>
      </w:hyperlink>
      <w:r w:rsidRPr="00BD3587">
        <w:t xml:space="preserve"> champs, où le </w:t>
      </w:r>
      <w:proofErr w:type="spellStart"/>
      <w:r w:rsidRPr="00BD3587">
        <w:t>tunnellage</w:t>
      </w:r>
      <w:proofErr w:type="spellEnd"/>
      <w:r w:rsidRPr="00BD3587">
        <w:t xml:space="preserve"> non contraint est montré comme se produisant en raison de l'existence de </w:t>
      </w:r>
      <w:hyperlink r:id="rId15" w:tooltip="Pair creation" w:history="1">
        <w:r w:rsidRPr="00BD3587">
          <w:t>paires particule-antiparticule</w:t>
        </w:r>
      </w:hyperlink>
      <w:r w:rsidRPr="00BD3587">
        <w:t xml:space="preserve"> au potentiel.</w:t>
      </w:r>
    </w:p>
    <w:p w14:paraId="4909FE78" w14:textId="77777777" w:rsidR="00BD3587" w:rsidRPr="00BD3587" w:rsidRDefault="00BD3587" w:rsidP="00BD3587"/>
    <w:sectPr w:rsidR="00BD3587" w:rsidRPr="00BD3587">
      <w:headerReference w:type="default" r:id="rId16"/>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A395F" w14:textId="77777777" w:rsidR="000415AD" w:rsidRDefault="000415AD" w:rsidP="00D54EB9">
      <w:pPr>
        <w:spacing w:after="0" w:line="240" w:lineRule="auto"/>
      </w:pPr>
      <w:r>
        <w:separator/>
      </w:r>
    </w:p>
  </w:endnote>
  <w:endnote w:type="continuationSeparator" w:id="0">
    <w:p w14:paraId="47078FF4" w14:textId="77777777" w:rsidR="000415AD" w:rsidRDefault="000415AD"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8E545" w14:textId="77777777" w:rsidR="000415AD" w:rsidRDefault="000415AD" w:rsidP="00D54EB9">
      <w:pPr>
        <w:spacing w:after="0" w:line="240" w:lineRule="auto"/>
      </w:pPr>
      <w:r>
        <w:separator/>
      </w:r>
    </w:p>
  </w:footnote>
  <w:footnote w:type="continuationSeparator" w:id="0">
    <w:p w14:paraId="07F21A75" w14:textId="77777777" w:rsidR="000415AD" w:rsidRDefault="000415AD"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12002A49" w:rsidR="00D54EB9" w:rsidRDefault="00D54EB9">
    <w:pPr>
      <w:pStyle w:val="En-tte"/>
    </w:pPr>
    <w:r>
      <w:t>PHYSIQUE –</w:t>
    </w:r>
    <w:r w:rsidR="00E64510">
      <w:t xml:space="preserve"> </w:t>
    </w:r>
    <w:r w:rsidR="00BD3587" w:rsidRPr="00BD3587">
      <w:t>Paradoxe de Klein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354"/>
    <w:multiLevelType w:val="multilevel"/>
    <w:tmpl w:val="3C2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72062"/>
    <w:multiLevelType w:val="multilevel"/>
    <w:tmpl w:val="2098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41A54"/>
    <w:multiLevelType w:val="multilevel"/>
    <w:tmpl w:val="9F4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5AD6591"/>
    <w:multiLevelType w:val="multilevel"/>
    <w:tmpl w:val="5DB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840D77"/>
    <w:multiLevelType w:val="multilevel"/>
    <w:tmpl w:val="5BEE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4F0DAF"/>
    <w:multiLevelType w:val="multilevel"/>
    <w:tmpl w:val="4412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000EDB"/>
    <w:multiLevelType w:val="multilevel"/>
    <w:tmpl w:val="47EA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F60F0"/>
    <w:multiLevelType w:val="multilevel"/>
    <w:tmpl w:val="27F2C7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FD5347"/>
    <w:multiLevelType w:val="multilevel"/>
    <w:tmpl w:val="05D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039F3"/>
    <w:multiLevelType w:val="multilevel"/>
    <w:tmpl w:val="CF9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AE0CAE"/>
    <w:multiLevelType w:val="multilevel"/>
    <w:tmpl w:val="21BC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6AB599E"/>
    <w:multiLevelType w:val="multilevel"/>
    <w:tmpl w:val="9F30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EF69B2"/>
    <w:multiLevelType w:val="multilevel"/>
    <w:tmpl w:val="454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F715D8"/>
    <w:multiLevelType w:val="multilevel"/>
    <w:tmpl w:val="582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B56655"/>
    <w:multiLevelType w:val="multilevel"/>
    <w:tmpl w:val="284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5D11F5"/>
    <w:multiLevelType w:val="multilevel"/>
    <w:tmpl w:val="324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4" w15:restartNumberingAfterBreak="0">
    <w:nsid w:val="2888154E"/>
    <w:multiLevelType w:val="multilevel"/>
    <w:tmpl w:val="208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696E06"/>
    <w:multiLevelType w:val="multilevel"/>
    <w:tmpl w:val="5D2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724F3A"/>
    <w:multiLevelType w:val="multilevel"/>
    <w:tmpl w:val="439A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036978"/>
    <w:multiLevelType w:val="multilevel"/>
    <w:tmpl w:val="BA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24E0693"/>
    <w:multiLevelType w:val="multilevel"/>
    <w:tmpl w:val="AE7C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2B17B40"/>
    <w:multiLevelType w:val="multilevel"/>
    <w:tmpl w:val="1910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65754B0"/>
    <w:multiLevelType w:val="multilevel"/>
    <w:tmpl w:val="43380D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68E274D"/>
    <w:multiLevelType w:val="multilevel"/>
    <w:tmpl w:val="0224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467AA7"/>
    <w:multiLevelType w:val="multilevel"/>
    <w:tmpl w:val="4AB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9814480"/>
    <w:multiLevelType w:val="multilevel"/>
    <w:tmpl w:val="5A34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C3D26DF"/>
    <w:multiLevelType w:val="multilevel"/>
    <w:tmpl w:val="CEDEA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3479D8"/>
    <w:multiLevelType w:val="multilevel"/>
    <w:tmpl w:val="628A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3FA84E57"/>
    <w:multiLevelType w:val="multilevel"/>
    <w:tmpl w:val="3150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44385397"/>
    <w:multiLevelType w:val="multilevel"/>
    <w:tmpl w:val="3A9E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5517682"/>
    <w:multiLevelType w:val="multilevel"/>
    <w:tmpl w:val="323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25094E"/>
    <w:multiLevelType w:val="multilevel"/>
    <w:tmpl w:val="5D2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79618CA"/>
    <w:multiLevelType w:val="multilevel"/>
    <w:tmpl w:val="6FDCB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AD4950"/>
    <w:multiLevelType w:val="multilevel"/>
    <w:tmpl w:val="6E0C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4DAB67C6"/>
    <w:multiLevelType w:val="hybridMultilevel"/>
    <w:tmpl w:val="EB5E1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4E1C4B7C"/>
    <w:multiLevelType w:val="multilevel"/>
    <w:tmpl w:val="2F5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FE124E1"/>
    <w:multiLevelType w:val="multilevel"/>
    <w:tmpl w:val="1A7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5A36C2"/>
    <w:multiLevelType w:val="multilevel"/>
    <w:tmpl w:val="FCF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9554EC7"/>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DA3720A"/>
    <w:multiLevelType w:val="multilevel"/>
    <w:tmpl w:val="89D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DA3366"/>
    <w:multiLevelType w:val="multilevel"/>
    <w:tmpl w:val="0CC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65CF7F3D"/>
    <w:multiLevelType w:val="multilevel"/>
    <w:tmpl w:val="1F5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64B2050"/>
    <w:multiLevelType w:val="multilevel"/>
    <w:tmpl w:val="ACF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65508A4"/>
    <w:multiLevelType w:val="multilevel"/>
    <w:tmpl w:val="464A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97A4D57"/>
    <w:multiLevelType w:val="multilevel"/>
    <w:tmpl w:val="745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9E9591F"/>
    <w:multiLevelType w:val="multilevel"/>
    <w:tmpl w:val="911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2A54BF"/>
    <w:multiLevelType w:val="multilevel"/>
    <w:tmpl w:val="D81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E9B6E0D"/>
    <w:multiLevelType w:val="multilevel"/>
    <w:tmpl w:val="8A0E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1558C5"/>
    <w:multiLevelType w:val="multilevel"/>
    <w:tmpl w:val="93B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04A0EC7"/>
    <w:multiLevelType w:val="multilevel"/>
    <w:tmpl w:val="50C2A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772C54"/>
    <w:multiLevelType w:val="multilevel"/>
    <w:tmpl w:val="94B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07333E"/>
    <w:multiLevelType w:val="multilevel"/>
    <w:tmpl w:val="1B8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79143441"/>
    <w:multiLevelType w:val="multilevel"/>
    <w:tmpl w:val="C73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4"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7FEE1296"/>
    <w:multiLevelType w:val="hybridMultilevel"/>
    <w:tmpl w:val="5BB81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35"/>
  </w:num>
  <w:num w:numId="2" w16cid:durableId="985860346">
    <w:abstractNumId w:val="43"/>
  </w:num>
  <w:num w:numId="3" w16cid:durableId="196166302">
    <w:abstractNumId w:val="59"/>
  </w:num>
  <w:num w:numId="4" w16cid:durableId="85611783">
    <w:abstractNumId w:val="41"/>
  </w:num>
  <w:num w:numId="5" w16cid:durableId="1764495135">
    <w:abstractNumId w:val="51"/>
  </w:num>
  <w:num w:numId="6" w16cid:durableId="9337082">
    <w:abstractNumId w:val="78"/>
  </w:num>
  <w:num w:numId="7" w16cid:durableId="1363626625">
    <w:abstractNumId w:val="3"/>
  </w:num>
  <w:num w:numId="8" w16cid:durableId="78605320">
    <w:abstractNumId w:val="15"/>
  </w:num>
  <w:num w:numId="9" w16cid:durableId="1745495026">
    <w:abstractNumId w:val="32"/>
  </w:num>
  <w:num w:numId="10" w16cid:durableId="1290820955">
    <w:abstractNumId w:val="30"/>
  </w:num>
  <w:num w:numId="11" w16cid:durableId="985741773">
    <w:abstractNumId w:val="23"/>
  </w:num>
  <w:num w:numId="12" w16cid:durableId="157624102">
    <w:abstractNumId w:val="83"/>
  </w:num>
  <w:num w:numId="13" w16cid:durableId="1794011271">
    <w:abstractNumId w:val="44"/>
  </w:num>
  <w:num w:numId="14" w16cid:durableId="2126852057">
    <w:abstractNumId w:val="63"/>
  </w:num>
  <w:num w:numId="15" w16cid:durableId="1823424295">
    <w:abstractNumId w:val="77"/>
  </w:num>
  <w:num w:numId="16" w16cid:durableId="928343046">
    <w:abstractNumId w:val="81"/>
  </w:num>
  <w:num w:numId="17" w16cid:durableId="67197130">
    <w:abstractNumId w:val="85"/>
  </w:num>
  <w:num w:numId="18" w16cid:durableId="51733916">
    <w:abstractNumId w:val="53"/>
  </w:num>
  <w:num w:numId="19" w16cid:durableId="1633438650">
    <w:abstractNumId w:val="67"/>
  </w:num>
  <w:num w:numId="20" w16cid:durableId="1157109359">
    <w:abstractNumId w:val="68"/>
  </w:num>
  <w:num w:numId="21" w16cid:durableId="1604875568">
    <w:abstractNumId w:val="5"/>
  </w:num>
  <w:num w:numId="22" w16cid:durableId="1840459850">
    <w:abstractNumId w:val="39"/>
  </w:num>
  <w:num w:numId="23" w16cid:durableId="1803888255">
    <w:abstractNumId w:val="56"/>
  </w:num>
  <w:num w:numId="24" w16cid:durableId="1998876001">
    <w:abstractNumId w:val="12"/>
  </w:num>
  <w:num w:numId="25" w16cid:durableId="466240926">
    <w:abstractNumId w:val="73"/>
  </w:num>
  <w:num w:numId="26" w16cid:durableId="1032612191">
    <w:abstractNumId w:val="79"/>
  </w:num>
  <w:num w:numId="27" w16cid:durableId="2059477957">
    <w:abstractNumId w:val="26"/>
  </w:num>
  <w:num w:numId="28" w16cid:durableId="60102640">
    <w:abstractNumId w:val="4"/>
  </w:num>
  <w:num w:numId="29" w16cid:durableId="2043286050">
    <w:abstractNumId w:val="84"/>
  </w:num>
  <w:num w:numId="30" w16cid:durableId="876817421">
    <w:abstractNumId w:val="20"/>
  </w:num>
  <w:num w:numId="31" w16cid:durableId="1191183674">
    <w:abstractNumId w:val="60"/>
  </w:num>
  <w:num w:numId="32" w16cid:durableId="1457868945">
    <w:abstractNumId w:val="19"/>
  </w:num>
  <w:num w:numId="33" w16cid:durableId="830872827">
    <w:abstractNumId w:val="48"/>
  </w:num>
  <w:num w:numId="34" w16cid:durableId="1402214887">
    <w:abstractNumId w:val="57"/>
  </w:num>
  <w:num w:numId="35" w16cid:durableId="804467890">
    <w:abstractNumId w:val="55"/>
  </w:num>
  <w:num w:numId="36" w16cid:durableId="531307307">
    <w:abstractNumId w:val="58"/>
  </w:num>
  <w:num w:numId="37" w16cid:durableId="1335260250">
    <w:abstractNumId w:val="74"/>
  </w:num>
  <w:num w:numId="38" w16cid:durableId="1648129253">
    <w:abstractNumId w:val="52"/>
  </w:num>
  <w:num w:numId="39" w16cid:durableId="808477923">
    <w:abstractNumId w:val="76"/>
  </w:num>
  <w:num w:numId="40" w16cid:durableId="313603430">
    <w:abstractNumId w:val="13"/>
  </w:num>
  <w:num w:numId="41" w16cid:durableId="832066700">
    <w:abstractNumId w:val="25"/>
  </w:num>
  <w:num w:numId="42" w16cid:durableId="222176590">
    <w:abstractNumId w:val="28"/>
  </w:num>
  <w:num w:numId="43" w16cid:durableId="1802648874">
    <w:abstractNumId w:val="80"/>
  </w:num>
  <w:num w:numId="44" w16cid:durableId="445126056">
    <w:abstractNumId w:val="86"/>
  </w:num>
  <w:num w:numId="45" w16cid:durableId="146552461">
    <w:abstractNumId w:val="21"/>
  </w:num>
  <w:num w:numId="46" w16cid:durableId="692920360">
    <w:abstractNumId w:val="6"/>
  </w:num>
  <w:num w:numId="47" w16cid:durableId="356856055">
    <w:abstractNumId w:val="38"/>
  </w:num>
  <w:num w:numId="48" w16cid:durableId="597755524">
    <w:abstractNumId w:val="71"/>
  </w:num>
  <w:num w:numId="49" w16cid:durableId="1096709593">
    <w:abstractNumId w:val="24"/>
  </w:num>
  <w:num w:numId="50" w16cid:durableId="1169979567">
    <w:abstractNumId w:val="65"/>
  </w:num>
  <w:num w:numId="51" w16cid:durableId="1886015818">
    <w:abstractNumId w:val="0"/>
  </w:num>
  <w:num w:numId="52" w16cid:durableId="107546424">
    <w:abstractNumId w:val="8"/>
  </w:num>
  <w:num w:numId="53" w16cid:durableId="223613737">
    <w:abstractNumId w:val="22"/>
  </w:num>
  <w:num w:numId="54" w16cid:durableId="1084836597">
    <w:abstractNumId w:val="47"/>
  </w:num>
  <w:num w:numId="55" w16cid:durableId="717434181">
    <w:abstractNumId w:val="62"/>
  </w:num>
  <w:num w:numId="56" w16cid:durableId="1677535290">
    <w:abstractNumId w:val="82"/>
  </w:num>
  <w:num w:numId="57" w16cid:durableId="334190522">
    <w:abstractNumId w:val="69"/>
  </w:num>
  <w:num w:numId="58" w16cid:durableId="1029602556">
    <w:abstractNumId w:val="54"/>
  </w:num>
  <w:num w:numId="59" w16cid:durableId="196553088">
    <w:abstractNumId w:val="36"/>
  </w:num>
  <w:num w:numId="60" w16cid:durableId="624122783">
    <w:abstractNumId w:val="75"/>
  </w:num>
  <w:num w:numId="61" w16cid:durableId="1168592437">
    <w:abstractNumId w:val="61"/>
  </w:num>
  <w:num w:numId="62" w16cid:durableId="1951012609">
    <w:abstractNumId w:val="1"/>
  </w:num>
  <w:num w:numId="63" w16cid:durableId="1223298642">
    <w:abstractNumId w:val="46"/>
  </w:num>
  <w:num w:numId="64" w16cid:durableId="726612268">
    <w:abstractNumId w:val="9"/>
  </w:num>
  <w:num w:numId="65" w16cid:durableId="136144830">
    <w:abstractNumId w:val="11"/>
  </w:num>
  <w:num w:numId="66" w16cid:durableId="870999469">
    <w:abstractNumId w:val="27"/>
  </w:num>
  <w:num w:numId="67" w16cid:durableId="234780024">
    <w:abstractNumId w:val="70"/>
  </w:num>
  <w:num w:numId="68" w16cid:durableId="754713752">
    <w:abstractNumId w:val="42"/>
  </w:num>
  <w:num w:numId="69" w16cid:durableId="1079868246">
    <w:abstractNumId w:val="64"/>
  </w:num>
  <w:num w:numId="70" w16cid:durableId="1964185914">
    <w:abstractNumId w:val="18"/>
  </w:num>
  <w:num w:numId="71" w16cid:durableId="1694652878">
    <w:abstractNumId w:val="17"/>
  </w:num>
  <w:num w:numId="72" w16cid:durableId="1950771740">
    <w:abstractNumId w:val="66"/>
  </w:num>
  <w:num w:numId="73" w16cid:durableId="1305771121">
    <w:abstractNumId w:val="45"/>
  </w:num>
  <w:num w:numId="74" w16cid:durableId="1176961578">
    <w:abstractNumId w:val="40"/>
  </w:num>
  <w:num w:numId="75" w16cid:durableId="1022168909">
    <w:abstractNumId w:val="34"/>
  </w:num>
  <w:num w:numId="76" w16cid:durableId="2136017881">
    <w:abstractNumId w:val="29"/>
  </w:num>
  <w:num w:numId="77" w16cid:durableId="476924089">
    <w:abstractNumId w:val="2"/>
  </w:num>
  <w:num w:numId="78" w16cid:durableId="2071807859">
    <w:abstractNumId w:val="16"/>
  </w:num>
  <w:num w:numId="79" w16cid:durableId="302122009">
    <w:abstractNumId w:val="49"/>
  </w:num>
  <w:num w:numId="80" w16cid:durableId="1199589216">
    <w:abstractNumId w:val="14"/>
  </w:num>
  <w:num w:numId="81" w16cid:durableId="1573461965">
    <w:abstractNumId w:val="37"/>
  </w:num>
  <w:num w:numId="82" w16cid:durableId="273170455">
    <w:abstractNumId w:val="31"/>
  </w:num>
  <w:num w:numId="83" w16cid:durableId="749930410">
    <w:abstractNumId w:val="50"/>
  </w:num>
  <w:num w:numId="84" w16cid:durableId="594948459">
    <w:abstractNumId w:val="10"/>
  </w:num>
  <w:num w:numId="85" w16cid:durableId="1814329992">
    <w:abstractNumId w:val="7"/>
  </w:num>
  <w:num w:numId="86" w16cid:durableId="1964460939">
    <w:abstractNumId w:val="33"/>
  </w:num>
  <w:num w:numId="87" w16cid:durableId="1294939964">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06CEF"/>
    <w:rsid w:val="00014546"/>
    <w:rsid w:val="00023DA7"/>
    <w:rsid w:val="00026B74"/>
    <w:rsid w:val="000415AD"/>
    <w:rsid w:val="000B35BC"/>
    <w:rsid w:val="000C3D6C"/>
    <w:rsid w:val="000E0F94"/>
    <w:rsid w:val="00110F1E"/>
    <w:rsid w:val="001166E0"/>
    <w:rsid w:val="00123C4A"/>
    <w:rsid w:val="001305B5"/>
    <w:rsid w:val="00160823"/>
    <w:rsid w:val="00161EF1"/>
    <w:rsid w:val="00173795"/>
    <w:rsid w:val="00184277"/>
    <w:rsid w:val="001867B6"/>
    <w:rsid w:val="001904F9"/>
    <w:rsid w:val="001A1153"/>
    <w:rsid w:val="001B225C"/>
    <w:rsid w:val="001B5761"/>
    <w:rsid w:val="001D443E"/>
    <w:rsid w:val="00207B1E"/>
    <w:rsid w:val="00216767"/>
    <w:rsid w:val="00231E9D"/>
    <w:rsid w:val="0023360B"/>
    <w:rsid w:val="00256BEA"/>
    <w:rsid w:val="0027206F"/>
    <w:rsid w:val="00287E5B"/>
    <w:rsid w:val="00296956"/>
    <w:rsid w:val="002E2954"/>
    <w:rsid w:val="002E3539"/>
    <w:rsid w:val="00305670"/>
    <w:rsid w:val="00326B0B"/>
    <w:rsid w:val="003500F6"/>
    <w:rsid w:val="003534BB"/>
    <w:rsid w:val="00354D3B"/>
    <w:rsid w:val="00361D9F"/>
    <w:rsid w:val="00363932"/>
    <w:rsid w:val="00371451"/>
    <w:rsid w:val="00372046"/>
    <w:rsid w:val="00377445"/>
    <w:rsid w:val="00391031"/>
    <w:rsid w:val="00392085"/>
    <w:rsid w:val="00393BBC"/>
    <w:rsid w:val="003B22A5"/>
    <w:rsid w:val="00400244"/>
    <w:rsid w:val="0040036F"/>
    <w:rsid w:val="0043081B"/>
    <w:rsid w:val="004326FA"/>
    <w:rsid w:val="00435AEE"/>
    <w:rsid w:val="00466571"/>
    <w:rsid w:val="004A4CE2"/>
    <w:rsid w:val="00521C27"/>
    <w:rsid w:val="00536250"/>
    <w:rsid w:val="005364F4"/>
    <w:rsid w:val="00552CCB"/>
    <w:rsid w:val="0058124D"/>
    <w:rsid w:val="005954CB"/>
    <w:rsid w:val="005974A9"/>
    <w:rsid w:val="00597966"/>
    <w:rsid w:val="005A698F"/>
    <w:rsid w:val="005B3A85"/>
    <w:rsid w:val="005D56CA"/>
    <w:rsid w:val="005F30C5"/>
    <w:rsid w:val="00620E07"/>
    <w:rsid w:val="006211F9"/>
    <w:rsid w:val="006269C7"/>
    <w:rsid w:val="00633CBB"/>
    <w:rsid w:val="00634B4A"/>
    <w:rsid w:val="0063560C"/>
    <w:rsid w:val="0064590E"/>
    <w:rsid w:val="00663AA1"/>
    <w:rsid w:val="00664D86"/>
    <w:rsid w:val="00674DD9"/>
    <w:rsid w:val="006766D4"/>
    <w:rsid w:val="0068768C"/>
    <w:rsid w:val="006A2CD9"/>
    <w:rsid w:val="006A5A09"/>
    <w:rsid w:val="006C63B6"/>
    <w:rsid w:val="006E1F77"/>
    <w:rsid w:val="00705522"/>
    <w:rsid w:val="007401D6"/>
    <w:rsid w:val="00740465"/>
    <w:rsid w:val="0074489B"/>
    <w:rsid w:val="00755A4E"/>
    <w:rsid w:val="007A01AE"/>
    <w:rsid w:val="007B0483"/>
    <w:rsid w:val="007B5992"/>
    <w:rsid w:val="007B7C0A"/>
    <w:rsid w:val="007D3665"/>
    <w:rsid w:val="007D7286"/>
    <w:rsid w:val="007F07CE"/>
    <w:rsid w:val="00802A22"/>
    <w:rsid w:val="0080541C"/>
    <w:rsid w:val="00860933"/>
    <w:rsid w:val="00880AA3"/>
    <w:rsid w:val="008912B7"/>
    <w:rsid w:val="008A7632"/>
    <w:rsid w:val="008C1C67"/>
    <w:rsid w:val="00900C0A"/>
    <w:rsid w:val="00913D14"/>
    <w:rsid w:val="00927C71"/>
    <w:rsid w:val="00930425"/>
    <w:rsid w:val="00940EDE"/>
    <w:rsid w:val="00975931"/>
    <w:rsid w:val="0099218E"/>
    <w:rsid w:val="009B16DB"/>
    <w:rsid w:val="009C6666"/>
    <w:rsid w:val="009C6EA7"/>
    <w:rsid w:val="009D3220"/>
    <w:rsid w:val="00A30394"/>
    <w:rsid w:val="00A323C4"/>
    <w:rsid w:val="00A52E38"/>
    <w:rsid w:val="00A55D9B"/>
    <w:rsid w:val="00A55F5F"/>
    <w:rsid w:val="00A67375"/>
    <w:rsid w:val="00A75422"/>
    <w:rsid w:val="00AA1169"/>
    <w:rsid w:val="00AB2814"/>
    <w:rsid w:val="00AD116A"/>
    <w:rsid w:val="00B129EF"/>
    <w:rsid w:val="00B130DF"/>
    <w:rsid w:val="00B21333"/>
    <w:rsid w:val="00B303B8"/>
    <w:rsid w:val="00B35ECA"/>
    <w:rsid w:val="00B436E8"/>
    <w:rsid w:val="00B71B6F"/>
    <w:rsid w:val="00B75C04"/>
    <w:rsid w:val="00B8126A"/>
    <w:rsid w:val="00B96FD4"/>
    <w:rsid w:val="00BB135E"/>
    <w:rsid w:val="00BD2261"/>
    <w:rsid w:val="00BD3587"/>
    <w:rsid w:val="00BF3C81"/>
    <w:rsid w:val="00C051D5"/>
    <w:rsid w:val="00C12FFF"/>
    <w:rsid w:val="00C24B17"/>
    <w:rsid w:val="00C2762C"/>
    <w:rsid w:val="00C54A6A"/>
    <w:rsid w:val="00C570D7"/>
    <w:rsid w:val="00C72B4C"/>
    <w:rsid w:val="00C76D87"/>
    <w:rsid w:val="00C90B8E"/>
    <w:rsid w:val="00CF40B0"/>
    <w:rsid w:val="00CF48DF"/>
    <w:rsid w:val="00CF6EFC"/>
    <w:rsid w:val="00D04A84"/>
    <w:rsid w:val="00D12575"/>
    <w:rsid w:val="00D14313"/>
    <w:rsid w:val="00D35456"/>
    <w:rsid w:val="00D36463"/>
    <w:rsid w:val="00D44A07"/>
    <w:rsid w:val="00D45960"/>
    <w:rsid w:val="00D52834"/>
    <w:rsid w:val="00D54EB9"/>
    <w:rsid w:val="00D57D98"/>
    <w:rsid w:val="00D625DC"/>
    <w:rsid w:val="00D71C3B"/>
    <w:rsid w:val="00D95E5B"/>
    <w:rsid w:val="00DA7944"/>
    <w:rsid w:val="00DC3C9B"/>
    <w:rsid w:val="00E42C0D"/>
    <w:rsid w:val="00E51EDC"/>
    <w:rsid w:val="00E56699"/>
    <w:rsid w:val="00E64510"/>
    <w:rsid w:val="00E81853"/>
    <w:rsid w:val="00EB7A23"/>
    <w:rsid w:val="00EC1105"/>
    <w:rsid w:val="00EE277C"/>
    <w:rsid w:val="00F01A98"/>
    <w:rsid w:val="00F4078C"/>
    <w:rsid w:val="00F51F51"/>
    <w:rsid w:val="00F5798F"/>
    <w:rsid w:val="00F762DB"/>
    <w:rsid w:val="00F76956"/>
    <w:rsid w:val="00F90671"/>
    <w:rsid w:val="00F92723"/>
    <w:rsid w:val="00FD7A27"/>
    <w:rsid w:val="00FE16A4"/>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5F30C5"/>
    <w:pPr>
      <w:keepNext/>
      <w:keepLines/>
      <w:spacing w:before="40" w:after="0"/>
      <w:outlineLvl w:val="1"/>
    </w:pPr>
    <w:rPr>
      <w:rFonts w:asciiTheme="majorHAnsi" w:eastAsiaTheme="majorEastAsia" w:hAnsiTheme="majorHAnsi" w:cstheme="majorBidi"/>
      <w:b/>
      <w:color w:val="2F5496" w:themeColor="accent1" w:themeShade="BF"/>
      <w:sz w:val="28"/>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818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5F30C5"/>
    <w:rPr>
      <w:rFonts w:asciiTheme="majorHAnsi" w:eastAsiaTheme="majorEastAsia" w:hAnsiTheme="majorHAnsi" w:cstheme="majorBidi"/>
      <w:b/>
      <w:color w:val="2F5496" w:themeColor="accent1" w:themeShade="BF"/>
      <w:sz w:val="28"/>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 w:type="character" w:customStyle="1" w:styleId="Titre4Car">
    <w:name w:val="Titre 4 Car"/>
    <w:basedOn w:val="Policepardfaut"/>
    <w:link w:val="Titre4"/>
    <w:uiPriority w:val="9"/>
    <w:rsid w:val="00E81853"/>
    <w:rPr>
      <w:rFonts w:asciiTheme="majorHAnsi" w:eastAsiaTheme="majorEastAsia" w:hAnsiTheme="majorHAnsi" w:cstheme="majorBidi"/>
      <w:i/>
      <w:iCs/>
      <w:color w:val="2F5496" w:themeColor="accent1" w:themeShade="BF"/>
    </w:rPr>
  </w:style>
  <w:style w:type="paragraph" w:styleId="Lgende">
    <w:name w:val="caption"/>
    <w:basedOn w:val="Normal"/>
    <w:next w:val="Normal"/>
    <w:uiPriority w:val="35"/>
    <w:unhideWhenUsed/>
    <w:qFormat/>
    <w:rsid w:val="00DA7944"/>
    <w:pPr>
      <w:spacing w:after="200" w:line="240" w:lineRule="auto"/>
    </w:pPr>
    <w:rPr>
      <w:i/>
      <w:iCs/>
      <w:color w:val="44546A" w:themeColor="text2"/>
      <w:sz w:val="18"/>
      <w:szCs w:val="18"/>
    </w:rPr>
  </w:style>
  <w:style w:type="character" w:styleId="Textedelespacerserv">
    <w:name w:val="Placeholder Text"/>
    <w:basedOn w:val="Policepardfaut"/>
    <w:uiPriority w:val="99"/>
    <w:semiHidden/>
    <w:rsid w:val="007401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Probability_amplitud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File:Step1.png" TargetMode="Externa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File:Dispersion1.png" TargetMode="External"/><Relationship Id="rId5" Type="http://schemas.openxmlformats.org/officeDocument/2006/relationships/footnotes" Target="footnotes.xml"/><Relationship Id="rId15" Type="http://schemas.openxmlformats.org/officeDocument/2006/relationships/hyperlink" Target="https://en.wikipedia.org/wiki/Pair_creation" TargetMode="External"/><Relationship Id="rId10" Type="http://schemas.openxmlformats.org/officeDocument/2006/relationships/hyperlink" Target="https://en.wikipedia.org/wiki/Pauli_matrix"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Dirac_equation" TargetMode="External"/><Relationship Id="rId14" Type="http://schemas.openxmlformats.org/officeDocument/2006/relationships/hyperlink" Target="https://en.wikipedia.org/wiki/Quantum_field_theory"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TotalTime>
  <Pages>5</Pages>
  <Words>1651</Words>
  <Characters>9081</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82</cp:revision>
  <dcterms:created xsi:type="dcterms:W3CDTF">2022-12-23T07:20:00Z</dcterms:created>
  <dcterms:modified xsi:type="dcterms:W3CDTF">2026-01-24T15:35:00Z</dcterms:modified>
</cp:coreProperties>
</file>