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1959B" w14:textId="503EE318" w:rsidR="003B22A5" w:rsidRDefault="00DB0D77" w:rsidP="00D078BD">
      <w:pPr>
        <w:pStyle w:val="Titre"/>
        <w:rPr>
          <w:b/>
          <w:bCs/>
        </w:rPr>
      </w:pPr>
      <w:r w:rsidRPr="00DB0D77">
        <w:rPr>
          <w:b/>
          <w:bCs/>
        </w:rPr>
        <w:t>Propagation ionosphérique</w:t>
      </w:r>
    </w:p>
    <w:sdt>
      <w:sdtPr>
        <w:id w:val="110076325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1F75C879" w14:textId="1029F226" w:rsidR="004C737C" w:rsidRDefault="004C737C">
          <w:pPr>
            <w:pStyle w:val="En-ttedetabledesmatires"/>
          </w:pPr>
          <w:r>
            <w:t>Table des matières</w:t>
          </w:r>
        </w:p>
        <w:p w14:paraId="73C1C6DA" w14:textId="5678DDDA" w:rsidR="004C737C" w:rsidRDefault="004C737C">
          <w:pPr>
            <w:pStyle w:val="TM1"/>
            <w:tabs>
              <w:tab w:val="right" w:leader="dot" w:pos="9062"/>
            </w:tabs>
            <w:rPr>
              <w:noProof/>
            </w:rPr>
          </w:pPr>
          <w:r>
            <w:fldChar w:fldCharType="begin"/>
          </w:r>
          <w:r>
            <w:instrText xml:space="preserve"> TOC \o "1-3" \h \z \u </w:instrText>
          </w:r>
          <w:r>
            <w:fldChar w:fldCharType="separate"/>
          </w:r>
          <w:hyperlink w:anchor="_Toc133070533" w:history="1">
            <w:r w:rsidRPr="00A73131">
              <w:rPr>
                <w:rStyle w:val="Lienhypertexte"/>
                <w:b/>
                <w:bCs/>
                <w:noProof/>
              </w:rPr>
              <w:t>Introduction</w:t>
            </w:r>
            <w:r>
              <w:rPr>
                <w:noProof/>
                <w:webHidden/>
              </w:rPr>
              <w:tab/>
            </w:r>
            <w:r>
              <w:rPr>
                <w:noProof/>
                <w:webHidden/>
              </w:rPr>
              <w:fldChar w:fldCharType="begin"/>
            </w:r>
            <w:r>
              <w:rPr>
                <w:noProof/>
                <w:webHidden/>
              </w:rPr>
              <w:instrText xml:space="preserve"> PAGEREF _Toc133070533 \h </w:instrText>
            </w:r>
            <w:r>
              <w:rPr>
                <w:noProof/>
                <w:webHidden/>
              </w:rPr>
            </w:r>
            <w:r>
              <w:rPr>
                <w:noProof/>
                <w:webHidden/>
              </w:rPr>
              <w:fldChar w:fldCharType="separate"/>
            </w:r>
            <w:r>
              <w:rPr>
                <w:noProof/>
                <w:webHidden/>
              </w:rPr>
              <w:t>1</w:t>
            </w:r>
            <w:r>
              <w:rPr>
                <w:noProof/>
                <w:webHidden/>
              </w:rPr>
              <w:fldChar w:fldCharType="end"/>
            </w:r>
          </w:hyperlink>
        </w:p>
        <w:p w14:paraId="6BF6969F" w14:textId="31D6D79F" w:rsidR="004C737C" w:rsidRDefault="004C737C">
          <w:pPr>
            <w:pStyle w:val="TM1"/>
            <w:tabs>
              <w:tab w:val="right" w:leader="dot" w:pos="9062"/>
            </w:tabs>
            <w:rPr>
              <w:noProof/>
            </w:rPr>
          </w:pPr>
          <w:hyperlink w:anchor="_Toc133070534" w:history="1">
            <w:r w:rsidRPr="00A73131">
              <w:rPr>
                <w:rStyle w:val="Lienhypertexte"/>
                <w:b/>
                <w:bCs/>
                <w:noProof/>
              </w:rPr>
              <w:t>Ionosphère</w:t>
            </w:r>
            <w:r>
              <w:rPr>
                <w:noProof/>
                <w:webHidden/>
              </w:rPr>
              <w:tab/>
            </w:r>
            <w:r>
              <w:rPr>
                <w:noProof/>
                <w:webHidden/>
              </w:rPr>
              <w:fldChar w:fldCharType="begin"/>
            </w:r>
            <w:r>
              <w:rPr>
                <w:noProof/>
                <w:webHidden/>
              </w:rPr>
              <w:instrText xml:space="preserve"> PAGEREF _Toc133070534 \h </w:instrText>
            </w:r>
            <w:r>
              <w:rPr>
                <w:noProof/>
                <w:webHidden/>
              </w:rPr>
            </w:r>
            <w:r>
              <w:rPr>
                <w:noProof/>
                <w:webHidden/>
              </w:rPr>
              <w:fldChar w:fldCharType="separate"/>
            </w:r>
            <w:r>
              <w:rPr>
                <w:noProof/>
                <w:webHidden/>
              </w:rPr>
              <w:t>1</w:t>
            </w:r>
            <w:r>
              <w:rPr>
                <w:noProof/>
                <w:webHidden/>
              </w:rPr>
              <w:fldChar w:fldCharType="end"/>
            </w:r>
          </w:hyperlink>
        </w:p>
        <w:p w14:paraId="04989B42" w14:textId="1A1AC5FB" w:rsidR="004C737C" w:rsidRDefault="004C737C">
          <w:r>
            <w:rPr>
              <w:b/>
              <w:bCs/>
            </w:rPr>
            <w:fldChar w:fldCharType="end"/>
          </w:r>
        </w:p>
      </w:sdtContent>
    </w:sdt>
    <w:p w14:paraId="179AE43E" w14:textId="2C32CDCE" w:rsidR="00DB0D77" w:rsidRDefault="00DB0D77" w:rsidP="00DB0D77"/>
    <w:p w14:paraId="340E22EA" w14:textId="3E3745A3" w:rsidR="00DB0D77" w:rsidRPr="00DB0D77" w:rsidRDefault="00B514F6" w:rsidP="00DB0D77">
      <w:pPr>
        <w:pStyle w:val="Titre1"/>
        <w:rPr>
          <w:b/>
          <w:bCs/>
        </w:rPr>
      </w:pPr>
      <w:bookmarkStart w:id="0" w:name="_Toc133070533"/>
      <w:r>
        <w:rPr>
          <w:noProof/>
        </w:rPr>
        <w:drawing>
          <wp:anchor distT="0" distB="0" distL="114300" distR="114300" simplePos="0" relativeHeight="251658240" behindDoc="0" locked="0" layoutInCell="1" allowOverlap="1" wp14:anchorId="1D8E3564" wp14:editId="19D088F1">
            <wp:simplePos x="0" y="0"/>
            <wp:positionH relativeFrom="column">
              <wp:posOffset>4288155</wp:posOffset>
            </wp:positionH>
            <wp:positionV relativeFrom="paragraph">
              <wp:posOffset>279400</wp:posOffset>
            </wp:positionV>
            <wp:extent cx="2095500" cy="2082800"/>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0" cy="2082800"/>
                    </a:xfrm>
                    <a:prstGeom prst="rect">
                      <a:avLst/>
                    </a:prstGeom>
                    <a:noFill/>
                    <a:ln>
                      <a:noFill/>
                    </a:ln>
                  </pic:spPr>
                </pic:pic>
              </a:graphicData>
            </a:graphic>
          </wp:anchor>
        </w:drawing>
      </w:r>
      <w:r w:rsidR="00DB0D77" w:rsidRPr="00DB0D77">
        <w:rPr>
          <w:b/>
          <w:bCs/>
        </w:rPr>
        <w:t>Introduction</w:t>
      </w:r>
      <w:bookmarkEnd w:id="0"/>
    </w:p>
    <w:p w14:paraId="6068D23A" w14:textId="0C7676A3" w:rsidR="00B514F6" w:rsidRDefault="00B514F6" w:rsidP="00B514F6">
      <w:pPr>
        <w:pStyle w:val="NormalWeb"/>
        <w:jc w:val="both"/>
      </w:pPr>
      <w:r>
        <w:t xml:space="preserve">On appelle </w:t>
      </w:r>
      <w:r w:rsidRPr="00B514F6">
        <w:t>propagation ionosphérique</w:t>
      </w:r>
      <w:r>
        <w:t xml:space="preserve"> (ou </w:t>
      </w:r>
      <w:r w:rsidRPr="00B514F6">
        <w:t>liaison lointaine par réflexion ionosphérique)</w:t>
      </w:r>
      <w:r>
        <w:t xml:space="preserve"> la propriété des </w:t>
      </w:r>
      <w:r w:rsidRPr="00B514F6">
        <w:t>ondes électromagnétiques</w:t>
      </w:r>
      <w:r>
        <w:t xml:space="preserve"> de parcourir des distances plus grandes que la simple </w:t>
      </w:r>
      <w:r w:rsidRPr="00B514F6">
        <w:t>ligne de vue</w:t>
      </w:r>
      <w:r>
        <w:t xml:space="preserve"> par réflexion sur l’</w:t>
      </w:r>
      <w:r w:rsidRPr="00B514F6">
        <w:t>ionosphère</w:t>
      </w:r>
      <w:r>
        <w:t xml:space="preserve">. Les conditions de la propagation ionosphérique dépendent de plusieurs facteurs tels le </w:t>
      </w:r>
      <w:r w:rsidRPr="00B514F6">
        <w:t>cycle solaire</w:t>
      </w:r>
      <w:r>
        <w:t>, l'</w:t>
      </w:r>
      <w:r w:rsidRPr="00B514F6">
        <w:t>heure</w:t>
      </w:r>
      <w:r>
        <w:t xml:space="preserve"> et les </w:t>
      </w:r>
      <w:r w:rsidRPr="00B514F6">
        <w:t>saisons</w:t>
      </w:r>
      <w:r>
        <w:t xml:space="preserve">. </w:t>
      </w:r>
    </w:p>
    <w:p w14:paraId="3055D9C8" w14:textId="52E5D4A0" w:rsidR="00B514F6" w:rsidRDefault="00B514F6" w:rsidP="00B514F6">
      <w:pPr>
        <w:pStyle w:val="NormalWeb"/>
        <w:jc w:val="both"/>
      </w:pPr>
      <w:r>
        <w:t xml:space="preserve">Puisqu’elle n’est pas limitée par la </w:t>
      </w:r>
      <w:r w:rsidRPr="00B514F6">
        <w:t>courbure de la Terre</w:t>
      </w:r>
      <w:r>
        <w:t xml:space="preserve">, cette propagation peut être utilisée notamment pour </w:t>
      </w:r>
      <w:r w:rsidRPr="00B514F6">
        <w:t>communiquer</w:t>
      </w:r>
      <w:r>
        <w:t xml:space="preserve"> au-delà de l’</w:t>
      </w:r>
      <w:r w:rsidRPr="00B514F6">
        <w:t>horizon</w:t>
      </w:r>
      <w:r>
        <w:t xml:space="preserve">, sur des distances intercontinentales. </w:t>
      </w:r>
    </w:p>
    <w:p w14:paraId="689097E8" w14:textId="7721085E" w:rsidR="00B514F6" w:rsidRDefault="00B514F6" w:rsidP="00B514F6">
      <w:pPr>
        <w:pStyle w:val="NormalWeb"/>
        <w:jc w:val="both"/>
      </w:pPr>
      <w:r>
        <w:t xml:space="preserve">Ce phénomène touche surtout les </w:t>
      </w:r>
      <w:r w:rsidRPr="00B514F6">
        <w:t>ondes courtes</w:t>
      </w:r>
      <w:r>
        <w:t xml:space="preserve">, soit les ondes à </w:t>
      </w:r>
      <w:r w:rsidRPr="00B514F6">
        <w:t>hautes fréquences</w:t>
      </w:r>
      <w:r>
        <w:t xml:space="preserve">. De ce fait, les </w:t>
      </w:r>
      <w:r w:rsidRPr="00B514F6">
        <w:t>ondes</w:t>
      </w:r>
      <w:r>
        <w:t xml:space="preserve"> d'une </w:t>
      </w:r>
      <w:r w:rsidRPr="00B514F6">
        <w:t>station</w:t>
      </w:r>
      <w:r>
        <w:t xml:space="preserve"> lointaine de </w:t>
      </w:r>
      <w:r w:rsidRPr="00B514F6">
        <w:t>radiodiffusion AM</w:t>
      </w:r>
      <w:r>
        <w:t xml:space="preserve"> peuvent être perçues aussi clairement que si la station était rapprochée. Cela peut également se produire avec les </w:t>
      </w:r>
      <w:r w:rsidRPr="00B514F6">
        <w:t>stations de télévision</w:t>
      </w:r>
      <w:r>
        <w:t xml:space="preserve"> à </w:t>
      </w:r>
      <w:r w:rsidRPr="00B514F6">
        <w:t>basses fréquences</w:t>
      </w:r>
      <w:r>
        <w:t xml:space="preserve">, lors de conditions particulières. </w:t>
      </w:r>
    </w:p>
    <w:p w14:paraId="38E585BE" w14:textId="290A1F09" w:rsidR="00D078BD" w:rsidRDefault="0041268E" w:rsidP="00D078BD">
      <w:r>
        <w:rPr>
          <w:noProof/>
        </w:rPr>
        <w:drawing>
          <wp:inline distT="0" distB="0" distL="0" distR="0" wp14:anchorId="56AB8ECB" wp14:editId="7762EC24">
            <wp:extent cx="5760720" cy="271970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719705"/>
                    </a:xfrm>
                    <a:prstGeom prst="rect">
                      <a:avLst/>
                    </a:prstGeom>
                    <a:noFill/>
                    <a:ln>
                      <a:noFill/>
                    </a:ln>
                  </pic:spPr>
                </pic:pic>
              </a:graphicData>
            </a:graphic>
          </wp:inline>
        </w:drawing>
      </w:r>
    </w:p>
    <w:p w14:paraId="6ABA758B" w14:textId="77777777" w:rsidR="0041268E" w:rsidRPr="0041268E" w:rsidRDefault="0041268E" w:rsidP="0041268E">
      <w:pPr>
        <w:pStyle w:val="Titre1"/>
        <w:rPr>
          <w:b/>
          <w:bCs/>
        </w:rPr>
      </w:pPr>
      <w:bookmarkStart w:id="1" w:name="_Toc133070534"/>
      <w:r w:rsidRPr="0041268E">
        <w:rPr>
          <w:rStyle w:val="mw-headline"/>
          <w:b/>
          <w:bCs/>
        </w:rPr>
        <w:lastRenderedPageBreak/>
        <w:t>Ionosphère</w:t>
      </w:r>
      <w:bookmarkEnd w:id="1"/>
    </w:p>
    <w:p w14:paraId="0E3C496A" w14:textId="5AC67DB4" w:rsidR="0041268E" w:rsidRDefault="0041268E" w:rsidP="0041268E">
      <w:pPr>
        <w:pStyle w:val="NormalWeb"/>
        <w:jc w:val="both"/>
      </w:pPr>
      <w:r>
        <w:t>L’</w:t>
      </w:r>
      <w:r w:rsidRPr="0041268E">
        <w:t>ionosphère</w:t>
      </w:r>
      <w:r>
        <w:t xml:space="preserve"> est une région de la haute </w:t>
      </w:r>
      <w:r w:rsidRPr="0041268E">
        <w:t>atmosphère</w:t>
      </w:r>
      <w:r>
        <w:t xml:space="preserve"> (de 60 à 800 km d’altitude) où l’</w:t>
      </w:r>
      <w:r w:rsidRPr="0041268E">
        <w:t>air</w:t>
      </w:r>
      <w:r>
        <w:t xml:space="preserve"> neutre est ionisé par les </w:t>
      </w:r>
      <w:r w:rsidRPr="0041268E">
        <w:t>rayons cosmiques</w:t>
      </w:r>
      <w:r>
        <w:t xml:space="preserve"> et les </w:t>
      </w:r>
      <w:r w:rsidRPr="0041268E">
        <w:t>photons</w:t>
      </w:r>
      <w:r>
        <w:t xml:space="preserve"> </w:t>
      </w:r>
      <w:r w:rsidRPr="0041268E">
        <w:t>solaires</w:t>
      </w:r>
      <w:r>
        <w:t xml:space="preserve">. C'est cette partie de l'atmosphère qui est responsable de la propagation ionosphérique. </w:t>
      </w:r>
    </w:p>
    <w:p w14:paraId="39D91AE9" w14:textId="06D4EEAC" w:rsidR="0041268E" w:rsidRDefault="0041268E" w:rsidP="0041268E">
      <w:pPr>
        <w:pStyle w:val="NormalWeb"/>
        <w:jc w:val="both"/>
      </w:pPr>
      <w:r>
        <w:t>L'</w:t>
      </w:r>
      <w:r w:rsidRPr="0041268E">
        <w:t>ionosphère</w:t>
      </w:r>
      <w:r>
        <w:t xml:space="preserve"> est composée de plusieurs sous-couches identifiées par des lettres de l'</w:t>
      </w:r>
      <w:r w:rsidRPr="0041268E">
        <w:t>alphabet</w:t>
      </w:r>
      <w:r>
        <w:t xml:space="preserve">. Les plus importantes sont les D, E, F1, et F2. Ces deux dernières deviennent une seule, la couche F, pendant la nuit. </w:t>
      </w:r>
    </w:p>
    <w:p w14:paraId="58EA2759" w14:textId="77777777" w:rsidR="0041268E" w:rsidRDefault="0041268E" w:rsidP="0041268E">
      <w:pPr>
        <w:pStyle w:val="NormalWeb"/>
        <w:numPr>
          <w:ilvl w:val="0"/>
          <w:numId w:val="2"/>
        </w:numPr>
        <w:jc w:val="both"/>
      </w:pPr>
      <w:r>
        <w:t xml:space="preserve">La couche D absorbe beaucoup les bandes en dessous de 10 MHz. Elle apparaît à l'aube et disparaît la nuit. Les bandes en dessous de 10 MHz sont appelées </w:t>
      </w:r>
      <w:r w:rsidRPr="0041268E">
        <w:t>bandes de nuit</w:t>
      </w:r>
      <w:r>
        <w:t>, car c'est pendant la nuit, lors de l'absence de la couche D, que les ondes peuvent atteindre la couche F. Son comportement, ou plutôt sa disparition, explique toutes ces stations de radio qui apparaissent la nuit.</w:t>
      </w:r>
    </w:p>
    <w:p w14:paraId="29F45ED8" w14:textId="3EC31F43" w:rsidR="0041268E" w:rsidRDefault="0041268E" w:rsidP="0041268E">
      <w:pPr>
        <w:pStyle w:val="NormalWeb"/>
        <w:numPr>
          <w:ilvl w:val="0"/>
          <w:numId w:val="2"/>
        </w:numPr>
        <w:jc w:val="both"/>
      </w:pPr>
      <w:r>
        <w:t xml:space="preserve">La couche E, instable et erratique, est un excellent réflecteur, mais à cause de son caractère instable, elle ne peut pas être utilisée pour des communications fiables. Elle est responsable de la propagation des bandes hautes et de la </w:t>
      </w:r>
      <w:r w:rsidRPr="0041268E">
        <w:t>VHF</w:t>
      </w:r>
      <w:r>
        <w:t>, dite « </w:t>
      </w:r>
      <w:r w:rsidRPr="0041268E">
        <w:t>propagation sporadique E</w:t>
      </w:r>
      <w:r>
        <w:t> ».</w:t>
      </w:r>
    </w:p>
    <w:p w14:paraId="1EE75252" w14:textId="77777777" w:rsidR="0041268E" w:rsidRDefault="0041268E" w:rsidP="0041268E">
      <w:pPr>
        <w:pStyle w:val="NormalWeb"/>
        <w:numPr>
          <w:ilvl w:val="0"/>
          <w:numId w:val="2"/>
        </w:numPr>
        <w:jc w:val="both"/>
      </w:pPr>
      <w:r>
        <w:t>Les couches F1 et F2, devenues couche F la nuit, sont aussi d'excellents réflecteurs. Elles permettent la réflexion des bandes basses la nuit et des bandes hautes durant le jour.</w:t>
      </w:r>
    </w:p>
    <w:p w14:paraId="04555CC9" w14:textId="77777777" w:rsidR="0041268E" w:rsidRDefault="0041268E" w:rsidP="0041268E">
      <w:pPr>
        <w:pStyle w:val="NormalWeb"/>
        <w:jc w:val="both"/>
      </w:pPr>
    </w:p>
    <w:p w14:paraId="3F034F19" w14:textId="77777777" w:rsidR="00DB0D77" w:rsidRDefault="00DB0D77" w:rsidP="00D078BD"/>
    <w:p w14:paraId="750E0F1A" w14:textId="77777777" w:rsidR="00D078BD" w:rsidRPr="00D078BD" w:rsidRDefault="00D078BD" w:rsidP="00D078BD"/>
    <w:sectPr w:rsidR="00D078BD" w:rsidRPr="00D078BD">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EE21B" w14:textId="77777777" w:rsidR="000D2CC0" w:rsidRDefault="000D2CC0" w:rsidP="00D078BD">
      <w:pPr>
        <w:spacing w:after="0" w:line="240" w:lineRule="auto"/>
      </w:pPr>
      <w:r>
        <w:separator/>
      </w:r>
    </w:p>
  </w:endnote>
  <w:endnote w:type="continuationSeparator" w:id="0">
    <w:p w14:paraId="032AF269" w14:textId="77777777" w:rsidR="000D2CC0" w:rsidRDefault="000D2CC0"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DB5C0C" w14:textId="77777777" w:rsidR="000D2CC0" w:rsidRDefault="000D2CC0" w:rsidP="00D078BD">
      <w:pPr>
        <w:spacing w:after="0" w:line="240" w:lineRule="auto"/>
      </w:pPr>
      <w:r>
        <w:separator/>
      </w:r>
    </w:p>
  </w:footnote>
  <w:footnote w:type="continuationSeparator" w:id="0">
    <w:p w14:paraId="5561D917" w14:textId="77777777" w:rsidR="000D2CC0" w:rsidRDefault="000D2CC0"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54B8B8C1" w:rsidR="00D078BD" w:rsidRDefault="00D078BD">
    <w:pPr>
      <w:pStyle w:val="En-tte"/>
    </w:pPr>
    <w:r>
      <w:t xml:space="preserve">PHYSIQUE – </w:t>
    </w:r>
    <w:r w:rsidR="00DB0D77" w:rsidRPr="00DB0D77">
      <w:t>Propagation ionosphérique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3373A1"/>
    <w:multiLevelType w:val="hybridMultilevel"/>
    <w:tmpl w:val="54F6BC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E6F3DC2"/>
    <w:multiLevelType w:val="multilevel"/>
    <w:tmpl w:val="DE72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492683">
    <w:abstractNumId w:val="1"/>
  </w:num>
  <w:num w:numId="2" w16cid:durableId="1502744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0D2CC0"/>
    <w:rsid w:val="003077A7"/>
    <w:rsid w:val="003B22A5"/>
    <w:rsid w:val="0041268E"/>
    <w:rsid w:val="004455E5"/>
    <w:rsid w:val="004C737C"/>
    <w:rsid w:val="006246EC"/>
    <w:rsid w:val="00975931"/>
    <w:rsid w:val="00B514F6"/>
    <w:rsid w:val="00D078BD"/>
    <w:rsid w:val="00DB0D7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B0D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1268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DB0D77"/>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B514F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B514F6"/>
    <w:rPr>
      <w:color w:val="0000FF"/>
      <w:u w:val="single"/>
    </w:rPr>
  </w:style>
  <w:style w:type="character" w:customStyle="1" w:styleId="indicateur-langue">
    <w:name w:val="indicateur-langue"/>
    <w:basedOn w:val="Policepardfaut"/>
    <w:rsid w:val="00B514F6"/>
  </w:style>
  <w:style w:type="character" w:customStyle="1" w:styleId="Titre3Car">
    <w:name w:val="Titre 3 Car"/>
    <w:basedOn w:val="Policepardfaut"/>
    <w:link w:val="Titre3"/>
    <w:uiPriority w:val="9"/>
    <w:semiHidden/>
    <w:rsid w:val="0041268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41268E"/>
  </w:style>
  <w:style w:type="paragraph" w:styleId="En-ttedetabledesmatires">
    <w:name w:val="TOC Heading"/>
    <w:basedOn w:val="Titre1"/>
    <w:next w:val="Normal"/>
    <w:uiPriority w:val="39"/>
    <w:unhideWhenUsed/>
    <w:qFormat/>
    <w:rsid w:val="004C737C"/>
    <w:pPr>
      <w:outlineLvl w:val="9"/>
    </w:pPr>
    <w:rPr>
      <w:lang w:eastAsia="fr-FR"/>
    </w:rPr>
  </w:style>
  <w:style w:type="paragraph" w:styleId="TM1">
    <w:name w:val="toc 1"/>
    <w:basedOn w:val="Normal"/>
    <w:next w:val="Normal"/>
    <w:autoRedefine/>
    <w:uiPriority w:val="39"/>
    <w:unhideWhenUsed/>
    <w:rsid w:val="004C737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882765">
      <w:bodyDiv w:val="1"/>
      <w:marLeft w:val="0"/>
      <w:marRight w:val="0"/>
      <w:marTop w:val="0"/>
      <w:marBottom w:val="0"/>
      <w:divBdr>
        <w:top w:val="none" w:sz="0" w:space="0" w:color="auto"/>
        <w:left w:val="none" w:sz="0" w:space="0" w:color="auto"/>
        <w:bottom w:val="none" w:sz="0" w:space="0" w:color="auto"/>
        <w:right w:val="none" w:sz="0" w:space="0" w:color="auto"/>
      </w:divBdr>
    </w:div>
    <w:div w:id="728891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375</Words>
  <Characters>2066</Characters>
  <Application>Microsoft Office Word</Application>
  <DocSecurity>0</DocSecurity>
  <Lines>17</Lines>
  <Paragraphs>4</Paragraphs>
  <ScaleCrop>false</ScaleCrop>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6</cp:revision>
  <dcterms:created xsi:type="dcterms:W3CDTF">2022-12-21T14:44:00Z</dcterms:created>
  <dcterms:modified xsi:type="dcterms:W3CDTF">2023-04-22T13:41:00Z</dcterms:modified>
</cp:coreProperties>
</file>