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4C74" w14:textId="591BF703" w:rsidR="003B22A5" w:rsidRDefault="00023DA7" w:rsidP="00D54EB9">
      <w:pPr>
        <w:pStyle w:val="Titre"/>
        <w:rPr>
          <w:b/>
          <w:bCs/>
        </w:rPr>
      </w:pPr>
      <w:r w:rsidRPr="00023DA7">
        <w:rPr>
          <w:b/>
          <w:bCs/>
        </w:rPr>
        <w:t>Quasi-étoile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1B71E55F" w:rsidR="002E3539" w:rsidRDefault="002E3539">
          <w:pPr>
            <w:pStyle w:val="En-ttedetabledesmatires"/>
          </w:pPr>
          <w:r>
            <w:t>Table des matières</w:t>
          </w:r>
        </w:p>
        <w:p w14:paraId="1FDB2A2C" w14:textId="319414AC" w:rsidR="00023DA7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97939" w:history="1">
            <w:r w:rsidR="00023DA7" w:rsidRPr="00740A3F">
              <w:rPr>
                <w:rStyle w:val="Lienhypertexte"/>
                <w:bCs/>
                <w:noProof/>
              </w:rPr>
              <w:t>Introduction</w:t>
            </w:r>
            <w:r w:rsidR="00023DA7">
              <w:rPr>
                <w:noProof/>
                <w:webHidden/>
              </w:rPr>
              <w:tab/>
            </w:r>
            <w:r w:rsidR="00023DA7">
              <w:rPr>
                <w:noProof/>
                <w:webHidden/>
              </w:rPr>
              <w:fldChar w:fldCharType="begin"/>
            </w:r>
            <w:r w:rsidR="00023DA7">
              <w:rPr>
                <w:noProof/>
                <w:webHidden/>
              </w:rPr>
              <w:instrText xml:space="preserve"> PAGEREF _Toc212297939 \h </w:instrText>
            </w:r>
            <w:r w:rsidR="00023DA7">
              <w:rPr>
                <w:noProof/>
                <w:webHidden/>
              </w:rPr>
            </w:r>
            <w:r w:rsidR="00023DA7">
              <w:rPr>
                <w:noProof/>
                <w:webHidden/>
              </w:rPr>
              <w:fldChar w:fldCharType="separate"/>
            </w:r>
            <w:r w:rsidR="00023DA7">
              <w:rPr>
                <w:noProof/>
                <w:webHidden/>
              </w:rPr>
              <w:t>2</w:t>
            </w:r>
            <w:r w:rsidR="00023DA7">
              <w:rPr>
                <w:noProof/>
                <w:webHidden/>
              </w:rPr>
              <w:fldChar w:fldCharType="end"/>
            </w:r>
          </w:hyperlink>
        </w:p>
        <w:p w14:paraId="35ED8E5C" w14:textId="5ECF627F" w:rsidR="00023DA7" w:rsidRDefault="00023DA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297940" w:history="1">
            <w:r w:rsidRPr="00740A3F">
              <w:rPr>
                <w:rStyle w:val="Lienhypertexte"/>
                <w:noProof/>
              </w:rPr>
              <w:t>Caractéristiques physiques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_Toc212297940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37FC" w14:textId="5E51D559" w:rsidR="00023DA7" w:rsidRDefault="00023DA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297941" w:history="1">
            <w:r w:rsidRPr="00740A3F">
              <w:rPr>
                <w:rStyle w:val="Lienhypertexte"/>
                <w:noProof/>
              </w:rPr>
              <w:t>Évolution stellaire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_Toc212297941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FB337" w14:textId="3DD5AD04" w:rsidR="00023DA7" w:rsidRDefault="00023DA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297942" w:history="1">
            <w:r w:rsidRPr="00740A3F">
              <w:rPr>
                <w:rStyle w:val="Lienhypertexte"/>
                <w:noProof/>
              </w:rPr>
              <w:t>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_Toc212297942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AF16A" w14:textId="4B1552C0" w:rsidR="00023DA7" w:rsidRDefault="00023DA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297943" w:history="1">
            <w:r w:rsidRPr="00740A3F">
              <w:rPr>
                <w:rStyle w:val="Lienhypertexte"/>
                <w:noProof/>
              </w:rPr>
              <w:t>Dissolution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_Toc212297943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C3E56" w14:textId="0690D29E" w:rsidR="00023DA7" w:rsidRDefault="00023DA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297944" w:history="1">
            <w:r w:rsidRPr="00740A3F">
              <w:rPr>
                <w:rStyle w:val="Lienhypertexte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_Toc212297944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5383" w14:textId="2D702004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0424D4EA" w14:textId="7D055798" w:rsidR="0063560C" w:rsidRDefault="00D54EB9" w:rsidP="0063560C">
      <w:pPr>
        <w:pStyle w:val="Titre1"/>
        <w:rPr>
          <w:bCs/>
        </w:rPr>
      </w:pPr>
      <w:bookmarkStart w:id="0" w:name="_Toc212297939"/>
      <w:r w:rsidRPr="00D54EB9">
        <w:rPr>
          <w:bCs/>
        </w:rPr>
        <w:lastRenderedPageBreak/>
        <w:t>Introduction</w:t>
      </w:r>
      <w:bookmarkEnd w:id="0"/>
    </w:p>
    <w:p w14:paraId="230FE23A" w14:textId="50FE4D5E" w:rsidR="00023DA7" w:rsidRPr="00023DA7" w:rsidRDefault="00023DA7" w:rsidP="00023DA7">
      <w:r>
        <w:rPr>
          <w:noProof/>
        </w:rPr>
        <w:drawing>
          <wp:anchor distT="0" distB="0" distL="114300" distR="114300" simplePos="0" relativeHeight="251660288" behindDoc="0" locked="0" layoutInCell="1" allowOverlap="1" wp14:anchorId="7A70698B" wp14:editId="00C724F4">
            <wp:simplePos x="0" y="0"/>
            <wp:positionH relativeFrom="column">
              <wp:posOffset>3329305</wp:posOffset>
            </wp:positionH>
            <wp:positionV relativeFrom="paragraph">
              <wp:posOffset>5715</wp:posOffset>
            </wp:positionV>
            <wp:extent cx="2903220" cy="3034665"/>
            <wp:effectExtent l="0" t="0" r="0" b="0"/>
            <wp:wrapSquare wrapText="bothSides"/>
            <wp:docPr id="1024444017" name="Image 2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3DA7">
        <w:t>Une quasi-étoile ou étoile trou noir est une </w:t>
      </w:r>
      <w:hyperlink r:id="rId8" w:tooltip="Étoile hypothétique" w:history="1">
        <w:r w:rsidRPr="00023DA7">
          <w:t>étoile hypothétique</w:t>
        </w:r>
      </w:hyperlink>
      <w:r w:rsidRPr="00023DA7">
        <w:t> très massive qui aurait pu exister </w:t>
      </w:r>
      <w:hyperlink r:id="rId9" w:tooltip="Histoire de l'Univers" w:history="1">
        <w:r w:rsidRPr="00023DA7">
          <w:t>très tôt dans l'Univers</w:t>
        </w:r>
      </w:hyperlink>
      <w:r w:rsidRPr="00023DA7">
        <w:t>. Bien que la taille et la masse des quasi-étoiles diffèrent selon les modèles, il est généralement admis que celles-ci seraient beaucoup plus élevées que celles des </w:t>
      </w:r>
      <w:hyperlink r:id="rId10" w:tooltip="Étoile" w:history="1">
        <w:r w:rsidRPr="00023DA7">
          <w:t>étoiles</w:t>
        </w:r>
      </w:hyperlink>
      <w:r w:rsidRPr="00023DA7">
        <w:t> « ordinaires ». Contrairement aux étoiles classiques, où l'</w:t>
      </w:r>
      <w:hyperlink r:id="rId11" w:tooltip="Équilibre hydrostatique" w:history="1">
        <w:r w:rsidRPr="00023DA7">
          <w:t>équilibre hydrostatique</w:t>
        </w:r>
      </w:hyperlink>
      <w:r w:rsidRPr="00023DA7">
        <w:t> est maintenu par </w:t>
      </w:r>
      <w:hyperlink r:id="rId12" w:tooltip="Fusion nucléaire" w:history="1">
        <w:r w:rsidRPr="00023DA7">
          <w:t>fusion nucléaire</w:t>
        </w:r>
      </w:hyperlink>
      <w:r w:rsidRPr="00023DA7">
        <w:t> à l'intérieur du noyau, ce serait plutôt l'</w:t>
      </w:r>
      <w:hyperlink r:id="rId13" w:tooltip="Énergie (physique)" w:history="1">
        <w:r w:rsidRPr="00023DA7">
          <w:t>énergie</w:t>
        </w:r>
      </w:hyperlink>
      <w:r w:rsidRPr="00023DA7">
        <w:t> libérée par le </w:t>
      </w:r>
      <w:hyperlink r:id="rId14" w:tooltip="Disque d'accrétion" w:history="1">
        <w:r w:rsidRPr="00023DA7">
          <w:t>disque d'accrétion</w:t>
        </w:r>
      </w:hyperlink>
      <w:r w:rsidRPr="00023DA7">
        <w:t> d'un </w:t>
      </w:r>
      <w:hyperlink r:id="rId15" w:tooltip="Trou noir" w:history="1">
        <w:r w:rsidRPr="00023DA7">
          <w:t>trou noir</w:t>
        </w:r>
      </w:hyperlink>
      <w:r w:rsidRPr="00023DA7">
        <w:t> en leur centre qui occuperait cette fonction pour les quasi-étoiles.</w:t>
      </w:r>
      <w:r w:rsidRPr="00023DA7">
        <w:t xml:space="preserve"> </w:t>
      </w:r>
    </w:p>
    <w:p w14:paraId="33668D15" w14:textId="454E88BC" w:rsidR="00023DA7" w:rsidRDefault="00023DA7" w:rsidP="00023DA7">
      <w:r w:rsidRPr="00023DA7">
        <w:t>Les quasi-étoiles pourraient expliquer la présence de </w:t>
      </w:r>
      <w:hyperlink r:id="rId16" w:tooltip="Trous noirs supermassifs" w:history="1">
        <w:r w:rsidRPr="00023DA7">
          <w:t>trous noirs supermassifs</w:t>
        </w:r>
      </w:hyperlink>
      <w:r w:rsidRPr="00023DA7">
        <w:t> et de </w:t>
      </w:r>
      <w:hyperlink r:id="rId17" w:tooltip="Quasars" w:history="1">
        <w:r w:rsidRPr="00023DA7">
          <w:t>quasars</w:t>
        </w:r>
      </w:hyperlink>
      <w:r w:rsidRPr="00023DA7">
        <w:t> possédant un </w:t>
      </w:r>
      <w:hyperlink r:id="rId18" w:tooltip="Décalage vers le rouge" w:history="1">
        <w:r w:rsidRPr="00023DA7">
          <w:t>décalage vers le rouge</w:t>
        </w:r>
      </w:hyperlink>
      <w:r w:rsidRPr="00023DA7">
        <w:t> supérieur à 6, ainsi que de nombreuses sources de </w:t>
      </w:r>
      <w:hyperlink r:id="rId19" w:tooltip="Rayons gamma" w:history="1">
        <w:r w:rsidRPr="00023DA7">
          <w:t>rayons gamma</w:t>
        </w:r>
      </w:hyperlink>
      <w:r w:rsidRPr="00023DA7">
        <w:t> extragalactiques. Le télescope spatial </w:t>
      </w:r>
      <w:hyperlink r:id="rId20" w:tooltip="James Webb (télescope spatial)" w:history="1">
        <w:r w:rsidRPr="00023DA7">
          <w:t>James Webb</w:t>
        </w:r>
      </w:hyperlink>
      <w:r w:rsidRPr="00023DA7">
        <w:t> pourrait confirmer leur existence dans un futur proche.</w:t>
      </w:r>
    </w:p>
    <w:p w14:paraId="7E06CB72" w14:textId="46E43BD3" w:rsidR="00023DA7" w:rsidRPr="00023DA7" w:rsidRDefault="00023DA7" w:rsidP="00023DA7"/>
    <w:p w14:paraId="003F3972" w14:textId="24CF99AD" w:rsidR="00023DA7" w:rsidRDefault="00023DA7" w:rsidP="00023DA7">
      <w:pPr>
        <w:pStyle w:val="Titre1"/>
      </w:pPr>
      <w:bookmarkStart w:id="1" w:name="_Toc212297940"/>
      <w:r>
        <w:rPr>
          <w:noProof/>
        </w:rPr>
        <w:drawing>
          <wp:anchor distT="0" distB="0" distL="114300" distR="114300" simplePos="0" relativeHeight="251659264" behindDoc="0" locked="0" layoutInCell="1" allowOverlap="1" wp14:anchorId="3F2F236A" wp14:editId="2AFB2BAC">
            <wp:simplePos x="0" y="0"/>
            <wp:positionH relativeFrom="column">
              <wp:posOffset>3176905</wp:posOffset>
            </wp:positionH>
            <wp:positionV relativeFrom="paragraph">
              <wp:posOffset>9525</wp:posOffset>
            </wp:positionV>
            <wp:extent cx="3040380" cy="2150251"/>
            <wp:effectExtent l="0" t="0" r="0" b="2540"/>
            <wp:wrapSquare wrapText="bothSides"/>
            <wp:docPr id="2074368467" name="Image 2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undefin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15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3DA7">
        <w:t>Caractéristiques physiques</w:t>
      </w:r>
      <w:bookmarkEnd w:id="1"/>
    </w:p>
    <w:p w14:paraId="4743DBAC" w14:textId="7470C201" w:rsidR="00023DA7" w:rsidRPr="00023DA7" w:rsidRDefault="00023DA7" w:rsidP="00023DA7">
      <w:r w:rsidRPr="00023DA7">
        <w:t>La taille et la masse d'une quasi-étoile ne sont pas connues avec précision. En effet, ces données dépendent du modèle théorique utilisé. Les auteurs postulent généralement une valeur tournant autour de 8 × 10</w:t>
      </w:r>
      <w:r w:rsidRPr="00023DA7">
        <w:rPr>
          <w:vertAlign w:val="superscript"/>
        </w:rPr>
        <w:t>5</w:t>
      </w:r>
      <w:r w:rsidRPr="00023DA7">
        <w:t> </w:t>
      </w:r>
      <w:hyperlink r:id="rId22" w:tooltip="Rayons solaires" w:history="1">
        <w:r w:rsidRPr="00023DA7">
          <w:t>rayons solaires</w:t>
        </w:r>
      </w:hyperlink>
      <w:r w:rsidRPr="00023DA7">
        <w:t> de diamètre pour une masse de 10</w:t>
      </w:r>
      <w:r w:rsidRPr="00023DA7">
        <w:rPr>
          <w:vertAlign w:val="superscript"/>
        </w:rPr>
        <w:t>7</w:t>
      </w:r>
      <w:r w:rsidRPr="00023DA7">
        <w:t> </w:t>
      </w:r>
      <w:hyperlink r:id="rId23" w:tooltip="Masses solaires" w:history="1">
        <w:r w:rsidRPr="00023DA7">
          <w:t>masses solaires</w:t>
        </w:r>
      </w:hyperlink>
      <w:r w:rsidRPr="00023DA7">
        <w:t> (M</w:t>
      </w:r>
      <w:r w:rsidRPr="00023DA7">
        <w:rPr>
          <w:rFonts w:ascii="Segoe UI Symbol" w:hAnsi="Segoe UI Symbol" w:cs="Segoe UI Symbol"/>
        </w:rPr>
        <w:t>☉</w:t>
      </w:r>
      <w:r w:rsidRPr="00023DA7">
        <w:t>) à l'apogée de la vie de la quasi-étoile.</w:t>
      </w:r>
    </w:p>
    <w:p w14:paraId="114F36F3" w14:textId="4A025AC2" w:rsidR="00023DA7" w:rsidRPr="00023DA7" w:rsidRDefault="00023DA7" w:rsidP="00023DA7">
      <w:r w:rsidRPr="00023DA7">
        <w:t>Les quasi-étoiles pourraient présenter des </w:t>
      </w:r>
      <w:hyperlink r:id="rId24" w:tooltip="Jet (astrophysique)" w:history="1">
        <w:r w:rsidRPr="00023DA7">
          <w:t>jets</w:t>
        </w:r>
      </w:hyperlink>
      <w:r w:rsidRPr="00023DA7">
        <w:t> à leurs pôles. Ces jets émettraient en majorité des </w:t>
      </w:r>
      <w:hyperlink r:id="rId25" w:tooltip="Rayons gamma" w:history="1">
        <w:r w:rsidRPr="00023DA7">
          <w:t>rayons gamma</w:t>
        </w:r>
      </w:hyperlink>
      <w:r w:rsidRPr="00023DA7">
        <w:t>, grâce à la </w:t>
      </w:r>
      <w:hyperlink r:id="rId26" w:tooltip="Diffusion Compton" w:history="1">
        <w:r w:rsidRPr="00023DA7">
          <w:t>diffusion Compton inverse</w:t>
        </w:r>
      </w:hyperlink>
      <w:r w:rsidRPr="00023DA7">
        <w:t>, ainsi que des </w:t>
      </w:r>
      <w:hyperlink r:id="rId27" w:tooltip="Ondes électromagnétiques" w:history="1">
        <w:r w:rsidRPr="00023DA7">
          <w:t>ondes électromagnétiques</w:t>
        </w:r>
      </w:hyperlink>
      <w:r w:rsidRPr="00023DA7">
        <w:t> de basse énergie, allant du domaine du </w:t>
      </w:r>
      <w:hyperlink r:id="rId28" w:tooltip="Spectre visible" w:history="1">
        <w:r w:rsidRPr="00023DA7">
          <w:t>visible</w:t>
        </w:r>
      </w:hyperlink>
      <w:r w:rsidRPr="00023DA7">
        <w:t> à celui des </w:t>
      </w:r>
      <w:hyperlink r:id="rId29" w:tooltip="Infrarouge" w:history="1">
        <w:r w:rsidRPr="00023DA7">
          <w:t>infrarouges</w:t>
        </w:r>
      </w:hyperlink>
      <w:r w:rsidRPr="00023DA7">
        <w:t>, grâce au </w:t>
      </w:r>
      <w:hyperlink r:id="rId30" w:tooltip="Rayonnement synchrotron" w:history="1">
        <w:r w:rsidRPr="00023DA7">
          <w:t>rayonnement synchrotron</w:t>
        </w:r>
      </w:hyperlink>
      <w:r w:rsidRPr="00023DA7">
        <w:t>. Le ratio du flux de rayons gamma au flux de rayons infrarouges serait d'environ 60</w:t>
      </w:r>
    </w:p>
    <w:p w14:paraId="47D1E141" w14:textId="77777777" w:rsidR="00023DA7" w:rsidRPr="00023DA7" w:rsidRDefault="00023DA7" w:rsidP="00023DA7">
      <w:pPr>
        <w:pStyle w:val="Titre1"/>
      </w:pPr>
      <w:bookmarkStart w:id="2" w:name="_Toc212297941"/>
      <w:r w:rsidRPr="00023DA7">
        <w:t>Évolution stellaire</w:t>
      </w:r>
      <w:bookmarkEnd w:id="2"/>
    </w:p>
    <w:p w14:paraId="59BB57F9" w14:textId="77777777" w:rsidR="00023DA7" w:rsidRPr="00023DA7" w:rsidRDefault="00023DA7" w:rsidP="00023DA7">
      <w:pPr>
        <w:pStyle w:val="Titre2"/>
      </w:pPr>
      <w:bookmarkStart w:id="3" w:name="_Toc212297942"/>
      <w:r w:rsidRPr="00023DA7">
        <w:t>Formation</w:t>
      </w:r>
      <w:bookmarkEnd w:id="3"/>
    </w:p>
    <w:p w14:paraId="3798FBD4" w14:textId="77777777" w:rsidR="00023DA7" w:rsidRDefault="00023DA7" w:rsidP="00023DA7">
      <w:r w:rsidRPr="00023DA7">
        <w:t>La formation d'une quasi-étoile nécessiterait la présence d'un </w:t>
      </w:r>
      <w:hyperlink r:id="rId31" w:tooltip="Halo de matière noire" w:history="1">
        <w:r w:rsidRPr="00023DA7">
          <w:t>halo de matière noire</w:t>
        </w:r>
      </w:hyperlink>
      <w:r w:rsidRPr="00023DA7">
        <w:t>, afin de permettre la formation d'un nuage de gaz possédant une température du </w:t>
      </w:r>
      <w:hyperlink r:id="rId32" w:tooltip="Théorème du viriel" w:history="1">
        <w:r w:rsidRPr="00023DA7">
          <w:t>viriel</w:t>
        </w:r>
      </w:hyperlink>
      <w:r w:rsidRPr="00023DA7">
        <w:t> supérieure à 10</w:t>
      </w:r>
      <w:r w:rsidRPr="00023DA7">
        <w:rPr>
          <w:vertAlign w:val="superscript"/>
        </w:rPr>
        <w:t>4</w:t>
      </w:r>
      <w:r w:rsidRPr="00023DA7">
        <w:t xml:space="preserve"> </w:t>
      </w:r>
      <w:r w:rsidRPr="00023DA7">
        <w:t xml:space="preserve">(K). </w:t>
      </w:r>
    </w:p>
    <w:p w14:paraId="77FDF3D2" w14:textId="34DAEE2B" w:rsidR="00023DA7" w:rsidRDefault="00023DA7" w:rsidP="00023DA7">
      <w:r w:rsidRPr="00023DA7">
        <w:t>En </w:t>
      </w:r>
      <w:hyperlink r:id="rId33" w:tooltip="Mécanique classique" w:history="1">
        <w:r w:rsidRPr="00023DA7">
          <w:t>mécanique classique</w:t>
        </w:r>
      </w:hyperlink>
      <w:r w:rsidRPr="00023DA7">
        <w:t>, le théorème du viriel est une relation générale qui s'applique à un système de plusieurs corps en interaction. Il relie les moyennes temporelles de ses énergies </w:t>
      </w:r>
      <w:hyperlink r:id="rId34" w:tooltip="Énergie cinétique" w:history="1">
        <w:r w:rsidRPr="00023DA7">
          <w:t>cinétique</w:t>
        </w:r>
      </w:hyperlink>
      <w:r w:rsidRPr="00023DA7">
        <w:t> et </w:t>
      </w:r>
      <w:hyperlink r:id="rId35" w:tooltip="Énergie potentielle" w:history="1">
        <w:r w:rsidRPr="00023DA7">
          <w:t>potentielle</w:t>
        </w:r>
      </w:hyperlink>
      <w:r w:rsidRPr="00023DA7">
        <w:t>.</w:t>
      </w:r>
    </w:p>
    <w:p w14:paraId="638096FF" w14:textId="3827E788" w:rsidR="00023DA7" w:rsidRPr="00023DA7" w:rsidRDefault="00023DA7" w:rsidP="00023DA7">
      <w:r w:rsidRPr="00023DA7">
        <w:lastRenderedPageBreak/>
        <w:t>Tel qu'énoncé à l'origine par </w:t>
      </w:r>
      <w:hyperlink r:id="rId36" w:tooltip="Rudolf Clausius" w:history="1">
        <w:r w:rsidRPr="00023DA7">
          <w:t>Rudolf Clausius</w:t>
        </w:r>
      </w:hyperlink>
      <w:r w:rsidRPr="00023DA7">
        <w:t>, le théorème s'applique à un ensemble stable de particules de masse </w:t>
      </w:r>
      <m:oMath>
        <m:r>
          <w:rPr>
            <w:rFonts w:ascii="Cambria Math" w:hAnsi="Cambria Math"/>
          </w:rPr>
          <m:t>m</m:t>
        </m:r>
      </m:oMath>
      <w:r w:rsidRPr="00023DA7">
        <w:t> repérées par leurs positions 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r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023DA7">
        <w:t> et leurs vitesses 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023DA7">
        <w:t>, sur lesquelles s'exercent des forces 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F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023DA7">
        <w:t>. Il s'écrit :</w:t>
      </w:r>
    </w:p>
    <w:p w14:paraId="572DA986" w14:textId="39728961" w:rsidR="00023DA7" w:rsidRPr="00023DA7" w:rsidRDefault="00023DA7" w:rsidP="00023DA7">
      <m:oMathPara>
        <m:oMath>
          <m:r>
            <w:rPr>
              <w:rFonts w:ascii="Cambria Math" w:hAnsi="Cambria Math"/>
            </w:rPr>
            <m:t>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a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∑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  <m:r>
                <w:rPr>
                  <w:rFonts w:ascii="Cambria Math" w:hAnsi="Cambria Math"/>
                </w:rPr>
                <m:t>⋅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</m:bar>
        </m:oMath>
      </m:oMathPara>
    </w:p>
    <w:p w14:paraId="1B1ACF32" w14:textId="3CEA1E75" w:rsidR="00023DA7" w:rsidRPr="00023DA7" w:rsidRDefault="00023DA7" w:rsidP="00023DA7">
      <w:proofErr w:type="gramStart"/>
      <w:r w:rsidRPr="00023DA7">
        <w:t>où</w:t>
      </w:r>
      <w:proofErr w:type="gramEnd"/>
      <w:r w:rsidRPr="00023DA7">
        <w:t xml:space="preserve"> la barre désigne la moyenne temporelle des quantités correspondantes.</w:t>
      </w:r>
    </w:p>
    <w:p w14:paraId="288C855D" w14:textId="77777777" w:rsidR="00023DA7" w:rsidRDefault="00023DA7" w:rsidP="00023DA7">
      <w:r w:rsidRPr="00023DA7">
        <w:t>On en retient souvent le cas particulier suivant :</w:t>
      </w:r>
    </w:p>
    <w:p w14:paraId="75E86A81" w14:textId="31E50160" w:rsidR="00023DA7" w:rsidRPr="00023DA7" w:rsidRDefault="00023DA7" w:rsidP="00023DA7">
      <w:r w:rsidRPr="00023DA7">
        <w:t>Théorème du viriel — Dans un système en équilibre </w:t>
      </w:r>
      <w:hyperlink r:id="rId37" w:tooltip="Dynamique" w:history="1">
        <w:r w:rsidRPr="00023DA7">
          <w:t>dynamique</w:t>
        </w:r>
      </w:hyperlink>
      <w:r w:rsidRPr="00023DA7">
        <w:t>, l'</w:t>
      </w:r>
      <w:hyperlink r:id="rId38" w:tooltip="Énergie cinétique" w:history="1">
        <w:r w:rsidRPr="00023DA7">
          <w:t>énergie cinétique</w:t>
        </w:r>
      </w:hyperlink>
      <w:r w:rsidRPr="00023DA7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023DA7">
        <w:t> égale l'opposé de la moitié de l'</w:t>
      </w:r>
      <w:hyperlink r:id="rId39" w:tooltip="Énergie potentielle" w:history="1">
        <w:r w:rsidRPr="00023DA7">
          <w:t>énergie potentielle</w:t>
        </w:r>
      </w:hyperlink>
      <w:r w:rsidRPr="00023DA7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023DA7">
        <w:t> :</w:t>
      </w:r>
    </w:p>
    <w:p w14:paraId="704ACD2C" w14:textId="3A214ACB" w:rsidR="00023DA7" w:rsidRPr="00023DA7" w:rsidRDefault="00023DA7" w:rsidP="00023DA7">
      <m:oMath>
        <m:r>
          <m:rPr>
            <m:sty m:val="p"/>
          </m:rP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Pr="00023DA7">
        <w:t>.</w:t>
      </w:r>
    </w:p>
    <w:p w14:paraId="00AE09FF" w14:textId="77777777" w:rsidR="00023DA7" w:rsidRPr="00023DA7" w:rsidRDefault="00023DA7" w:rsidP="00023DA7">
      <w:r w:rsidRPr="00023DA7">
        <w:t>Ce résultat est une simple conséquence du </w:t>
      </w:r>
      <w:hyperlink r:id="rId40" w:anchor="Deuxi%C3%A8me_loi_de_Newton_ou_principe_fondamental_de_la_dynamique" w:tooltip="Lois du mouvement de Newton" w:history="1">
        <w:r w:rsidRPr="00023DA7">
          <w:t>principe fondamental de la dynamique</w:t>
        </w:r>
      </w:hyperlink>
      <w:r w:rsidRPr="00023DA7">
        <w:t>, appliqué à un ensemble de masses en interaction </w:t>
      </w:r>
      <w:hyperlink r:id="rId41" w:tooltip="Gravitation" w:history="1">
        <w:r w:rsidRPr="00023DA7">
          <w:t>gravitationnelle</w:t>
        </w:r>
      </w:hyperlink>
      <w:r w:rsidRPr="00023DA7">
        <w:t> réciproque (</w:t>
      </w:r>
      <w:hyperlink r:id="rId42" w:tooltip="Problème à N corps" w:history="1">
        <w:r w:rsidRPr="00023DA7">
          <w:t>problème à N corps</w:t>
        </w:r>
      </w:hyperlink>
      <w:r w:rsidRPr="00023DA7">
        <w:t>).</w:t>
      </w:r>
    </w:p>
    <w:p w14:paraId="032B0E8B" w14:textId="31FEAA34" w:rsidR="00023DA7" w:rsidRDefault="00023DA7" w:rsidP="00023DA7">
      <w:r w:rsidRPr="00023DA7">
        <w:t>L'énergie totale </w:t>
      </w:r>
      <w:r w:rsidRPr="00023DA7">
        <w:rPr>
          <w:i/>
          <w:iCs/>
        </w:rPr>
        <w:t xml:space="preserve">E = </w:t>
      </w:r>
      <w:proofErr w:type="spellStart"/>
      <w:r w:rsidRPr="00023DA7">
        <w:rPr>
          <w:i/>
          <w:iCs/>
        </w:rPr>
        <w:t>E</w:t>
      </w:r>
      <w:r w:rsidRPr="00023DA7">
        <w:rPr>
          <w:i/>
          <w:iCs/>
          <w:vertAlign w:val="subscript"/>
        </w:rPr>
        <w:t>c</w:t>
      </w:r>
      <w:proofErr w:type="spellEnd"/>
      <w:r w:rsidRPr="00023DA7">
        <w:rPr>
          <w:i/>
          <w:iCs/>
        </w:rPr>
        <w:t> + E</w:t>
      </w:r>
      <w:r w:rsidRPr="00023DA7">
        <w:rPr>
          <w:i/>
          <w:iCs/>
          <w:vertAlign w:val="subscript"/>
        </w:rPr>
        <w:t>p</w:t>
      </w:r>
      <w:r w:rsidRPr="00023DA7">
        <w:t> vaut donc</w:t>
      </w:r>
      <w:r>
        <w:t xml:space="preserve">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023DA7">
        <w:t>.</w:t>
      </w:r>
    </w:p>
    <w:p w14:paraId="032AD1BD" w14:textId="0301D2BB" w:rsidR="00023DA7" w:rsidRPr="00023DA7" w:rsidRDefault="00023DA7" w:rsidP="00023DA7">
      <w:r w:rsidRPr="00023DA7">
        <w:t>Le nuage devrait également être pauvre en </w:t>
      </w:r>
      <w:hyperlink r:id="rId43" w:tooltip="Hydrogène moléculaire" w:history="1">
        <w:r w:rsidRPr="00023DA7">
          <w:t>H</w:t>
        </w:r>
        <w:r w:rsidRPr="00023DA7">
          <w:rPr>
            <w:vertAlign w:val="subscript"/>
          </w:rPr>
          <w:t>2</w:t>
        </w:r>
      </w:hyperlink>
      <w:r w:rsidRPr="00023DA7">
        <w:t xml:space="preserve"> </w:t>
      </w:r>
      <w:r w:rsidRPr="00023DA7">
        <w:t>, bien que l'importance de ce critère soit encore incertaine. L'</w:t>
      </w:r>
      <w:hyperlink r:id="rId44" w:tooltip="Auto-gravité (page inexistante)" w:history="1">
        <w:r w:rsidRPr="00023DA7">
          <w:t>auto-gravité</w:t>
        </w:r>
      </w:hyperlink>
      <w:r w:rsidRPr="00023DA7">
        <w:t> de ce nuage ainsi que les précédentes caractéristiques rendent le nuage propice aux instabilités dynamiques globales</w:t>
      </w:r>
      <w:r w:rsidRPr="00023DA7">
        <w:t xml:space="preserve"> </w:t>
      </w:r>
      <w:r w:rsidRPr="00023DA7">
        <w:t>, qui concentrerait alors la matière au centre du halo de matière noire tout en réduisant son </w:t>
      </w:r>
      <w:hyperlink r:id="rId45" w:tooltip="Moment cinétique" w:history="1">
        <w:r w:rsidRPr="00023DA7">
          <w:t>moment cinétique</w:t>
        </w:r>
      </w:hyperlink>
      <w:r w:rsidRPr="00023DA7">
        <w:t>.</w:t>
      </w:r>
    </w:p>
    <w:p w14:paraId="1CBCF0D1" w14:textId="3A6787A6" w:rsidR="00023DA7" w:rsidRDefault="00023DA7" w:rsidP="00023DA7">
      <w:r w:rsidRPr="00023DA7">
        <w:t>La quasi-étoile est donc constituée d'un noyau supporté par la pression du gaz et d'une enveloppe supportée par la </w:t>
      </w:r>
      <w:hyperlink r:id="rId46" w:tooltip="Pression de radiation" w:history="1">
        <w:r w:rsidRPr="00023DA7">
          <w:t>pression de radiation</w:t>
        </w:r>
      </w:hyperlink>
      <w:r w:rsidRPr="00023DA7">
        <w:t>. Le haut taux de chute du gaz empêcherait la </w:t>
      </w:r>
      <w:hyperlink r:id="rId47" w:tooltip="Fusion nucléaire" w:history="1">
        <w:r w:rsidRPr="00023DA7">
          <w:t>fusion nucléaire</w:t>
        </w:r>
      </w:hyperlink>
      <w:r w:rsidRPr="00023DA7">
        <w:t>, et donc la formation d'une étoile classique.</w:t>
      </w:r>
    </w:p>
    <w:p w14:paraId="1B45A2E3" w14:textId="77777777" w:rsidR="00023DA7" w:rsidRPr="00023DA7" w:rsidRDefault="00023DA7" w:rsidP="00023DA7"/>
    <w:p w14:paraId="176F3B67" w14:textId="77777777" w:rsidR="00023DA7" w:rsidRPr="00023DA7" w:rsidRDefault="00023DA7" w:rsidP="00023DA7">
      <w:pPr>
        <w:pStyle w:val="Titre2"/>
      </w:pPr>
      <w:bookmarkStart w:id="4" w:name="_Toc212297943"/>
      <w:r w:rsidRPr="00023DA7">
        <w:t>Dissolution</w:t>
      </w:r>
      <w:bookmarkEnd w:id="4"/>
    </w:p>
    <w:p w14:paraId="2ADF154C" w14:textId="02F0B615" w:rsidR="00023DA7" w:rsidRPr="00023DA7" w:rsidRDefault="00023DA7" w:rsidP="00023DA7">
      <w:r w:rsidRPr="00023DA7">
        <w:drawing>
          <wp:anchor distT="0" distB="0" distL="114300" distR="114300" simplePos="0" relativeHeight="251658240" behindDoc="0" locked="0" layoutInCell="1" allowOverlap="1" wp14:anchorId="3FAF6C13" wp14:editId="48B61B4E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961005" cy="2164080"/>
            <wp:effectExtent l="0" t="0" r="0" b="7620"/>
            <wp:wrapSquare wrapText="bothSides"/>
            <wp:docPr id="2059196934" name="Image 6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3DA7">
        <w:t>Lorsque le noyau atteint une température de 10</w:t>
      </w:r>
      <w:r w:rsidRPr="00023DA7">
        <w:rPr>
          <w:vertAlign w:val="superscript"/>
        </w:rPr>
        <w:t>9</w:t>
      </w:r>
      <w:r w:rsidRPr="00023DA7">
        <w:t> K, il se mettrait à émettre des </w:t>
      </w:r>
      <w:hyperlink r:id="rId50" w:tooltip="Neutrino" w:history="1">
        <w:r w:rsidRPr="00023DA7">
          <w:t>neutrinos</w:t>
        </w:r>
      </w:hyperlink>
      <w:r w:rsidRPr="00023DA7">
        <w:t> par le </w:t>
      </w:r>
      <w:hyperlink r:id="rId51" w:tooltip="Processus Urca" w:history="1">
        <w:r w:rsidRPr="00023DA7">
          <w:t xml:space="preserve">processus </w:t>
        </w:r>
        <w:proofErr w:type="spellStart"/>
        <w:r w:rsidRPr="00023DA7">
          <w:t>Urca</w:t>
        </w:r>
        <w:proofErr w:type="spellEnd"/>
      </w:hyperlink>
      <w:r w:rsidRPr="00023DA7">
        <w:t>, ce qui engendre un refroidissement. Lorsque la température chute à 5 × 10</w:t>
      </w:r>
      <w:r w:rsidRPr="00023DA7">
        <w:rPr>
          <w:vertAlign w:val="superscript"/>
        </w:rPr>
        <w:t>8</w:t>
      </w:r>
      <w:r w:rsidRPr="00023DA7">
        <w:t> K, la pression de radiation devient insuffisante pour contrecarrer la pression exercée sur le noyau par le gaz de l'enveloppe, ce qui mène à l'</w:t>
      </w:r>
      <w:hyperlink r:id="rId52" w:tooltip="Effondrement gravitationnel" w:history="1">
        <w:r w:rsidRPr="00023DA7">
          <w:t>effondrement</w:t>
        </w:r>
      </w:hyperlink>
      <w:r w:rsidRPr="00023DA7">
        <w:t> du noyau et à la naissance d'un </w:t>
      </w:r>
      <w:hyperlink r:id="rId53" w:tooltip="Trou noir" w:history="1">
        <w:r w:rsidRPr="00023DA7">
          <w:t>trou noir</w:t>
        </w:r>
      </w:hyperlink>
      <w:r w:rsidRPr="00023DA7">
        <w:t> de 10 à 20 M</w:t>
      </w:r>
      <w:r w:rsidRPr="00023DA7">
        <w:rPr>
          <w:rFonts w:ascii="Segoe UI Symbol" w:hAnsi="Segoe UI Symbol" w:cs="Segoe UI Symbol"/>
          <w:vertAlign w:val="subscript"/>
        </w:rPr>
        <w:t>☉</w:t>
      </w:r>
      <w:r w:rsidRPr="00023DA7">
        <w:t> au centre de la quasi-étoile.</w:t>
      </w:r>
    </w:p>
    <w:p w14:paraId="4B40CB44" w14:textId="2FFD80F4" w:rsidR="00023DA7" w:rsidRDefault="00023DA7" w:rsidP="00023DA7">
      <w:r w:rsidRPr="00023DA7">
        <w:t>Un </w:t>
      </w:r>
      <w:hyperlink r:id="rId54" w:tooltip="Disque d'accrétion" w:history="1">
        <w:r w:rsidRPr="00023DA7">
          <w:t>disque d'accrétion</w:t>
        </w:r>
      </w:hyperlink>
      <w:r w:rsidRPr="00023DA7">
        <w:t> se forme à l'intérieur de la quasi-étoile, autour du trou noir. L'énergie libérée par ce disque devient ainsi la force s'opposant à la pression exercée par le gaz de l'enveloppe. L'énergie libérée est alors équivalente à l'</w:t>
      </w:r>
      <w:hyperlink r:id="rId55" w:tooltip="Énergie de liaison gravitationnelle" w:history="1">
        <w:r w:rsidRPr="00023DA7">
          <w:t>énergie de liaison gravitationnelle</w:t>
        </w:r>
      </w:hyperlink>
      <w:r w:rsidRPr="00023DA7">
        <w:t>, ce qui cause une expansion du rayon de l'enveloppe par un facteur supérieur à 100. Durant cette phase, le trou noir central grossit rapidement en raison de l'apport en masse de l'enveloppe. Après quelques millions d'années, à la fin de la vie de la quasi-étoile, le trou noir central possèderait une masse située entre 10</w:t>
      </w:r>
      <w:r w:rsidRPr="00023DA7">
        <w:rPr>
          <w:vertAlign w:val="superscript"/>
        </w:rPr>
        <w:t>3</w:t>
      </w:r>
      <w:r w:rsidRPr="00023DA7">
        <w:t> et 10</w:t>
      </w:r>
      <w:r w:rsidRPr="00023DA7">
        <w:rPr>
          <w:vertAlign w:val="superscript"/>
        </w:rPr>
        <w:t>6</w:t>
      </w:r>
      <w:r w:rsidRPr="00023DA7">
        <w:t> M</w:t>
      </w:r>
      <w:r w:rsidRPr="00023DA7">
        <w:rPr>
          <w:rFonts w:ascii="Segoe UI Symbol" w:hAnsi="Segoe UI Symbol" w:cs="Segoe UI Symbol"/>
          <w:vertAlign w:val="subscript"/>
        </w:rPr>
        <w:t>☉</w:t>
      </w:r>
      <w:r w:rsidRPr="00023DA7">
        <w:t>, pour une époque </w:t>
      </w:r>
      <w:hyperlink r:id="rId56" w:tooltip="Décalage vers le rouge" w:history="1">
        <w:r w:rsidRPr="00023DA7">
          <w:t>z</w:t>
        </w:r>
      </w:hyperlink>
      <w:r w:rsidRPr="00023DA7">
        <w:t xml:space="preserve"> située entre 10 et 20. Ces trous noirs auraient alors amplement le </w:t>
      </w:r>
      <w:r w:rsidRPr="00023DA7">
        <w:lastRenderedPageBreak/>
        <w:t>temps de grossir jusqu'à 10</w:t>
      </w:r>
      <w:r w:rsidRPr="00023DA7">
        <w:rPr>
          <w:vertAlign w:val="superscript"/>
        </w:rPr>
        <w:t>9</w:t>
      </w:r>
      <w:r w:rsidRPr="00023DA7">
        <w:t> M</w:t>
      </w:r>
      <w:r w:rsidRPr="00023DA7">
        <w:rPr>
          <w:rFonts w:ascii="Segoe UI Symbol" w:hAnsi="Segoe UI Symbol" w:cs="Segoe UI Symbol"/>
          <w:vertAlign w:val="subscript"/>
        </w:rPr>
        <w:t>☉</w:t>
      </w:r>
      <w:r w:rsidRPr="00023DA7">
        <w:t> avant l'époque correspondant à z = 6. Certains scénarios nécessiteraient même que ce processus de formation de trou noir ne se produise que jusqu'à z = 18 pour aboutir à la densité de </w:t>
      </w:r>
      <w:hyperlink r:id="rId57" w:tooltip="Trou noir supermassif" w:history="1">
        <w:r w:rsidRPr="00023DA7">
          <w:t>trous noirs supermassifs</w:t>
        </w:r>
      </w:hyperlink>
      <w:r w:rsidRPr="00023DA7">
        <w:t> observés aujourd'hui.</w:t>
      </w:r>
    </w:p>
    <w:p w14:paraId="653B90AE" w14:textId="77777777" w:rsidR="00023DA7" w:rsidRPr="00023DA7" w:rsidRDefault="00023DA7" w:rsidP="00023DA7"/>
    <w:p w14:paraId="0FC2D48F" w14:textId="77777777" w:rsidR="00023DA7" w:rsidRPr="00023DA7" w:rsidRDefault="00023DA7" w:rsidP="00023DA7">
      <w:pPr>
        <w:pStyle w:val="Titre1"/>
      </w:pPr>
      <w:bookmarkStart w:id="5" w:name="_Toc212297944"/>
      <w:r w:rsidRPr="00023DA7">
        <w:t>Observations</w:t>
      </w:r>
      <w:bookmarkEnd w:id="5"/>
    </w:p>
    <w:p w14:paraId="40613828" w14:textId="717FBDEB" w:rsidR="00023DA7" w:rsidRPr="00023DA7" w:rsidRDefault="00023DA7" w:rsidP="00023DA7">
      <w:r w:rsidRPr="00023DA7">
        <w:t>Les quasi-étoiles restaient en 2023 des </w:t>
      </w:r>
      <w:hyperlink r:id="rId58" w:tooltip="Liste d'étoiles hypothétiques" w:history="1">
        <w:r w:rsidRPr="00023DA7">
          <w:t>objets stellaires hypothétiques</w:t>
        </w:r>
      </w:hyperlink>
      <w:r w:rsidRPr="00023DA7">
        <w:t>, mais avec l'espoir que le </w:t>
      </w:r>
      <w:hyperlink r:id="rId59" w:tooltip="Télescope spatial" w:history="1">
        <w:r w:rsidRPr="00023DA7">
          <w:t>télescope spatial</w:t>
        </w:r>
      </w:hyperlink>
      <w:r w:rsidRPr="00023DA7">
        <w:t> </w:t>
      </w:r>
      <w:hyperlink r:id="rId60" w:tooltip="James Webb (télescope spatial)" w:history="1">
        <w:r w:rsidRPr="00023DA7">
          <w:t>James Webb</w:t>
        </w:r>
      </w:hyperlink>
      <w:r w:rsidRPr="00023DA7">
        <w:t> (JWST) confirmerait leur existence. La température minimale de la </w:t>
      </w:r>
      <w:hyperlink r:id="rId61" w:tooltip="Photosphère" w:history="1">
        <w:r w:rsidRPr="00023DA7">
          <w:t>photosphère</w:t>
        </w:r>
      </w:hyperlink>
      <w:r w:rsidRPr="00023DA7">
        <w:t> de la quasi-étoile, telle que théorisée par les modèles, ferait en effet qu'elles émettraient en majorité de la lumière se situant près du domaine </w:t>
      </w:r>
      <w:hyperlink r:id="rId62" w:tooltip="Infrarouge" w:history="1">
        <w:r w:rsidRPr="00023DA7">
          <w:t>infrarouge</w:t>
        </w:r>
      </w:hyperlink>
      <w:r w:rsidRPr="00023DA7">
        <w:t>, le domaine spectral du JWST. Ainsi, une quasi-étoile ayant un décalage vers le rouge de 10 aurait un </w:t>
      </w:r>
      <w:hyperlink r:id="rId63" w:tooltip="Loi du déplacement de Wien" w:history="1">
        <w:r w:rsidRPr="00023DA7">
          <w:t>pic d'émissivité</w:t>
        </w:r>
      </w:hyperlink>
      <w:r w:rsidRPr="00023DA7">
        <w:t> à environ 10 μm. De fait, le JWST a détecté depuis 2022 des centaines de « </w:t>
      </w:r>
      <w:hyperlink r:id="rId64" w:tooltip="Petit point rouge" w:history="1">
        <w:r w:rsidRPr="00023DA7">
          <w:t>petits points rouges</w:t>
        </w:r>
      </w:hyperlink>
      <w:r w:rsidRPr="00023DA7">
        <w:t> », des objets compacts émettant une lumière rouge et infrarouge au </w:t>
      </w:r>
      <w:hyperlink r:id="rId65" w:tooltip="Spectre électromagnétique" w:history="1">
        <w:r w:rsidRPr="00023DA7">
          <w:t>spectre</w:t>
        </w:r>
      </w:hyperlink>
      <w:r w:rsidRPr="00023DA7">
        <w:t> particulier, dont l'interprétation dominante en 2025 est que ce sont des quasi-étoiles</w:t>
      </w:r>
    </w:p>
    <w:p w14:paraId="72F4DEF0" w14:textId="50C19EED" w:rsidR="006A5A09" w:rsidRPr="006A5A09" w:rsidRDefault="006A5A09" w:rsidP="0063560C"/>
    <w:sectPr w:rsidR="006A5A09" w:rsidRPr="006A5A09">
      <w:headerReference w:type="default" r:id="rId66"/>
      <w:footerReference w:type="default" r:id="rId6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8513E" w14:textId="77777777" w:rsidR="00D04A84" w:rsidRDefault="00D04A84" w:rsidP="00D54EB9">
      <w:pPr>
        <w:spacing w:after="0" w:line="240" w:lineRule="auto"/>
      </w:pPr>
      <w:r>
        <w:separator/>
      </w:r>
    </w:p>
  </w:endnote>
  <w:endnote w:type="continuationSeparator" w:id="0">
    <w:p w14:paraId="11F1E7AE" w14:textId="77777777" w:rsidR="00D04A84" w:rsidRDefault="00D04A84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E6704" w14:textId="77777777" w:rsidR="00D04A84" w:rsidRDefault="00D04A84" w:rsidP="00D54EB9">
      <w:pPr>
        <w:spacing w:after="0" w:line="240" w:lineRule="auto"/>
      </w:pPr>
      <w:r>
        <w:separator/>
      </w:r>
    </w:p>
  </w:footnote>
  <w:footnote w:type="continuationSeparator" w:id="0">
    <w:p w14:paraId="4DCC5DF4" w14:textId="77777777" w:rsidR="00D04A84" w:rsidRDefault="00D04A84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2F408645" w:rsidR="00D54EB9" w:rsidRDefault="00D54EB9">
    <w:pPr>
      <w:pStyle w:val="En-tte"/>
    </w:pPr>
    <w:r>
      <w:t>PHYSIQUE –</w:t>
    </w:r>
    <w:r w:rsidR="00A55D9B">
      <w:t xml:space="preserve"> </w:t>
    </w:r>
    <w:r w:rsidR="00023DA7" w:rsidRPr="00023DA7">
      <w:t>Quasi-étoile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00A3"/>
    <w:multiLevelType w:val="multilevel"/>
    <w:tmpl w:val="3FA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F49FB"/>
    <w:multiLevelType w:val="hybridMultilevel"/>
    <w:tmpl w:val="D2D27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D6591"/>
    <w:multiLevelType w:val="multilevel"/>
    <w:tmpl w:val="5DB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4730C2"/>
    <w:multiLevelType w:val="multilevel"/>
    <w:tmpl w:val="58F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039F3"/>
    <w:multiLevelType w:val="multilevel"/>
    <w:tmpl w:val="CF9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9331D"/>
    <w:multiLevelType w:val="multilevel"/>
    <w:tmpl w:val="2C7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F0CF2"/>
    <w:multiLevelType w:val="multilevel"/>
    <w:tmpl w:val="B8D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B56655"/>
    <w:multiLevelType w:val="multilevel"/>
    <w:tmpl w:val="284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888154E"/>
    <w:multiLevelType w:val="multilevel"/>
    <w:tmpl w:val="208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696E06"/>
    <w:multiLevelType w:val="multilevel"/>
    <w:tmpl w:val="5D2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103FD8"/>
    <w:multiLevelType w:val="multilevel"/>
    <w:tmpl w:val="298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36978"/>
    <w:multiLevelType w:val="multilevel"/>
    <w:tmpl w:val="BA7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26DF"/>
    <w:multiLevelType w:val="multilevel"/>
    <w:tmpl w:val="CED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093CD8"/>
    <w:multiLevelType w:val="multilevel"/>
    <w:tmpl w:val="CF8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87E37"/>
    <w:multiLevelType w:val="multilevel"/>
    <w:tmpl w:val="94E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AB67C6"/>
    <w:multiLevelType w:val="hybridMultilevel"/>
    <w:tmpl w:val="EB5E1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CC41FD"/>
    <w:multiLevelType w:val="hybridMultilevel"/>
    <w:tmpl w:val="45263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124E1"/>
    <w:multiLevelType w:val="multilevel"/>
    <w:tmpl w:val="1A7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3F4CFD"/>
    <w:multiLevelType w:val="multilevel"/>
    <w:tmpl w:val="B5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A36C2"/>
    <w:multiLevelType w:val="multilevel"/>
    <w:tmpl w:val="FCF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554EC7"/>
    <w:multiLevelType w:val="multilevel"/>
    <w:tmpl w:val="D69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B858FF"/>
    <w:multiLevelType w:val="multilevel"/>
    <w:tmpl w:val="0B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4B2050"/>
    <w:multiLevelType w:val="multilevel"/>
    <w:tmpl w:val="ACF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2237EB"/>
    <w:multiLevelType w:val="multilevel"/>
    <w:tmpl w:val="DCA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EB45A0"/>
    <w:multiLevelType w:val="multilevel"/>
    <w:tmpl w:val="AA2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2A54BF"/>
    <w:multiLevelType w:val="multilevel"/>
    <w:tmpl w:val="D81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FD3FF3"/>
    <w:multiLevelType w:val="multilevel"/>
    <w:tmpl w:val="2A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558C5"/>
    <w:multiLevelType w:val="multilevel"/>
    <w:tmpl w:val="93B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772C54"/>
    <w:multiLevelType w:val="multilevel"/>
    <w:tmpl w:val="94B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B028AC"/>
    <w:multiLevelType w:val="multilevel"/>
    <w:tmpl w:val="0D2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7333E"/>
    <w:multiLevelType w:val="multilevel"/>
    <w:tmpl w:val="1B8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7BF77E3A"/>
    <w:multiLevelType w:val="multilevel"/>
    <w:tmpl w:val="70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E1296"/>
    <w:multiLevelType w:val="hybridMultilevel"/>
    <w:tmpl w:val="5BB81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17"/>
  </w:num>
  <w:num w:numId="2" w16cid:durableId="985860346">
    <w:abstractNumId w:val="21"/>
  </w:num>
  <w:num w:numId="3" w16cid:durableId="196166302">
    <w:abstractNumId w:val="31"/>
  </w:num>
  <w:num w:numId="4" w16cid:durableId="85611783">
    <w:abstractNumId w:val="20"/>
  </w:num>
  <w:num w:numId="5" w16cid:durableId="1764495135">
    <w:abstractNumId w:val="24"/>
  </w:num>
  <w:num w:numId="6" w16cid:durableId="9337082">
    <w:abstractNumId w:val="42"/>
  </w:num>
  <w:num w:numId="7" w16cid:durableId="1363626625">
    <w:abstractNumId w:val="0"/>
  </w:num>
  <w:num w:numId="8" w16cid:durableId="78605320">
    <w:abstractNumId w:val="6"/>
  </w:num>
  <w:num w:numId="9" w16cid:durableId="1745495026">
    <w:abstractNumId w:val="16"/>
  </w:num>
  <w:num w:numId="10" w16cid:durableId="1290820955">
    <w:abstractNumId w:val="15"/>
  </w:num>
  <w:num w:numId="11" w16cid:durableId="985741773">
    <w:abstractNumId w:val="10"/>
  </w:num>
  <w:num w:numId="12" w16cid:durableId="157624102">
    <w:abstractNumId w:val="46"/>
  </w:num>
  <w:num w:numId="13" w16cid:durableId="1794011271">
    <w:abstractNumId w:val="22"/>
  </w:num>
  <w:num w:numId="14" w16cid:durableId="2126852057">
    <w:abstractNumId w:val="33"/>
  </w:num>
  <w:num w:numId="15" w16cid:durableId="1823424295">
    <w:abstractNumId w:val="41"/>
  </w:num>
  <w:num w:numId="16" w16cid:durableId="928343046">
    <w:abstractNumId w:val="45"/>
  </w:num>
  <w:num w:numId="17" w16cid:durableId="67197130">
    <w:abstractNumId w:val="48"/>
  </w:num>
  <w:num w:numId="18" w16cid:durableId="51733916">
    <w:abstractNumId w:val="26"/>
  </w:num>
  <w:num w:numId="19" w16cid:durableId="1633438650">
    <w:abstractNumId w:val="35"/>
  </w:num>
  <w:num w:numId="20" w16cid:durableId="1157109359">
    <w:abstractNumId w:val="36"/>
  </w:num>
  <w:num w:numId="21" w16cid:durableId="1604875568">
    <w:abstractNumId w:val="2"/>
  </w:num>
  <w:num w:numId="22" w16cid:durableId="1840459850">
    <w:abstractNumId w:val="19"/>
  </w:num>
  <w:num w:numId="23" w16cid:durableId="1803888255">
    <w:abstractNumId w:val="28"/>
  </w:num>
  <w:num w:numId="24" w16cid:durableId="1998876001">
    <w:abstractNumId w:val="4"/>
  </w:num>
  <w:num w:numId="25" w16cid:durableId="466240926">
    <w:abstractNumId w:val="38"/>
  </w:num>
  <w:num w:numId="26" w16cid:durableId="1032612191">
    <w:abstractNumId w:val="43"/>
  </w:num>
  <w:num w:numId="27" w16cid:durableId="2059477957">
    <w:abstractNumId w:val="13"/>
  </w:num>
  <w:num w:numId="28" w16cid:durableId="60102640">
    <w:abstractNumId w:val="1"/>
  </w:num>
  <w:num w:numId="29" w16cid:durableId="2043286050">
    <w:abstractNumId w:val="47"/>
  </w:num>
  <w:num w:numId="30" w16cid:durableId="876817421">
    <w:abstractNumId w:val="8"/>
  </w:num>
  <w:num w:numId="31" w16cid:durableId="1191183674">
    <w:abstractNumId w:val="32"/>
  </w:num>
  <w:num w:numId="32" w16cid:durableId="1457868945">
    <w:abstractNumId w:val="7"/>
  </w:num>
  <w:num w:numId="33" w16cid:durableId="830872827">
    <w:abstractNumId w:val="23"/>
  </w:num>
  <w:num w:numId="34" w16cid:durableId="1402214887">
    <w:abstractNumId w:val="29"/>
  </w:num>
  <w:num w:numId="35" w16cid:durableId="804467890">
    <w:abstractNumId w:val="27"/>
  </w:num>
  <w:num w:numId="36" w16cid:durableId="531307307">
    <w:abstractNumId w:val="30"/>
  </w:num>
  <w:num w:numId="37" w16cid:durableId="1335260250">
    <w:abstractNumId w:val="39"/>
  </w:num>
  <w:num w:numId="38" w16cid:durableId="1648129253">
    <w:abstractNumId w:val="25"/>
  </w:num>
  <w:num w:numId="39" w16cid:durableId="808477923">
    <w:abstractNumId w:val="40"/>
  </w:num>
  <w:num w:numId="40" w16cid:durableId="313603430">
    <w:abstractNumId w:val="5"/>
  </w:num>
  <w:num w:numId="41" w16cid:durableId="832066700">
    <w:abstractNumId w:val="12"/>
  </w:num>
  <w:num w:numId="42" w16cid:durableId="222176590">
    <w:abstractNumId w:val="14"/>
  </w:num>
  <w:num w:numId="43" w16cid:durableId="1802648874">
    <w:abstractNumId w:val="44"/>
  </w:num>
  <w:num w:numId="44" w16cid:durableId="445126056">
    <w:abstractNumId w:val="49"/>
  </w:num>
  <w:num w:numId="45" w16cid:durableId="146552461">
    <w:abstractNumId w:val="9"/>
  </w:num>
  <w:num w:numId="46" w16cid:durableId="692920360">
    <w:abstractNumId w:val="3"/>
  </w:num>
  <w:num w:numId="47" w16cid:durableId="356856055">
    <w:abstractNumId w:val="18"/>
  </w:num>
  <w:num w:numId="48" w16cid:durableId="597755524">
    <w:abstractNumId w:val="37"/>
  </w:num>
  <w:num w:numId="49" w16cid:durableId="1096709593">
    <w:abstractNumId w:val="11"/>
  </w:num>
  <w:num w:numId="50" w16cid:durableId="116997956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14546"/>
    <w:rsid w:val="00023DA7"/>
    <w:rsid w:val="000B35BC"/>
    <w:rsid w:val="00123C4A"/>
    <w:rsid w:val="001305B5"/>
    <w:rsid w:val="00160823"/>
    <w:rsid w:val="00173795"/>
    <w:rsid w:val="001904F9"/>
    <w:rsid w:val="001B225C"/>
    <w:rsid w:val="001B5761"/>
    <w:rsid w:val="001D443E"/>
    <w:rsid w:val="00256BEA"/>
    <w:rsid w:val="0027206F"/>
    <w:rsid w:val="002E3539"/>
    <w:rsid w:val="00326B0B"/>
    <w:rsid w:val="00361D9F"/>
    <w:rsid w:val="00363932"/>
    <w:rsid w:val="00371451"/>
    <w:rsid w:val="00372046"/>
    <w:rsid w:val="00391031"/>
    <w:rsid w:val="003B22A5"/>
    <w:rsid w:val="00400244"/>
    <w:rsid w:val="0043081B"/>
    <w:rsid w:val="004326FA"/>
    <w:rsid w:val="00466571"/>
    <w:rsid w:val="00521C27"/>
    <w:rsid w:val="00536250"/>
    <w:rsid w:val="005364F4"/>
    <w:rsid w:val="00552CCB"/>
    <w:rsid w:val="005954CB"/>
    <w:rsid w:val="005974A9"/>
    <w:rsid w:val="00597966"/>
    <w:rsid w:val="006269C7"/>
    <w:rsid w:val="00634B4A"/>
    <w:rsid w:val="0063560C"/>
    <w:rsid w:val="00663AA1"/>
    <w:rsid w:val="00674DD9"/>
    <w:rsid w:val="006766D4"/>
    <w:rsid w:val="006A5A09"/>
    <w:rsid w:val="006C63B6"/>
    <w:rsid w:val="006E1F77"/>
    <w:rsid w:val="00740465"/>
    <w:rsid w:val="0074489B"/>
    <w:rsid w:val="00755A4E"/>
    <w:rsid w:val="007A01AE"/>
    <w:rsid w:val="007B0483"/>
    <w:rsid w:val="007B7C0A"/>
    <w:rsid w:val="007D3665"/>
    <w:rsid w:val="007D7286"/>
    <w:rsid w:val="007F07CE"/>
    <w:rsid w:val="00802A22"/>
    <w:rsid w:val="00860933"/>
    <w:rsid w:val="00880AA3"/>
    <w:rsid w:val="008C1C67"/>
    <w:rsid w:val="00900C0A"/>
    <w:rsid w:val="00927C71"/>
    <w:rsid w:val="00940EDE"/>
    <w:rsid w:val="00975931"/>
    <w:rsid w:val="009C6666"/>
    <w:rsid w:val="009C6EA7"/>
    <w:rsid w:val="009D3220"/>
    <w:rsid w:val="00A30394"/>
    <w:rsid w:val="00A323C4"/>
    <w:rsid w:val="00A55D9B"/>
    <w:rsid w:val="00A67375"/>
    <w:rsid w:val="00A75422"/>
    <w:rsid w:val="00AA1169"/>
    <w:rsid w:val="00AB2814"/>
    <w:rsid w:val="00B21333"/>
    <w:rsid w:val="00B71B6F"/>
    <w:rsid w:val="00B96FD4"/>
    <w:rsid w:val="00BB135E"/>
    <w:rsid w:val="00BF3C81"/>
    <w:rsid w:val="00C12FFF"/>
    <w:rsid w:val="00C54A6A"/>
    <w:rsid w:val="00C570D7"/>
    <w:rsid w:val="00C72B4C"/>
    <w:rsid w:val="00C76D87"/>
    <w:rsid w:val="00C90B8E"/>
    <w:rsid w:val="00CF40B0"/>
    <w:rsid w:val="00CF6EFC"/>
    <w:rsid w:val="00D04A84"/>
    <w:rsid w:val="00D14313"/>
    <w:rsid w:val="00D44A07"/>
    <w:rsid w:val="00D54EB9"/>
    <w:rsid w:val="00D71C3B"/>
    <w:rsid w:val="00DC3C9B"/>
    <w:rsid w:val="00E42C0D"/>
    <w:rsid w:val="00E56699"/>
    <w:rsid w:val="00EC1105"/>
    <w:rsid w:val="00EE277C"/>
    <w:rsid w:val="00F01A98"/>
    <w:rsid w:val="00F4078C"/>
    <w:rsid w:val="00F90671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0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305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D71C3B"/>
    <w:rPr>
      <w:color w:val="954F72" w:themeColor="followed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900C0A"/>
    <w:pPr>
      <w:spacing w:after="100"/>
      <w:ind w:left="440"/>
    </w:pPr>
  </w:style>
  <w:style w:type="paragraph" w:customStyle="1" w:styleId="msonormal0">
    <w:name w:val="msonormal"/>
    <w:basedOn w:val="Normal"/>
    <w:rsid w:val="007B7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e-bracket">
    <w:name w:val="cite-bracket"/>
    <w:basedOn w:val="Policepardfaut"/>
    <w:rsid w:val="007B7C0A"/>
  </w:style>
  <w:style w:type="character" w:customStyle="1" w:styleId="mwe-math-element">
    <w:name w:val="mwe-math-element"/>
    <w:basedOn w:val="Policepardfaut"/>
    <w:rsid w:val="007B7C0A"/>
  </w:style>
  <w:style w:type="character" w:customStyle="1" w:styleId="pageh">
    <w:name w:val="page_h"/>
    <w:basedOn w:val="Policepardfaut"/>
    <w:rsid w:val="007B7C0A"/>
  </w:style>
  <w:style w:type="character" w:customStyle="1" w:styleId="texhtml">
    <w:name w:val="texhtml"/>
    <w:basedOn w:val="Policepardfaut"/>
    <w:rsid w:val="007B7C0A"/>
  </w:style>
  <w:style w:type="character" w:customStyle="1" w:styleId="nowrap">
    <w:name w:val="nowrap"/>
    <w:basedOn w:val="Policepardfaut"/>
    <w:rsid w:val="007B7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r.wikipedia.org/wiki/Diffusion_Compton" TargetMode="External"/><Relationship Id="rId21" Type="http://schemas.openxmlformats.org/officeDocument/2006/relationships/image" Target="media/image2.png"/><Relationship Id="rId42" Type="http://schemas.openxmlformats.org/officeDocument/2006/relationships/hyperlink" Target="https://fr.wikipedia.org/wiki/Probl%C3%A8me_%C3%A0_N_corps" TargetMode="External"/><Relationship Id="rId47" Type="http://schemas.openxmlformats.org/officeDocument/2006/relationships/hyperlink" Target="https://fr.wikipedia.org/wiki/Fusion_nucl%C3%A9aire" TargetMode="External"/><Relationship Id="rId63" Type="http://schemas.openxmlformats.org/officeDocument/2006/relationships/hyperlink" Target="https://fr.wikipedia.org/wiki/Loi_du_d%C3%A9placement_de_Wien" TargetMode="External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fr.wikipedia.org/wiki/Trous_noirs_supermassifs" TargetMode="External"/><Relationship Id="rId29" Type="http://schemas.openxmlformats.org/officeDocument/2006/relationships/hyperlink" Target="https://fr.wikipedia.org/wiki/Infrarouge" TargetMode="External"/><Relationship Id="rId11" Type="http://schemas.openxmlformats.org/officeDocument/2006/relationships/hyperlink" Target="https://fr.wikipedia.org/wiki/%C3%89quilibre_hydrostatique" TargetMode="External"/><Relationship Id="rId24" Type="http://schemas.openxmlformats.org/officeDocument/2006/relationships/hyperlink" Target="https://fr.wikipedia.org/wiki/Jet_(astrophysique)" TargetMode="External"/><Relationship Id="rId32" Type="http://schemas.openxmlformats.org/officeDocument/2006/relationships/hyperlink" Target="https://fr.wikipedia.org/wiki/Th%C3%A9or%C3%A8me_du_viriel" TargetMode="External"/><Relationship Id="rId37" Type="http://schemas.openxmlformats.org/officeDocument/2006/relationships/hyperlink" Target="https://fr.wikipedia.org/wiki/Dynamique" TargetMode="External"/><Relationship Id="rId40" Type="http://schemas.openxmlformats.org/officeDocument/2006/relationships/hyperlink" Target="https://fr.wikipedia.org/wiki/Lois_du_mouvement_de_Newton" TargetMode="External"/><Relationship Id="rId45" Type="http://schemas.openxmlformats.org/officeDocument/2006/relationships/hyperlink" Target="https://fr.wikipedia.org/wiki/Moment_cin%C3%A9tique" TargetMode="External"/><Relationship Id="rId53" Type="http://schemas.openxmlformats.org/officeDocument/2006/relationships/hyperlink" Target="https://fr.wikipedia.org/wiki/Trou_noir" TargetMode="External"/><Relationship Id="rId58" Type="http://schemas.openxmlformats.org/officeDocument/2006/relationships/hyperlink" Target="https://fr.wikipedia.org/wiki/Liste_d%27%C3%A9toiles_hypoth%C3%A9tiques" TargetMode="External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hyperlink" Target="https://fr.wikipedia.org/wiki/Photosph%C3%A8re" TargetMode="External"/><Relationship Id="rId19" Type="http://schemas.openxmlformats.org/officeDocument/2006/relationships/hyperlink" Target="https://fr.wikipedia.org/wiki/Rayons_gamma" TargetMode="External"/><Relationship Id="rId14" Type="http://schemas.openxmlformats.org/officeDocument/2006/relationships/hyperlink" Target="https://fr.wikipedia.org/wiki/Disque_d%27accr%C3%A9tion" TargetMode="External"/><Relationship Id="rId22" Type="http://schemas.openxmlformats.org/officeDocument/2006/relationships/hyperlink" Target="https://fr.wikipedia.org/wiki/Rayons_solaires" TargetMode="External"/><Relationship Id="rId27" Type="http://schemas.openxmlformats.org/officeDocument/2006/relationships/hyperlink" Target="https://fr.wikipedia.org/wiki/Ondes_%C3%A9lectromagn%C3%A9tiques" TargetMode="External"/><Relationship Id="rId30" Type="http://schemas.openxmlformats.org/officeDocument/2006/relationships/hyperlink" Target="https://fr.wikipedia.org/wiki/Rayonnement_synchrotron" TargetMode="External"/><Relationship Id="rId35" Type="http://schemas.openxmlformats.org/officeDocument/2006/relationships/hyperlink" Target="https://fr.wikipedia.org/wiki/%C3%89nergie_potentielle" TargetMode="External"/><Relationship Id="rId43" Type="http://schemas.openxmlformats.org/officeDocument/2006/relationships/hyperlink" Target="https://fr.wikipedia.org/wiki/Hydrog%C3%A8ne_mol%C3%A9culaire" TargetMode="External"/><Relationship Id="rId48" Type="http://schemas.openxmlformats.org/officeDocument/2006/relationships/hyperlink" Target="https://commons.wikimedia.org/wiki/File:Forces_dans_une_quasi-%C3%A9toile.png?uselang=fr" TargetMode="External"/><Relationship Id="rId56" Type="http://schemas.openxmlformats.org/officeDocument/2006/relationships/hyperlink" Target="https://fr.wikipedia.org/wiki/D%C3%A9calage_vers_le_rouge" TargetMode="External"/><Relationship Id="rId64" Type="http://schemas.openxmlformats.org/officeDocument/2006/relationships/hyperlink" Target="https://fr.wikipedia.org/wiki/Petit_point_rouge" TargetMode="External"/><Relationship Id="rId69" Type="http://schemas.openxmlformats.org/officeDocument/2006/relationships/theme" Target="theme/theme1.xml"/><Relationship Id="rId8" Type="http://schemas.openxmlformats.org/officeDocument/2006/relationships/hyperlink" Target="https://fr.wikipedia.org/wiki/%C3%89toile_hypoth%C3%A9tique" TargetMode="External"/><Relationship Id="rId51" Type="http://schemas.openxmlformats.org/officeDocument/2006/relationships/hyperlink" Target="https://fr.wikipedia.org/wiki/Processus_Urc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r.wikipedia.org/wiki/Fusion_nucl%C3%A9aire" TargetMode="External"/><Relationship Id="rId17" Type="http://schemas.openxmlformats.org/officeDocument/2006/relationships/hyperlink" Target="https://fr.wikipedia.org/wiki/Quasars" TargetMode="External"/><Relationship Id="rId25" Type="http://schemas.openxmlformats.org/officeDocument/2006/relationships/hyperlink" Target="https://fr.wikipedia.org/wiki/Rayons_gamma" TargetMode="External"/><Relationship Id="rId33" Type="http://schemas.openxmlformats.org/officeDocument/2006/relationships/hyperlink" Target="https://fr.wikipedia.org/wiki/M%C3%A9canique_classique" TargetMode="External"/><Relationship Id="rId38" Type="http://schemas.openxmlformats.org/officeDocument/2006/relationships/hyperlink" Target="https://fr.wikipedia.org/wiki/%C3%89nergie_cin%C3%A9tique" TargetMode="External"/><Relationship Id="rId46" Type="http://schemas.openxmlformats.org/officeDocument/2006/relationships/hyperlink" Target="https://fr.wikipedia.org/wiki/Pression_de_radiation" TargetMode="External"/><Relationship Id="rId59" Type="http://schemas.openxmlformats.org/officeDocument/2006/relationships/hyperlink" Target="https://fr.wikipedia.org/wiki/T%C3%A9lescope_spatial" TargetMode="External"/><Relationship Id="rId67" Type="http://schemas.openxmlformats.org/officeDocument/2006/relationships/footer" Target="footer1.xml"/><Relationship Id="rId20" Type="http://schemas.openxmlformats.org/officeDocument/2006/relationships/hyperlink" Target="https://fr.wikipedia.org/wiki/James_Webb_(t%C3%A9lescope_spatial)" TargetMode="External"/><Relationship Id="rId41" Type="http://schemas.openxmlformats.org/officeDocument/2006/relationships/hyperlink" Target="https://fr.wikipedia.org/wiki/Gravitation" TargetMode="External"/><Relationship Id="rId54" Type="http://schemas.openxmlformats.org/officeDocument/2006/relationships/hyperlink" Target="https://fr.wikipedia.org/wiki/Disque_d%27accr%C3%A9tion" TargetMode="External"/><Relationship Id="rId62" Type="http://schemas.openxmlformats.org/officeDocument/2006/relationships/hyperlink" Target="https://fr.wikipedia.org/wiki/Infraroug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fr.wikipedia.org/wiki/Trou_noir" TargetMode="External"/><Relationship Id="rId23" Type="http://schemas.openxmlformats.org/officeDocument/2006/relationships/hyperlink" Target="https://fr.wikipedia.org/wiki/Masses_solaires" TargetMode="External"/><Relationship Id="rId28" Type="http://schemas.openxmlformats.org/officeDocument/2006/relationships/hyperlink" Target="https://fr.wikipedia.org/wiki/Spectre_visible" TargetMode="External"/><Relationship Id="rId36" Type="http://schemas.openxmlformats.org/officeDocument/2006/relationships/hyperlink" Target="https://fr.wikipedia.org/wiki/Rudolf_Clausius" TargetMode="External"/><Relationship Id="rId49" Type="http://schemas.openxmlformats.org/officeDocument/2006/relationships/image" Target="media/image3.png"/><Relationship Id="rId57" Type="http://schemas.openxmlformats.org/officeDocument/2006/relationships/hyperlink" Target="https://fr.wikipedia.org/wiki/Trou_noir_supermassif" TargetMode="External"/><Relationship Id="rId10" Type="http://schemas.openxmlformats.org/officeDocument/2006/relationships/hyperlink" Target="https://fr.wikipedia.org/wiki/%C3%89toile" TargetMode="External"/><Relationship Id="rId31" Type="http://schemas.openxmlformats.org/officeDocument/2006/relationships/hyperlink" Target="https://fr.wikipedia.org/wiki/Halo_de_mati%C3%A8re_noire" TargetMode="External"/><Relationship Id="rId44" Type="http://schemas.openxmlformats.org/officeDocument/2006/relationships/hyperlink" Target="https://fr.wikipedia.org/w/index.php?title=Auto-gravit%C3%A9&amp;action=edit&amp;redlink=1" TargetMode="External"/><Relationship Id="rId52" Type="http://schemas.openxmlformats.org/officeDocument/2006/relationships/hyperlink" Target="https://fr.wikipedia.org/wiki/Effondrement_gravitationnel" TargetMode="External"/><Relationship Id="rId60" Type="http://schemas.openxmlformats.org/officeDocument/2006/relationships/hyperlink" Target="https://fr.wikipedia.org/wiki/James_Webb_(t%C3%A9lescope_spatial)" TargetMode="External"/><Relationship Id="rId65" Type="http://schemas.openxmlformats.org/officeDocument/2006/relationships/hyperlink" Target="https://fr.wikipedia.org/wiki/Spectre_%C3%A9lectromagn%C3%A9tiq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Histoire_de_l%27Univers" TargetMode="External"/><Relationship Id="rId13" Type="http://schemas.openxmlformats.org/officeDocument/2006/relationships/hyperlink" Target="https://fr.wikipedia.org/wiki/%C3%89nergie_(physique)" TargetMode="External"/><Relationship Id="rId18" Type="http://schemas.openxmlformats.org/officeDocument/2006/relationships/hyperlink" Target="https://fr.wikipedia.org/wiki/D%C3%A9calage_vers_le_rouge" TargetMode="External"/><Relationship Id="rId39" Type="http://schemas.openxmlformats.org/officeDocument/2006/relationships/hyperlink" Target="https://fr.wikipedia.org/wiki/%C3%89nergie_potentielle" TargetMode="External"/><Relationship Id="rId34" Type="http://schemas.openxmlformats.org/officeDocument/2006/relationships/hyperlink" Target="https://fr.wikipedia.org/wiki/%C3%89nergie_cin%C3%A9tique" TargetMode="External"/><Relationship Id="rId50" Type="http://schemas.openxmlformats.org/officeDocument/2006/relationships/hyperlink" Target="https://fr.wikipedia.org/wiki/Neutrino" TargetMode="External"/><Relationship Id="rId55" Type="http://schemas.openxmlformats.org/officeDocument/2006/relationships/hyperlink" Target="https://fr.wikipedia.org/wiki/%C3%89nergie_de_liaison_gravitationnell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1748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52</cp:revision>
  <dcterms:created xsi:type="dcterms:W3CDTF">2022-12-23T07:20:00Z</dcterms:created>
  <dcterms:modified xsi:type="dcterms:W3CDTF">2025-10-25T13:18:00Z</dcterms:modified>
</cp:coreProperties>
</file>