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B86D4" w14:textId="77777777" w:rsidR="002F3680" w:rsidRDefault="002F3680" w:rsidP="001500E4">
      <w:pPr>
        <w:pStyle w:val="Titre1"/>
        <w:jc w:val="both"/>
      </w:pPr>
      <w:bookmarkStart w:id="0" w:name="_Toc133070735"/>
      <w:r>
        <w:t>Superfluidité</w:t>
      </w:r>
      <w:bookmarkEnd w:id="0"/>
      <w:r>
        <w:t xml:space="preserve"> </w:t>
      </w:r>
    </w:p>
    <w:sdt>
      <w:sdtPr>
        <w:id w:val="179362580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C94AC8" w14:textId="10CBB02D" w:rsidR="00CB7B0F" w:rsidRDefault="00CB7B0F">
          <w:pPr>
            <w:pStyle w:val="En-ttedetabledesmatires"/>
          </w:pPr>
          <w:r>
            <w:t>Table des matières</w:t>
          </w:r>
        </w:p>
        <w:p w14:paraId="31F4E743" w14:textId="7ADFDC77" w:rsidR="00CB7B0F" w:rsidRDefault="00CB7B0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735" w:history="1">
            <w:r w:rsidRPr="006B6F76">
              <w:rPr>
                <w:rStyle w:val="Lienhypertexte"/>
                <w:noProof/>
              </w:rPr>
              <w:t>Superfluidité</w:t>
            </w:r>
            <w:r>
              <w:rPr>
                <w:noProof/>
                <w:webHidden/>
              </w:rPr>
              <w:tab/>
            </w:r>
            <w:r>
              <w:rPr>
                <w:noProof/>
                <w:webHidden/>
              </w:rPr>
              <w:fldChar w:fldCharType="begin"/>
            </w:r>
            <w:r>
              <w:rPr>
                <w:noProof/>
                <w:webHidden/>
              </w:rPr>
              <w:instrText xml:space="preserve"> PAGEREF _Toc133070735 \h </w:instrText>
            </w:r>
            <w:r>
              <w:rPr>
                <w:noProof/>
                <w:webHidden/>
              </w:rPr>
            </w:r>
            <w:r>
              <w:rPr>
                <w:noProof/>
                <w:webHidden/>
              </w:rPr>
              <w:fldChar w:fldCharType="separate"/>
            </w:r>
            <w:r>
              <w:rPr>
                <w:noProof/>
                <w:webHidden/>
              </w:rPr>
              <w:t>1</w:t>
            </w:r>
            <w:r>
              <w:rPr>
                <w:noProof/>
                <w:webHidden/>
              </w:rPr>
              <w:fldChar w:fldCharType="end"/>
            </w:r>
          </w:hyperlink>
        </w:p>
        <w:p w14:paraId="1B58C896" w14:textId="7D88F32F" w:rsidR="00CB7B0F" w:rsidRDefault="00CB7B0F">
          <w:pPr>
            <w:pStyle w:val="TM2"/>
            <w:tabs>
              <w:tab w:val="right" w:leader="dot" w:pos="9062"/>
            </w:tabs>
            <w:rPr>
              <w:rFonts w:eastAsiaTheme="minorEastAsia"/>
              <w:noProof/>
              <w:lang w:eastAsia="fr-FR"/>
            </w:rPr>
          </w:pPr>
          <w:hyperlink w:anchor="_Toc133070736" w:history="1">
            <w:r w:rsidRPr="006B6F76">
              <w:rPr>
                <w:rStyle w:val="Lienhypertexte"/>
                <w:b/>
                <w:bCs/>
                <w:noProof/>
              </w:rPr>
              <w:t>Point lambda</w:t>
            </w:r>
            <w:r>
              <w:rPr>
                <w:noProof/>
                <w:webHidden/>
              </w:rPr>
              <w:tab/>
            </w:r>
            <w:r>
              <w:rPr>
                <w:noProof/>
                <w:webHidden/>
              </w:rPr>
              <w:fldChar w:fldCharType="begin"/>
            </w:r>
            <w:r>
              <w:rPr>
                <w:noProof/>
                <w:webHidden/>
              </w:rPr>
              <w:instrText xml:space="preserve"> PAGEREF _Toc133070736 \h </w:instrText>
            </w:r>
            <w:r>
              <w:rPr>
                <w:noProof/>
                <w:webHidden/>
              </w:rPr>
            </w:r>
            <w:r>
              <w:rPr>
                <w:noProof/>
                <w:webHidden/>
              </w:rPr>
              <w:fldChar w:fldCharType="separate"/>
            </w:r>
            <w:r>
              <w:rPr>
                <w:noProof/>
                <w:webHidden/>
              </w:rPr>
              <w:t>1</w:t>
            </w:r>
            <w:r>
              <w:rPr>
                <w:noProof/>
                <w:webHidden/>
              </w:rPr>
              <w:fldChar w:fldCharType="end"/>
            </w:r>
          </w:hyperlink>
        </w:p>
        <w:p w14:paraId="3813F4C4" w14:textId="5A8CBE46" w:rsidR="00CB7B0F" w:rsidRDefault="00CB7B0F">
          <w:pPr>
            <w:pStyle w:val="TM2"/>
            <w:tabs>
              <w:tab w:val="right" w:leader="dot" w:pos="9062"/>
            </w:tabs>
            <w:rPr>
              <w:rFonts w:eastAsiaTheme="minorEastAsia"/>
              <w:noProof/>
              <w:lang w:eastAsia="fr-FR"/>
            </w:rPr>
          </w:pPr>
          <w:hyperlink w:anchor="_Toc133070737" w:history="1">
            <w:r w:rsidRPr="006B6F76">
              <w:rPr>
                <w:rStyle w:val="Lienhypertexte"/>
                <w:b/>
                <w:bCs/>
                <w:noProof/>
              </w:rPr>
              <w:t>Propriété d'un superfluide</w:t>
            </w:r>
            <w:r>
              <w:rPr>
                <w:noProof/>
                <w:webHidden/>
              </w:rPr>
              <w:tab/>
            </w:r>
            <w:r>
              <w:rPr>
                <w:noProof/>
                <w:webHidden/>
              </w:rPr>
              <w:fldChar w:fldCharType="begin"/>
            </w:r>
            <w:r>
              <w:rPr>
                <w:noProof/>
                <w:webHidden/>
              </w:rPr>
              <w:instrText xml:space="preserve"> PAGEREF _Toc133070737 \h </w:instrText>
            </w:r>
            <w:r>
              <w:rPr>
                <w:noProof/>
                <w:webHidden/>
              </w:rPr>
            </w:r>
            <w:r>
              <w:rPr>
                <w:noProof/>
                <w:webHidden/>
              </w:rPr>
              <w:fldChar w:fldCharType="separate"/>
            </w:r>
            <w:r>
              <w:rPr>
                <w:noProof/>
                <w:webHidden/>
              </w:rPr>
              <w:t>1</w:t>
            </w:r>
            <w:r>
              <w:rPr>
                <w:noProof/>
                <w:webHidden/>
              </w:rPr>
              <w:fldChar w:fldCharType="end"/>
            </w:r>
          </w:hyperlink>
        </w:p>
        <w:p w14:paraId="3D6D1D04" w14:textId="70A1C79C" w:rsidR="00CB7B0F" w:rsidRDefault="00CB7B0F" w:rsidP="00CB7B0F">
          <w:r>
            <w:rPr>
              <w:b/>
              <w:bCs/>
            </w:rPr>
            <w:fldChar w:fldCharType="end"/>
          </w:r>
        </w:p>
      </w:sdtContent>
    </w:sdt>
    <w:p w14:paraId="552F389F" w14:textId="77777777" w:rsidR="001500E4" w:rsidRPr="001500E4" w:rsidRDefault="001500E4" w:rsidP="001500E4">
      <w:pPr>
        <w:jc w:val="both"/>
        <w:rPr>
          <w:rFonts w:ascii="Arial" w:hAnsi="Arial" w:cs="Arial"/>
        </w:rPr>
      </w:pPr>
      <w:r w:rsidRPr="001500E4">
        <w:rPr>
          <w:rFonts w:ascii="Arial" w:hAnsi="Arial" w:cs="Arial"/>
        </w:rPr>
        <w:t>La superfluidité est un état de la matière dans lequel celle-ci se comporte comme un fluide dépourvu de toute viscosité.</w:t>
      </w:r>
    </w:p>
    <w:p w14:paraId="0F9C0BD3" w14:textId="494AEE8C" w:rsidR="001500E4" w:rsidRPr="001500E4" w:rsidRDefault="001500E4" w:rsidP="001500E4">
      <w:pPr>
        <w:pStyle w:val="Titre2"/>
        <w:jc w:val="both"/>
        <w:rPr>
          <w:b/>
          <w:bCs/>
        </w:rPr>
      </w:pPr>
      <w:bookmarkStart w:id="1" w:name="_Toc133070736"/>
      <w:r w:rsidRPr="001500E4">
        <w:rPr>
          <w:b/>
          <w:bCs/>
          <w:noProof/>
        </w:rPr>
        <w:drawing>
          <wp:anchor distT="0" distB="0" distL="114300" distR="114300" simplePos="0" relativeHeight="251658240" behindDoc="0" locked="0" layoutInCell="1" allowOverlap="1" wp14:anchorId="13A940AC" wp14:editId="3086038B">
            <wp:simplePos x="0" y="0"/>
            <wp:positionH relativeFrom="column">
              <wp:posOffset>3948430</wp:posOffset>
            </wp:positionH>
            <wp:positionV relativeFrom="paragraph">
              <wp:posOffset>73025</wp:posOffset>
            </wp:positionV>
            <wp:extent cx="2381250" cy="2562225"/>
            <wp:effectExtent l="0" t="0" r="0" b="9525"/>
            <wp:wrapSquare wrapText="bothSides"/>
            <wp:docPr id="3" name="Imag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2562225"/>
                    </a:xfrm>
                    <a:prstGeom prst="rect">
                      <a:avLst/>
                    </a:prstGeom>
                    <a:noFill/>
                    <a:ln>
                      <a:noFill/>
                    </a:ln>
                  </pic:spPr>
                </pic:pic>
              </a:graphicData>
            </a:graphic>
          </wp:anchor>
        </w:drawing>
      </w:r>
      <w:r w:rsidRPr="001500E4">
        <w:rPr>
          <w:b/>
          <w:bCs/>
        </w:rPr>
        <w:t>Point lambda</w:t>
      </w:r>
      <w:bookmarkEnd w:id="1"/>
    </w:p>
    <w:p w14:paraId="7045A86F" w14:textId="5A033D13" w:rsidR="001500E4" w:rsidRPr="001500E4" w:rsidRDefault="001500E4" w:rsidP="001500E4">
      <w:pPr>
        <w:jc w:val="both"/>
        <w:rPr>
          <w:rFonts w:ascii="Arial" w:hAnsi="Arial" w:cs="Arial"/>
        </w:rPr>
      </w:pPr>
      <w:r w:rsidRPr="001500E4">
        <w:rPr>
          <w:rFonts w:ascii="Arial" w:hAnsi="Arial" w:cs="Arial"/>
        </w:rPr>
        <w:t>Les physiciens mentionnés ci-dessus ont constaté qu'en dessous de la température critique de 2,17 </w:t>
      </w:r>
      <w:hyperlink r:id="rId9" w:tooltip="Kelvin" w:history="1">
        <w:r w:rsidRPr="001500E4">
          <w:rPr>
            <w:rFonts w:ascii="Arial" w:hAnsi="Arial" w:cs="Arial"/>
          </w:rPr>
          <w:t>kelvins</w:t>
        </w:r>
      </w:hyperlink>
      <w:r w:rsidRPr="001500E4">
        <w:rPr>
          <w:rFonts w:ascii="Arial" w:hAnsi="Arial" w:cs="Arial"/>
        </w:rPr>
        <w:t>, (soit −270,98 °C), qui est appelé le point lambda (λ), l'</w:t>
      </w:r>
      <w:hyperlink r:id="rId10" w:tooltip="Hélium 4" w:history="1">
        <w:r w:rsidRPr="001500E4">
          <w:rPr>
            <w:rFonts w:ascii="Arial" w:hAnsi="Arial" w:cs="Arial"/>
          </w:rPr>
          <w:t>hélium 4</w:t>
        </w:r>
      </w:hyperlink>
      <w:r w:rsidRPr="001500E4">
        <w:rPr>
          <w:rFonts w:ascii="Arial" w:hAnsi="Arial" w:cs="Arial"/>
        </w:rPr>
        <w:t xml:space="preserve"> subissait une </w:t>
      </w:r>
      <w:hyperlink r:id="rId11" w:tooltip="Transition de phase" w:history="1">
        <w:r w:rsidRPr="001500E4">
          <w:rPr>
            <w:rFonts w:ascii="Arial" w:hAnsi="Arial" w:cs="Arial"/>
          </w:rPr>
          <w:t>transition de phase</w:t>
        </w:r>
      </w:hyperlink>
      <w:r w:rsidRPr="001500E4">
        <w:rPr>
          <w:rFonts w:ascii="Arial" w:hAnsi="Arial" w:cs="Arial"/>
        </w:rPr>
        <w:t xml:space="preserve">. Il passait d'un état liquide à un autre aux propriétés sensiblement différentes. En effet, l'expérience, confirmée par la suite, montra que ce nouvel état de l'hélium conduisait très bien la chaleur, ce qui ne pouvait s'expliquer que par une faible </w:t>
      </w:r>
      <w:hyperlink r:id="rId12" w:history="1">
        <w:r w:rsidRPr="001500E4">
          <w:rPr>
            <w:rFonts w:ascii="Arial" w:hAnsi="Arial" w:cs="Arial"/>
          </w:rPr>
          <w:t>viscosité</w:t>
        </w:r>
      </w:hyperlink>
      <w:r w:rsidRPr="001500E4">
        <w:rPr>
          <w:rFonts w:ascii="Arial" w:hAnsi="Arial" w:cs="Arial"/>
        </w:rPr>
        <w:t xml:space="preserve">. </w:t>
      </w:r>
    </w:p>
    <w:p w14:paraId="3B5BAB0D" w14:textId="77777777" w:rsidR="001500E4" w:rsidRPr="001500E4" w:rsidRDefault="001500E4" w:rsidP="001500E4">
      <w:pPr>
        <w:pStyle w:val="NormalWeb"/>
        <w:jc w:val="both"/>
        <w:rPr>
          <w:rFonts w:ascii="Arial" w:eastAsiaTheme="minorHAnsi" w:hAnsi="Arial" w:cs="Arial"/>
          <w:sz w:val="22"/>
          <w:szCs w:val="22"/>
          <w:lang w:eastAsia="en-US"/>
        </w:rPr>
      </w:pPr>
      <w:r w:rsidRPr="001500E4">
        <w:rPr>
          <w:rFonts w:ascii="Arial" w:eastAsiaTheme="minorHAnsi" w:hAnsi="Arial" w:cs="Arial"/>
          <w:sz w:val="22"/>
          <w:szCs w:val="22"/>
          <w:lang w:eastAsia="en-US"/>
        </w:rPr>
        <w:t xml:space="preserve">Des expériences plus spécifiques à la </w:t>
      </w:r>
      <w:hyperlink r:id="rId13" w:tooltip="Mécanique des fluides" w:history="1">
        <w:r w:rsidRPr="001500E4">
          <w:rPr>
            <w:rFonts w:ascii="Arial" w:eastAsiaTheme="minorHAnsi" w:hAnsi="Arial" w:cs="Arial"/>
            <w:sz w:val="22"/>
            <w:szCs w:val="22"/>
            <w:lang w:eastAsia="en-US"/>
          </w:rPr>
          <w:t>mécanique des fluides</w:t>
        </w:r>
      </w:hyperlink>
      <w:r w:rsidRPr="001500E4">
        <w:rPr>
          <w:rFonts w:ascii="Arial" w:eastAsiaTheme="minorHAnsi" w:hAnsi="Arial" w:cs="Arial"/>
          <w:sz w:val="22"/>
          <w:szCs w:val="22"/>
          <w:lang w:eastAsia="en-US"/>
        </w:rPr>
        <w:t xml:space="preserve"> montrèrent ensuite que l'écoulement de cet hélium dans un tuyau était sensiblement indépendant de la pression appliquée sur les parois du tuyau. On a également montré que cet écoulement était indépendant de la section du tuyau en question. </w:t>
      </w:r>
    </w:p>
    <w:p w14:paraId="7F5EC0D8" w14:textId="5561ECC8" w:rsidR="001500E4" w:rsidRPr="001500E4" w:rsidRDefault="001500E4" w:rsidP="001500E4">
      <w:pPr>
        <w:pStyle w:val="NormalWeb"/>
        <w:jc w:val="both"/>
        <w:rPr>
          <w:rFonts w:ascii="Arial" w:eastAsiaTheme="minorHAnsi" w:hAnsi="Arial" w:cs="Arial"/>
          <w:sz w:val="22"/>
          <w:szCs w:val="22"/>
          <w:lang w:eastAsia="en-US"/>
        </w:rPr>
      </w:pPr>
      <w:r w:rsidRPr="001500E4">
        <w:rPr>
          <w:rFonts w:ascii="Arial" w:eastAsiaTheme="minorHAnsi" w:hAnsi="Arial" w:cs="Arial"/>
          <w:sz w:val="22"/>
          <w:szCs w:val="22"/>
          <w:lang w:eastAsia="en-US"/>
        </w:rPr>
        <w:t xml:space="preserve">Ceci ne pouvait s'expliquer que par une absence totale de </w:t>
      </w:r>
      <w:hyperlink r:id="rId14" w:tooltip="Viscosité" w:history="1">
        <w:r w:rsidRPr="001500E4">
          <w:rPr>
            <w:rFonts w:ascii="Arial" w:eastAsiaTheme="minorHAnsi" w:hAnsi="Arial" w:cs="Arial"/>
            <w:sz w:val="22"/>
            <w:szCs w:val="22"/>
            <w:lang w:eastAsia="en-US"/>
          </w:rPr>
          <w:t>viscosité</w:t>
        </w:r>
      </w:hyperlink>
      <w:r w:rsidRPr="001500E4">
        <w:rPr>
          <w:rFonts w:ascii="Arial" w:eastAsiaTheme="minorHAnsi" w:hAnsi="Arial" w:cs="Arial"/>
          <w:sz w:val="22"/>
          <w:szCs w:val="22"/>
          <w:lang w:eastAsia="en-US"/>
        </w:rPr>
        <w:t xml:space="preserve">, d'où le nom de superfluidité. Finalement, un liquide est dit superfluide s’il n'oppose aucune résistance à l'écoulement. En conséquence, les solides qui se meuvent dans le liquide ne subissent aucun </w:t>
      </w:r>
      <w:hyperlink r:id="rId15" w:tooltip="Frottement" w:history="1">
        <w:r w:rsidRPr="001500E4">
          <w:rPr>
            <w:rFonts w:ascii="Arial" w:eastAsiaTheme="minorHAnsi" w:hAnsi="Arial" w:cs="Arial"/>
            <w:sz w:val="22"/>
            <w:szCs w:val="22"/>
            <w:lang w:eastAsia="en-US"/>
          </w:rPr>
          <w:t>frottement</w:t>
        </w:r>
      </w:hyperlink>
      <w:r w:rsidRPr="001500E4">
        <w:rPr>
          <w:rFonts w:ascii="Arial" w:eastAsiaTheme="minorHAnsi" w:hAnsi="Arial" w:cs="Arial"/>
          <w:sz w:val="22"/>
          <w:szCs w:val="22"/>
          <w:lang w:eastAsia="en-US"/>
        </w:rPr>
        <w:t xml:space="preserve"> visqueux. </w:t>
      </w:r>
    </w:p>
    <w:p w14:paraId="71190D6F" w14:textId="13483D3C" w:rsidR="001500E4" w:rsidRPr="001500E4" w:rsidRDefault="001500E4" w:rsidP="001500E4">
      <w:pPr>
        <w:pStyle w:val="NormalWeb"/>
        <w:jc w:val="both"/>
        <w:rPr>
          <w:rFonts w:ascii="Arial" w:eastAsiaTheme="minorHAnsi" w:hAnsi="Arial" w:cs="Arial"/>
          <w:sz w:val="22"/>
          <w:szCs w:val="22"/>
          <w:lang w:eastAsia="en-US"/>
        </w:rPr>
      </w:pPr>
      <w:r w:rsidRPr="001500E4">
        <w:rPr>
          <w:rFonts w:ascii="Arial" w:eastAsiaTheme="minorHAnsi" w:hAnsi="Arial" w:cs="Arial"/>
          <w:sz w:val="22"/>
          <w:szCs w:val="22"/>
          <w:lang w:eastAsia="en-US"/>
        </w:rPr>
        <w:t xml:space="preserve">Un liquide superfluide placé dans un récipient va s'échapper par capillarité en remontant les parois du récipient et en s'écoulant en dessous. </w:t>
      </w:r>
    </w:p>
    <w:p w14:paraId="69255BF9" w14:textId="77777777" w:rsidR="001500E4" w:rsidRPr="001500E4" w:rsidRDefault="001500E4" w:rsidP="001500E4">
      <w:pPr>
        <w:pStyle w:val="Titre2"/>
        <w:jc w:val="both"/>
        <w:rPr>
          <w:b/>
          <w:bCs/>
        </w:rPr>
      </w:pPr>
      <w:bookmarkStart w:id="2" w:name="_Toc133070737"/>
      <w:r w:rsidRPr="001500E4">
        <w:rPr>
          <w:rStyle w:val="mw-headline"/>
          <w:b/>
          <w:bCs/>
        </w:rPr>
        <w:t>Propriété d'un superfluide</w:t>
      </w:r>
      <w:bookmarkEnd w:id="2"/>
    </w:p>
    <w:p w14:paraId="68819C76" w14:textId="6B03E540" w:rsidR="00E71370" w:rsidRPr="00CB7B0F" w:rsidRDefault="001500E4" w:rsidP="00CB7B0F">
      <w:pPr>
        <w:jc w:val="both"/>
        <w:rPr>
          <w:rFonts w:ascii="Arial" w:hAnsi="Arial" w:cs="Arial"/>
        </w:rPr>
      </w:pPr>
      <w:r w:rsidRPr="00CB7B0F">
        <w:rPr>
          <w:rFonts w:ascii="Arial" w:hAnsi="Arial" w:cs="Arial"/>
        </w:rPr>
        <w:t xml:space="preserve">D'autres propriétés remarquables d'un superfluide sont l'existence d'une conductivité thermique infinie et la présence de tourbillons possédant une </w:t>
      </w:r>
      <w:hyperlink r:id="rId16" w:tooltip="Vorticité" w:history="1">
        <w:proofErr w:type="spellStart"/>
        <w:r w:rsidRPr="00CB7B0F">
          <w:rPr>
            <w:rFonts w:ascii="Arial" w:hAnsi="Arial" w:cs="Arial"/>
          </w:rPr>
          <w:t>vorticité</w:t>
        </w:r>
        <w:proofErr w:type="spellEnd"/>
      </w:hyperlink>
      <w:r w:rsidRPr="00CB7B0F">
        <w:rPr>
          <w:rFonts w:ascii="Arial" w:hAnsi="Arial" w:cs="Arial"/>
        </w:rPr>
        <w:t xml:space="preserve"> quantifiée. Du point de vue théorique, on peut décrire l'hydrodynamique d'un superfluide par un modèle à deux fluides : le fluide normal qui possède une viscosité non nulle et le superfluide de viscosité nulle. Lorsque la température diminue, la fraction superfluide augmente et la fraction normale diminue. En dessous du point λ, l'hélium superfluide acquiert la qualité de </w:t>
      </w:r>
      <w:hyperlink r:id="rId17" w:tooltip="Supraconductivité" w:history="1">
        <w:r w:rsidRPr="00CB7B0F">
          <w:rPr>
            <w:rFonts w:ascii="Arial" w:hAnsi="Arial" w:cs="Arial"/>
          </w:rPr>
          <w:t>supraconducteur de chaleur</w:t>
        </w:r>
      </w:hyperlink>
      <w:r w:rsidRPr="00CB7B0F">
        <w:rPr>
          <w:rFonts w:ascii="Arial" w:hAnsi="Arial" w:cs="Arial"/>
        </w:rPr>
        <w:t xml:space="preserve">, c’est-à-dire qu'il ne supporte pas la moindre différence de température entre deux de ses parties. Sans quoi, l'hélium n'est plus exactement un superfluide. </w:t>
      </w:r>
    </w:p>
    <w:sectPr w:rsidR="00E71370" w:rsidRPr="00CB7B0F">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4A246" w14:textId="77777777" w:rsidR="00775F13" w:rsidRDefault="00775F13" w:rsidP="00B33482">
      <w:pPr>
        <w:spacing w:after="0" w:line="240" w:lineRule="auto"/>
      </w:pPr>
      <w:r>
        <w:separator/>
      </w:r>
    </w:p>
  </w:endnote>
  <w:endnote w:type="continuationSeparator" w:id="0">
    <w:p w14:paraId="75D2DAB9" w14:textId="77777777" w:rsidR="00775F13" w:rsidRDefault="00775F1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BDD70" w14:textId="77777777" w:rsidR="00775F13" w:rsidRDefault="00775F13" w:rsidP="00B33482">
      <w:pPr>
        <w:spacing w:after="0" w:line="240" w:lineRule="auto"/>
      </w:pPr>
      <w:r>
        <w:separator/>
      </w:r>
    </w:p>
  </w:footnote>
  <w:footnote w:type="continuationSeparator" w:id="0">
    <w:p w14:paraId="01CC1CEB" w14:textId="77777777" w:rsidR="00775F13" w:rsidRDefault="00775F1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4E1D74E7" w:rsidR="00B33482" w:rsidRPr="00F67AFF" w:rsidRDefault="002F3680" w:rsidP="00F67AFF">
    <w:pPr>
      <w:pStyle w:val="En-tte"/>
    </w:pPr>
    <w:r>
      <w:t>PHYSIQUE - Superfluidité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500E4"/>
    <w:rsid w:val="00275575"/>
    <w:rsid w:val="002D54BA"/>
    <w:rsid w:val="002F3680"/>
    <w:rsid w:val="003618C1"/>
    <w:rsid w:val="003A01AC"/>
    <w:rsid w:val="003D5A98"/>
    <w:rsid w:val="005C020A"/>
    <w:rsid w:val="00757B00"/>
    <w:rsid w:val="00775F13"/>
    <w:rsid w:val="007B298A"/>
    <w:rsid w:val="007E575E"/>
    <w:rsid w:val="00832021"/>
    <w:rsid w:val="008E7FE0"/>
    <w:rsid w:val="0095463C"/>
    <w:rsid w:val="00B33482"/>
    <w:rsid w:val="00B84C30"/>
    <w:rsid w:val="00B94464"/>
    <w:rsid w:val="00BF3640"/>
    <w:rsid w:val="00CB7B0F"/>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CB7B0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CB7B0F"/>
    <w:pPr>
      <w:spacing w:after="100"/>
    </w:pPr>
  </w:style>
  <w:style w:type="paragraph" w:styleId="TM2">
    <w:name w:val="toc 2"/>
    <w:basedOn w:val="Normal"/>
    <w:next w:val="Normal"/>
    <w:autoRedefine/>
    <w:uiPriority w:val="39"/>
    <w:unhideWhenUsed/>
    <w:rsid w:val="00CB7B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64653363">
      <w:bodyDiv w:val="1"/>
      <w:marLeft w:val="0"/>
      <w:marRight w:val="0"/>
      <w:marTop w:val="0"/>
      <w:marBottom w:val="0"/>
      <w:divBdr>
        <w:top w:val="none" w:sz="0" w:space="0" w:color="auto"/>
        <w:left w:val="none" w:sz="0" w:space="0" w:color="auto"/>
        <w:bottom w:val="none" w:sz="0" w:space="0" w:color="auto"/>
        <w:right w:val="none" w:sz="0" w:space="0" w:color="auto"/>
      </w:divBdr>
      <w:divsChild>
        <w:div w:id="1458521780">
          <w:marLeft w:val="0"/>
          <w:marRight w:val="0"/>
          <w:marTop w:val="0"/>
          <w:marBottom w:val="0"/>
          <w:divBdr>
            <w:top w:val="none" w:sz="0" w:space="0" w:color="auto"/>
            <w:left w:val="none" w:sz="0" w:space="0" w:color="auto"/>
            <w:bottom w:val="none" w:sz="0" w:space="0" w:color="auto"/>
            <w:right w:val="none" w:sz="0" w:space="0" w:color="auto"/>
          </w:divBdr>
        </w:div>
        <w:div w:id="1910267002">
          <w:marLeft w:val="0"/>
          <w:marRight w:val="0"/>
          <w:marTop w:val="0"/>
          <w:marBottom w:val="0"/>
          <w:divBdr>
            <w:top w:val="none" w:sz="0" w:space="0" w:color="auto"/>
            <w:left w:val="none" w:sz="0" w:space="0" w:color="auto"/>
            <w:bottom w:val="none" w:sz="0" w:space="0" w:color="auto"/>
            <w:right w:val="none" w:sz="0" w:space="0" w:color="auto"/>
          </w:divBdr>
          <w:divsChild>
            <w:div w:id="775519207">
              <w:marLeft w:val="0"/>
              <w:marRight w:val="0"/>
              <w:marTop w:val="0"/>
              <w:marBottom w:val="0"/>
              <w:divBdr>
                <w:top w:val="none" w:sz="0" w:space="0" w:color="auto"/>
                <w:left w:val="none" w:sz="0" w:space="0" w:color="auto"/>
                <w:bottom w:val="none" w:sz="0" w:space="0" w:color="auto"/>
                <w:right w:val="none" w:sz="0" w:space="0" w:color="auto"/>
              </w:divBdr>
              <w:divsChild>
                <w:div w:id="273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8767">
          <w:marLeft w:val="0"/>
          <w:marRight w:val="0"/>
          <w:marTop w:val="0"/>
          <w:marBottom w:val="0"/>
          <w:divBdr>
            <w:top w:val="none" w:sz="0" w:space="0" w:color="auto"/>
            <w:left w:val="none" w:sz="0" w:space="0" w:color="auto"/>
            <w:bottom w:val="none" w:sz="0" w:space="0" w:color="auto"/>
            <w:right w:val="none" w:sz="0" w:space="0" w:color="auto"/>
          </w:divBdr>
        </w:div>
        <w:div w:id="1703626744">
          <w:marLeft w:val="0"/>
          <w:marRight w:val="0"/>
          <w:marTop w:val="0"/>
          <w:marBottom w:val="0"/>
          <w:divBdr>
            <w:top w:val="none" w:sz="0" w:space="0" w:color="auto"/>
            <w:left w:val="none" w:sz="0" w:space="0" w:color="auto"/>
            <w:bottom w:val="none" w:sz="0" w:space="0" w:color="auto"/>
            <w:right w:val="none" w:sz="0" w:space="0" w:color="auto"/>
          </w:divBdr>
          <w:divsChild>
            <w:div w:id="984965029">
              <w:marLeft w:val="0"/>
              <w:marRight w:val="0"/>
              <w:marTop w:val="0"/>
              <w:marBottom w:val="0"/>
              <w:divBdr>
                <w:top w:val="none" w:sz="0" w:space="0" w:color="auto"/>
                <w:left w:val="none" w:sz="0" w:space="0" w:color="auto"/>
                <w:bottom w:val="none" w:sz="0" w:space="0" w:color="auto"/>
                <w:right w:val="none" w:sz="0" w:space="0" w:color="auto"/>
              </w:divBdr>
              <w:divsChild>
                <w:div w:id="13232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2599">
          <w:marLeft w:val="0"/>
          <w:marRight w:val="0"/>
          <w:marTop w:val="0"/>
          <w:marBottom w:val="0"/>
          <w:divBdr>
            <w:top w:val="none" w:sz="0" w:space="0" w:color="auto"/>
            <w:left w:val="none" w:sz="0" w:space="0" w:color="auto"/>
            <w:bottom w:val="none" w:sz="0" w:space="0" w:color="auto"/>
            <w:right w:val="none" w:sz="0" w:space="0" w:color="auto"/>
          </w:divBdr>
          <w:divsChild>
            <w:div w:id="583949971">
              <w:marLeft w:val="0"/>
              <w:marRight w:val="0"/>
              <w:marTop w:val="0"/>
              <w:marBottom w:val="0"/>
              <w:divBdr>
                <w:top w:val="none" w:sz="0" w:space="0" w:color="auto"/>
                <w:left w:val="none" w:sz="0" w:space="0" w:color="auto"/>
                <w:bottom w:val="none" w:sz="0" w:space="0" w:color="auto"/>
                <w:right w:val="none" w:sz="0" w:space="0" w:color="auto"/>
              </w:divBdr>
            </w:div>
          </w:divsChild>
        </w:div>
        <w:div w:id="1248613441">
          <w:marLeft w:val="0"/>
          <w:marRight w:val="0"/>
          <w:marTop w:val="0"/>
          <w:marBottom w:val="0"/>
          <w:divBdr>
            <w:top w:val="none" w:sz="0" w:space="0" w:color="auto"/>
            <w:left w:val="none" w:sz="0" w:space="0" w:color="auto"/>
            <w:bottom w:val="none" w:sz="0" w:space="0" w:color="auto"/>
            <w:right w:val="none" w:sz="0" w:space="0" w:color="auto"/>
          </w:divBdr>
          <w:divsChild>
            <w:div w:id="1588223595">
              <w:marLeft w:val="0"/>
              <w:marRight w:val="0"/>
              <w:marTop w:val="0"/>
              <w:marBottom w:val="0"/>
              <w:divBdr>
                <w:top w:val="none" w:sz="0" w:space="0" w:color="auto"/>
                <w:left w:val="none" w:sz="0" w:space="0" w:color="auto"/>
                <w:bottom w:val="none" w:sz="0" w:space="0" w:color="auto"/>
                <w:right w:val="none" w:sz="0" w:space="0" w:color="auto"/>
              </w:divBdr>
              <w:divsChild>
                <w:div w:id="21374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wikipedia.org/wiki/M%C3%A9canique_des_fluide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mmons.wikimedia.org/wiki/File:Diagramme_p(t)_de_l%27h%C3%A9lium.svg?uselang=fr" TargetMode="External"/><Relationship Id="rId12" Type="http://schemas.openxmlformats.org/officeDocument/2006/relationships/hyperlink" Target="https://fr.wikipedia.org/wiki/Viscosit%C3%A9" TargetMode="External"/><Relationship Id="rId17" Type="http://schemas.openxmlformats.org/officeDocument/2006/relationships/hyperlink" Target="https://fr.wikipedia.org/wiki/Supraconductivit%C3%A9" TargetMode="External"/><Relationship Id="rId2" Type="http://schemas.openxmlformats.org/officeDocument/2006/relationships/styles" Target="styles.xml"/><Relationship Id="rId16" Type="http://schemas.openxmlformats.org/officeDocument/2006/relationships/hyperlink" Target="https://fr.wikipedia.org/wiki/Vorticit%C3%A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Transition_de_phase" TargetMode="External"/><Relationship Id="rId5" Type="http://schemas.openxmlformats.org/officeDocument/2006/relationships/footnotes" Target="footnotes.xml"/><Relationship Id="rId15" Type="http://schemas.openxmlformats.org/officeDocument/2006/relationships/hyperlink" Target="https://fr.wikipedia.org/wiki/Frottement" TargetMode="External"/><Relationship Id="rId10" Type="http://schemas.openxmlformats.org/officeDocument/2006/relationships/hyperlink" Target="https://fr.wikipedia.org/wiki/H%C3%A9lium_4"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r.wikipedia.org/wiki/Kelvin" TargetMode="External"/><Relationship Id="rId14" Type="http://schemas.openxmlformats.org/officeDocument/2006/relationships/hyperlink" Target="https://fr.wikipedia.org/wiki/Viscosit%C3%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476</Words>
  <Characters>2623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21</cp:revision>
  <dcterms:created xsi:type="dcterms:W3CDTF">2022-11-21T18:39:00Z</dcterms:created>
  <dcterms:modified xsi:type="dcterms:W3CDTF">2023-04-22T13:45:00Z</dcterms:modified>
</cp:coreProperties>
</file>