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7F2540B7" w:rsidR="00B33482" w:rsidRDefault="001D1916" w:rsidP="00CF7E83">
      <w:pPr>
        <w:pStyle w:val="Titre1"/>
        <w:jc w:val="both"/>
      </w:pPr>
      <w:bookmarkStart w:id="0" w:name="_Toc168837603"/>
      <w:r>
        <w:t>Supraconducteur</w:t>
      </w:r>
      <w:bookmarkEnd w:id="0"/>
    </w:p>
    <w:sdt>
      <w:sdtPr>
        <w:rPr>
          <w:rFonts w:asciiTheme="minorHAnsi" w:eastAsiaTheme="minorHAnsi" w:hAnsiTheme="minorHAnsi" w:cstheme="minorBidi"/>
          <w:color w:val="auto"/>
          <w:sz w:val="22"/>
          <w:szCs w:val="22"/>
          <w:lang w:eastAsia="en-US"/>
        </w:rPr>
        <w:id w:val="-1751033241"/>
        <w:docPartObj>
          <w:docPartGallery w:val="Table of Contents"/>
          <w:docPartUnique/>
        </w:docPartObj>
      </w:sdtPr>
      <w:sdtEndPr>
        <w:rPr>
          <w:b/>
          <w:bCs/>
        </w:rPr>
      </w:sdtEndPr>
      <w:sdtContent>
        <w:p w14:paraId="37602E51" w14:textId="618F0A6A" w:rsidR="004C0A21" w:rsidRDefault="004C0A21">
          <w:pPr>
            <w:pStyle w:val="En-ttedetabledesmatires"/>
          </w:pPr>
          <w:r>
            <w:t>Table des matières</w:t>
          </w:r>
        </w:p>
        <w:p w14:paraId="4B355D1A" w14:textId="56587E33" w:rsidR="0067256F" w:rsidRDefault="004C0A21">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8837603" w:history="1">
            <w:r w:rsidR="0067256F" w:rsidRPr="00672EFC">
              <w:rPr>
                <w:rStyle w:val="Lienhypertexte"/>
                <w:noProof/>
              </w:rPr>
              <w:t>Supraconducteur</w:t>
            </w:r>
            <w:r w:rsidR="0067256F">
              <w:rPr>
                <w:noProof/>
                <w:webHidden/>
              </w:rPr>
              <w:tab/>
            </w:r>
            <w:r w:rsidR="0067256F">
              <w:rPr>
                <w:noProof/>
                <w:webHidden/>
              </w:rPr>
              <w:fldChar w:fldCharType="begin"/>
            </w:r>
            <w:r w:rsidR="0067256F">
              <w:rPr>
                <w:noProof/>
                <w:webHidden/>
              </w:rPr>
              <w:instrText xml:space="preserve"> PAGEREF _Toc168837603 \h </w:instrText>
            </w:r>
            <w:r w:rsidR="0067256F">
              <w:rPr>
                <w:noProof/>
                <w:webHidden/>
              </w:rPr>
            </w:r>
            <w:r w:rsidR="0067256F">
              <w:rPr>
                <w:noProof/>
                <w:webHidden/>
              </w:rPr>
              <w:fldChar w:fldCharType="separate"/>
            </w:r>
            <w:r w:rsidR="0067256F">
              <w:rPr>
                <w:noProof/>
                <w:webHidden/>
              </w:rPr>
              <w:t>1</w:t>
            </w:r>
            <w:r w:rsidR="0067256F">
              <w:rPr>
                <w:noProof/>
                <w:webHidden/>
              </w:rPr>
              <w:fldChar w:fldCharType="end"/>
            </w:r>
          </w:hyperlink>
        </w:p>
        <w:p w14:paraId="59417F97" w14:textId="5E6EE1C1" w:rsidR="0067256F" w:rsidRDefault="0067256F">
          <w:pPr>
            <w:pStyle w:val="TM2"/>
            <w:tabs>
              <w:tab w:val="right" w:leader="dot" w:pos="9062"/>
            </w:tabs>
            <w:rPr>
              <w:rFonts w:eastAsiaTheme="minorEastAsia"/>
              <w:noProof/>
              <w:kern w:val="2"/>
              <w:lang w:eastAsia="fr-FR"/>
              <w14:ligatures w14:val="standardContextual"/>
            </w:rPr>
          </w:pPr>
          <w:hyperlink w:anchor="_Toc168837604" w:history="1">
            <w:r w:rsidRPr="00672EFC">
              <w:rPr>
                <w:rStyle w:val="Lienhypertexte"/>
                <w:b/>
                <w:bCs/>
                <w:noProof/>
              </w:rPr>
              <w:t>Introduction</w:t>
            </w:r>
            <w:r>
              <w:rPr>
                <w:noProof/>
                <w:webHidden/>
              </w:rPr>
              <w:tab/>
            </w:r>
            <w:r>
              <w:rPr>
                <w:noProof/>
                <w:webHidden/>
              </w:rPr>
              <w:fldChar w:fldCharType="begin"/>
            </w:r>
            <w:r>
              <w:rPr>
                <w:noProof/>
                <w:webHidden/>
              </w:rPr>
              <w:instrText xml:space="preserve"> PAGEREF _Toc168837604 \h </w:instrText>
            </w:r>
            <w:r>
              <w:rPr>
                <w:noProof/>
                <w:webHidden/>
              </w:rPr>
            </w:r>
            <w:r>
              <w:rPr>
                <w:noProof/>
                <w:webHidden/>
              </w:rPr>
              <w:fldChar w:fldCharType="separate"/>
            </w:r>
            <w:r>
              <w:rPr>
                <w:noProof/>
                <w:webHidden/>
              </w:rPr>
              <w:t>1</w:t>
            </w:r>
            <w:r>
              <w:rPr>
                <w:noProof/>
                <w:webHidden/>
              </w:rPr>
              <w:fldChar w:fldCharType="end"/>
            </w:r>
          </w:hyperlink>
        </w:p>
        <w:p w14:paraId="40C8B932" w14:textId="373F52B9" w:rsidR="0067256F" w:rsidRDefault="0067256F">
          <w:pPr>
            <w:pStyle w:val="TM2"/>
            <w:tabs>
              <w:tab w:val="right" w:leader="dot" w:pos="9062"/>
            </w:tabs>
            <w:rPr>
              <w:rFonts w:eastAsiaTheme="minorEastAsia"/>
              <w:noProof/>
              <w:kern w:val="2"/>
              <w:lang w:eastAsia="fr-FR"/>
              <w14:ligatures w14:val="standardContextual"/>
            </w:rPr>
          </w:pPr>
          <w:hyperlink w:anchor="_Toc168837605" w:history="1">
            <w:r w:rsidRPr="00672EFC">
              <w:rPr>
                <w:rStyle w:val="Lienhypertexte"/>
                <w:b/>
                <w:bCs/>
                <w:noProof/>
              </w:rPr>
              <w:t>Effet Meissner</w:t>
            </w:r>
            <w:r>
              <w:rPr>
                <w:noProof/>
                <w:webHidden/>
              </w:rPr>
              <w:tab/>
            </w:r>
            <w:r>
              <w:rPr>
                <w:noProof/>
                <w:webHidden/>
              </w:rPr>
              <w:fldChar w:fldCharType="begin"/>
            </w:r>
            <w:r>
              <w:rPr>
                <w:noProof/>
                <w:webHidden/>
              </w:rPr>
              <w:instrText xml:space="preserve"> PAGEREF _Toc168837605 \h </w:instrText>
            </w:r>
            <w:r>
              <w:rPr>
                <w:noProof/>
                <w:webHidden/>
              </w:rPr>
            </w:r>
            <w:r>
              <w:rPr>
                <w:noProof/>
                <w:webHidden/>
              </w:rPr>
              <w:fldChar w:fldCharType="separate"/>
            </w:r>
            <w:r>
              <w:rPr>
                <w:noProof/>
                <w:webHidden/>
              </w:rPr>
              <w:t>2</w:t>
            </w:r>
            <w:r>
              <w:rPr>
                <w:noProof/>
                <w:webHidden/>
              </w:rPr>
              <w:fldChar w:fldCharType="end"/>
            </w:r>
          </w:hyperlink>
        </w:p>
        <w:p w14:paraId="6F7577DF" w14:textId="1070A392" w:rsidR="0067256F" w:rsidRDefault="0067256F">
          <w:pPr>
            <w:pStyle w:val="TM2"/>
            <w:tabs>
              <w:tab w:val="right" w:leader="dot" w:pos="9062"/>
            </w:tabs>
            <w:rPr>
              <w:rFonts w:eastAsiaTheme="minorEastAsia"/>
              <w:noProof/>
              <w:kern w:val="2"/>
              <w:lang w:eastAsia="fr-FR"/>
              <w14:ligatures w14:val="standardContextual"/>
            </w:rPr>
          </w:pPr>
          <w:hyperlink w:anchor="_Toc168837606" w:history="1">
            <w:r w:rsidRPr="00672EFC">
              <w:rPr>
                <w:rStyle w:val="Lienhypertexte"/>
                <w:b/>
                <w:bCs/>
                <w:noProof/>
              </w:rPr>
              <w:t>Théorie de Ginzburg-Landau</w:t>
            </w:r>
            <w:r>
              <w:rPr>
                <w:noProof/>
                <w:webHidden/>
              </w:rPr>
              <w:tab/>
            </w:r>
            <w:r>
              <w:rPr>
                <w:noProof/>
                <w:webHidden/>
              </w:rPr>
              <w:fldChar w:fldCharType="begin"/>
            </w:r>
            <w:r>
              <w:rPr>
                <w:noProof/>
                <w:webHidden/>
              </w:rPr>
              <w:instrText xml:space="preserve"> PAGEREF _Toc168837606 \h </w:instrText>
            </w:r>
            <w:r>
              <w:rPr>
                <w:noProof/>
                <w:webHidden/>
              </w:rPr>
            </w:r>
            <w:r>
              <w:rPr>
                <w:noProof/>
                <w:webHidden/>
              </w:rPr>
              <w:fldChar w:fldCharType="separate"/>
            </w:r>
            <w:r>
              <w:rPr>
                <w:noProof/>
                <w:webHidden/>
              </w:rPr>
              <w:t>3</w:t>
            </w:r>
            <w:r>
              <w:rPr>
                <w:noProof/>
                <w:webHidden/>
              </w:rPr>
              <w:fldChar w:fldCharType="end"/>
            </w:r>
          </w:hyperlink>
        </w:p>
        <w:p w14:paraId="08849582" w14:textId="7531E3E2" w:rsidR="0067256F" w:rsidRDefault="0067256F">
          <w:pPr>
            <w:pStyle w:val="TM2"/>
            <w:tabs>
              <w:tab w:val="right" w:leader="dot" w:pos="9062"/>
            </w:tabs>
            <w:rPr>
              <w:rFonts w:eastAsiaTheme="minorEastAsia"/>
              <w:noProof/>
              <w:kern w:val="2"/>
              <w:lang w:eastAsia="fr-FR"/>
              <w14:ligatures w14:val="standardContextual"/>
            </w:rPr>
          </w:pPr>
          <w:hyperlink w:anchor="_Toc168837607" w:history="1">
            <w:r w:rsidRPr="00672EFC">
              <w:rPr>
                <w:rStyle w:val="Lienhypertexte"/>
                <w:b/>
                <w:bCs/>
                <w:noProof/>
              </w:rPr>
              <w:t>Supraconducteurs de type I</w:t>
            </w:r>
            <w:r>
              <w:rPr>
                <w:noProof/>
                <w:webHidden/>
              </w:rPr>
              <w:tab/>
            </w:r>
            <w:r>
              <w:rPr>
                <w:noProof/>
                <w:webHidden/>
              </w:rPr>
              <w:fldChar w:fldCharType="begin"/>
            </w:r>
            <w:r>
              <w:rPr>
                <w:noProof/>
                <w:webHidden/>
              </w:rPr>
              <w:instrText xml:space="preserve"> PAGEREF _Toc168837607 \h </w:instrText>
            </w:r>
            <w:r>
              <w:rPr>
                <w:noProof/>
                <w:webHidden/>
              </w:rPr>
            </w:r>
            <w:r>
              <w:rPr>
                <w:noProof/>
                <w:webHidden/>
              </w:rPr>
              <w:fldChar w:fldCharType="separate"/>
            </w:r>
            <w:r>
              <w:rPr>
                <w:noProof/>
                <w:webHidden/>
              </w:rPr>
              <w:t>3</w:t>
            </w:r>
            <w:r>
              <w:rPr>
                <w:noProof/>
                <w:webHidden/>
              </w:rPr>
              <w:fldChar w:fldCharType="end"/>
            </w:r>
          </w:hyperlink>
        </w:p>
        <w:p w14:paraId="61685A7E" w14:textId="49DC01B9" w:rsidR="0067256F" w:rsidRDefault="0067256F">
          <w:pPr>
            <w:pStyle w:val="TM2"/>
            <w:tabs>
              <w:tab w:val="right" w:leader="dot" w:pos="9062"/>
            </w:tabs>
            <w:rPr>
              <w:rFonts w:eastAsiaTheme="minorEastAsia"/>
              <w:noProof/>
              <w:kern w:val="2"/>
              <w:lang w:eastAsia="fr-FR"/>
              <w14:ligatures w14:val="standardContextual"/>
            </w:rPr>
          </w:pPr>
          <w:hyperlink w:anchor="_Toc168837608" w:history="1">
            <w:r w:rsidRPr="00672EFC">
              <w:rPr>
                <w:rStyle w:val="Lienhypertexte"/>
                <w:b/>
                <w:bCs/>
                <w:noProof/>
              </w:rPr>
              <w:t>Supraconducteur de type II</w:t>
            </w:r>
            <w:r>
              <w:rPr>
                <w:noProof/>
                <w:webHidden/>
              </w:rPr>
              <w:tab/>
            </w:r>
            <w:r>
              <w:rPr>
                <w:noProof/>
                <w:webHidden/>
              </w:rPr>
              <w:fldChar w:fldCharType="begin"/>
            </w:r>
            <w:r>
              <w:rPr>
                <w:noProof/>
                <w:webHidden/>
              </w:rPr>
              <w:instrText xml:space="preserve"> PAGEREF _Toc168837608 \h </w:instrText>
            </w:r>
            <w:r>
              <w:rPr>
                <w:noProof/>
                <w:webHidden/>
              </w:rPr>
            </w:r>
            <w:r>
              <w:rPr>
                <w:noProof/>
                <w:webHidden/>
              </w:rPr>
              <w:fldChar w:fldCharType="separate"/>
            </w:r>
            <w:r>
              <w:rPr>
                <w:noProof/>
                <w:webHidden/>
              </w:rPr>
              <w:t>3</w:t>
            </w:r>
            <w:r>
              <w:rPr>
                <w:noProof/>
                <w:webHidden/>
              </w:rPr>
              <w:fldChar w:fldCharType="end"/>
            </w:r>
          </w:hyperlink>
        </w:p>
        <w:p w14:paraId="7B646B70" w14:textId="43BD3D05" w:rsidR="0067256F" w:rsidRDefault="0067256F">
          <w:pPr>
            <w:pStyle w:val="TM2"/>
            <w:tabs>
              <w:tab w:val="right" w:leader="dot" w:pos="9062"/>
            </w:tabs>
            <w:rPr>
              <w:rFonts w:eastAsiaTheme="minorEastAsia"/>
              <w:noProof/>
              <w:kern w:val="2"/>
              <w:lang w:eastAsia="fr-FR"/>
              <w14:ligatures w14:val="standardContextual"/>
            </w:rPr>
          </w:pPr>
          <w:hyperlink w:anchor="_Toc168837609" w:history="1">
            <w:r w:rsidRPr="00672EFC">
              <w:rPr>
                <w:rStyle w:val="Lienhypertexte"/>
                <w:b/>
                <w:bCs/>
                <w:noProof/>
              </w:rPr>
              <w:t>Supraconducteur à haute température</w:t>
            </w:r>
            <w:r>
              <w:rPr>
                <w:noProof/>
                <w:webHidden/>
              </w:rPr>
              <w:tab/>
            </w:r>
            <w:r>
              <w:rPr>
                <w:noProof/>
                <w:webHidden/>
              </w:rPr>
              <w:fldChar w:fldCharType="begin"/>
            </w:r>
            <w:r>
              <w:rPr>
                <w:noProof/>
                <w:webHidden/>
              </w:rPr>
              <w:instrText xml:space="preserve"> PAGEREF _Toc168837609 \h </w:instrText>
            </w:r>
            <w:r>
              <w:rPr>
                <w:noProof/>
                <w:webHidden/>
              </w:rPr>
            </w:r>
            <w:r>
              <w:rPr>
                <w:noProof/>
                <w:webHidden/>
              </w:rPr>
              <w:fldChar w:fldCharType="separate"/>
            </w:r>
            <w:r>
              <w:rPr>
                <w:noProof/>
                <w:webHidden/>
              </w:rPr>
              <w:t>4</w:t>
            </w:r>
            <w:r>
              <w:rPr>
                <w:noProof/>
                <w:webHidden/>
              </w:rPr>
              <w:fldChar w:fldCharType="end"/>
            </w:r>
          </w:hyperlink>
        </w:p>
        <w:p w14:paraId="567A9575" w14:textId="777A4B54" w:rsidR="0067256F" w:rsidRDefault="0067256F">
          <w:pPr>
            <w:pStyle w:val="TM3"/>
            <w:tabs>
              <w:tab w:val="right" w:leader="dot" w:pos="9062"/>
            </w:tabs>
            <w:rPr>
              <w:noProof/>
            </w:rPr>
          </w:pPr>
          <w:hyperlink w:anchor="_Toc168837610" w:history="1">
            <w:r w:rsidRPr="00672EFC">
              <w:rPr>
                <w:rStyle w:val="Lienhypertexte"/>
                <w:noProof/>
              </w:rPr>
              <w:t>Théorie BCS</w:t>
            </w:r>
            <w:r>
              <w:rPr>
                <w:noProof/>
                <w:webHidden/>
              </w:rPr>
              <w:tab/>
            </w:r>
            <w:r>
              <w:rPr>
                <w:noProof/>
                <w:webHidden/>
              </w:rPr>
              <w:fldChar w:fldCharType="begin"/>
            </w:r>
            <w:r>
              <w:rPr>
                <w:noProof/>
                <w:webHidden/>
              </w:rPr>
              <w:instrText xml:space="preserve"> PAGEREF _Toc168837610 \h </w:instrText>
            </w:r>
            <w:r>
              <w:rPr>
                <w:noProof/>
                <w:webHidden/>
              </w:rPr>
            </w:r>
            <w:r>
              <w:rPr>
                <w:noProof/>
                <w:webHidden/>
              </w:rPr>
              <w:fldChar w:fldCharType="separate"/>
            </w:r>
            <w:r>
              <w:rPr>
                <w:noProof/>
                <w:webHidden/>
              </w:rPr>
              <w:t>4</w:t>
            </w:r>
            <w:r>
              <w:rPr>
                <w:noProof/>
                <w:webHidden/>
              </w:rPr>
              <w:fldChar w:fldCharType="end"/>
            </w:r>
          </w:hyperlink>
        </w:p>
        <w:p w14:paraId="7FDDA660" w14:textId="37C48764" w:rsidR="004C0A21" w:rsidRDefault="004C0A21">
          <w:r>
            <w:rPr>
              <w:b/>
              <w:bCs/>
            </w:rPr>
            <w:fldChar w:fldCharType="end"/>
          </w:r>
        </w:p>
      </w:sdtContent>
    </w:sdt>
    <w:p w14:paraId="1E354F7B" w14:textId="77777777" w:rsidR="004C0A21" w:rsidRPr="007E575E" w:rsidRDefault="004C0A21" w:rsidP="00CF7E83">
      <w:pPr>
        <w:pStyle w:val="Titre1"/>
        <w:jc w:val="both"/>
      </w:pPr>
    </w:p>
    <w:p w14:paraId="23ECA171" w14:textId="73D83C5A" w:rsidR="002D54BA" w:rsidRPr="008B6E24" w:rsidRDefault="003D5A98" w:rsidP="00CF7E83">
      <w:pPr>
        <w:pStyle w:val="Titre2"/>
        <w:jc w:val="both"/>
        <w:rPr>
          <w:b/>
          <w:bCs/>
        </w:rPr>
      </w:pPr>
      <w:bookmarkStart w:id="1" w:name="_Toc168837604"/>
      <w:r w:rsidRPr="008B6E24">
        <w:rPr>
          <w:b/>
          <w:bCs/>
        </w:rPr>
        <w:t>Introduction</w:t>
      </w:r>
      <w:bookmarkEnd w:id="1"/>
    </w:p>
    <w:p w14:paraId="3EE4B42B" w14:textId="4A090702" w:rsidR="008B6E24" w:rsidRPr="008B6E24" w:rsidRDefault="00E201AE" w:rsidP="00CF7E83">
      <w:pPr>
        <w:pStyle w:val="NormalWeb"/>
        <w:jc w:val="both"/>
        <w:rPr>
          <w:rFonts w:ascii="Arial" w:eastAsiaTheme="minorHAnsi" w:hAnsi="Arial" w:cs="Arial"/>
          <w:sz w:val="22"/>
          <w:szCs w:val="22"/>
          <w:lang w:eastAsia="en-US"/>
        </w:rPr>
      </w:pPr>
      <w:r>
        <w:rPr>
          <w:noProof/>
        </w:rPr>
        <w:drawing>
          <wp:anchor distT="0" distB="0" distL="114300" distR="114300" simplePos="0" relativeHeight="251660288" behindDoc="0" locked="0" layoutInCell="1" allowOverlap="1" wp14:anchorId="1210FB98" wp14:editId="506E5377">
            <wp:simplePos x="0" y="0"/>
            <wp:positionH relativeFrom="column">
              <wp:posOffset>3900805</wp:posOffset>
            </wp:positionH>
            <wp:positionV relativeFrom="paragraph">
              <wp:posOffset>193040</wp:posOffset>
            </wp:positionV>
            <wp:extent cx="2209800" cy="165735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9800" cy="1657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6E24" w:rsidRPr="008B6E24">
        <w:rPr>
          <w:rFonts w:ascii="Arial" w:eastAsiaTheme="minorHAnsi" w:hAnsi="Arial" w:cs="Arial"/>
          <w:sz w:val="22"/>
          <w:szCs w:val="22"/>
          <w:lang w:eastAsia="en-US"/>
        </w:rPr>
        <w:t xml:space="preserve">La supraconductivité, ou supraconduction, est un phénomène caractérisé par l'absence de résistance électrique et l'expulsion du champ magnétique — l'effet Meissner — à l'intérieur de certains matériaux dits supraconducteurs. </w:t>
      </w:r>
    </w:p>
    <w:p w14:paraId="66E0A977" w14:textId="348B1F35" w:rsidR="008B6E24" w:rsidRPr="008B6E24" w:rsidRDefault="008B6E24" w:rsidP="00CF7E83">
      <w:pPr>
        <w:pStyle w:val="NormalWeb"/>
        <w:jc w:val="both"/>
        <w:rPr>
          <w:rFonts w:ascii="Arial" w:eastAsiaTheme="minorHAnsi" w:hAnsi="Arial" w:cs="Arial"/>
          <w:sz w:val="22"/>
          <w:szCs w:val="22"/>
          <w:lang w:eastAsia="en-US"/>
        </w:rPr>
      </w:pPr>
      <w:r w:rsidRPr="008B6E24">
        <w:rPr>
          <w:rFonts w:ascii="Arial" w:eastAsiaTheme="minorHAnsi" w:hAnsi="Arial" w:cs="Arial"/>
          <w:sz w:val="22"/>
          <w:szCs w:val="22"/>
          <w:lang w:eastAsia="en-US"/>
        </w:rPr>
        <w:t xml:space="preserve">La supraconductivité découverte historiquement en premier, et que l'on nomme communément supraconductivité conventionnelle, se manifeste à des températures très basses, proches du zéro absolu (−273,15 °C). La supraconductivité permet notamment de transporter de l'électricité sans perte d'énergie. Ses applications potentielles sont stratégiques. </w:t>
      </w:r>
    </w:p>
    <w:p w14:paraId="53D21DE2" w14:textId="04285BC6" w:rsidR="008B6E24" w:rsidRPr="008B6E24" w:rsidRDefault="008B6E24" w:rsidP="00CF7E83">
      <w:pPr>
        <w:pStyle w:val="NormalWeb"/>
        <w:jc w:val="both"/>
        <w:rPr>
          <w:rFonts w:ascii="Arial" w:eastAsiaTheme="minorHAnsi" w:hAnsi="Arial" w:cs="Arial"/>
          <w:sz w:val="22"/>
          <w:szCs w:val="22"/>
          <w:lang w:eastAsia="en-US"/>
        </w:rPr>
      </w:pPr>
      <w:r w:rsidRPr="008B6E24">
        <w:rPr>
          <w:rFonts w:ascii="Arial" w:eastAsiaTheme="minorHAnsi" w:hAnsi="Arial" w:cs="Arial"/>
          <w:sz w:val="22"/>
          <w:szCs w:val="22"/>
          <w:lang w:eastAsia="en-US"/>
        </w:rPr>
        <w:t xml:space="preserve">Dans les supraconducteurs conventionnels, des interactions complexes se produisent entre les atomes et les électrons libres et conduisent à l'apparition de paires liées d'électrons, appelées paires de Cooper. L'explication de la supraconductivité est intimement liée aux caractéristiques quantiques de la matière. Alors que les électrons sont des fermions, les paires d'électrons se comportent comme des bosons de spin égal à 0 nommé singulet, et sont « condensées » dans un seul état quantique, sous la forme d'un superfluide de paires de Cooper. </w:t>
      </w:r>
    </w:p>
    <w:p w14:paraId="3ED15745" w14:textId="742CB64E" w:rsidR="008B6E24" w:rsidRDefault="008B6E24" w:rsidP="00CF7E83">
      <w:pPr>
        <w:pStyle w:val="NormalWeb"/>
        <w:jc w:val="both"/>
        <w:rPr>
          <w:rFonts w:ascii="Arial" w:eastAsiaTheme="minorHAnsi" w:hAnsi="Arial" w:cs="Arial"/>
          <w:sz w:val="22"/>
          <w:szCs w:val="22"/>
          <w:lang w:eastAsia="en-US"/>
        </w:rPr>
      </w:pPr>
      <w:r w:rsidRPr="008B6E24">
        <w:rPr>
          <w:rFonts w:ascii="Arial" w:eastAsiaTheme="minorHAnsi" w:hAnsi="Arial" w:cs="Arial"/>
          <w:sz w:val="22"/>
          <w:szCs w:val="22"/>
          <w:lang w:eastAsia="en-US"/>
        </w:rPr>
        <w:t xml:space="preserve">Un effet similaire de la supraconductivité est la superfluidité, caractérisant un écoulement sans aucune résistance, c'est-à-dire qu'une petite perturbation que l'on soumet à ce type de liquide ne s'arrête jamais, de la même façon que les paires de Cooper se déplacent sans aucune résistance dans un supraconducteur. </w:t>
      </w:r>
    </w:p>
    <w:p w14:paraId="05697CB2" w14:textId="51F180AB" w:rsidR="008B6E24" w:rsidRDefault="008B6E24" w:rsidP="00CF7E83">
      <w:pPr>
        <w:pStyle w:val="NormalWeb"/>
        <w:jc w:val="both"/>
        <w:rPr>
          <w:rFonts w:ascii="Arial" w:eastAsiaTheme="minorHAnsi" w:hAnsi="Arial" w:cs="Arial"/>
          <w:sz w:val="22"/>
          <w:szCs w:val="22"/>
          <w:lang w:eastAsia="en-US"/>
        </w:rPr>
      </w:pPr>
    </w:p>
    <w:p w14:paraId="2D68FBCC" w14:textId="3D6094CF" w:rsidR="007D0500" w:rsidRPr="007D0500" w:rsidRDefault="007D0500" w:rsidP="00CF7E83">
      <w:pPr>
        <w:pStyle w:val="Titre2"/>
        <w:jc w:val="both"/>
        <w:rPr>
          <w:rFonts w:eastAsiaTheme="minorHAnsi"/>
          <w:b/>
          <w:bCs/>
        </w:rPr>
      </w:pPr>
      <w:bookmarkStart w:id="2" w:name="_Toc168837605"/>
      <w:r w:rsidRPr="007D0500">
        <w:rPr>
          <w:rFonts w:eastAsiaTheme="minorHAnsi"/>
          <w:b/>
          <w:bCs/>
        </w:rPr>
        <w:t>Effet Meissner</w:t>
      </w:r>
      <w:bookmarkEnd w:id="2"/>
    </w:p>
    <w:p w14:paraId="251D947E" w14:textId="749D6BA0" w:rsidR="007D0500" w:rsidRPr="00E201AE" w:rsidRDefault="007D0500" w:rsidP="00CF7E83">
      <w:pPr>
        <w:pStyle w:val="NormalWeb"/>
        <w:jc w:val="both"/>
        <w:rPr>
          <w:rFonts w:ascii="Arial" w:eastAsiaTheme="minorHAnsi" w:hAnsi="Arial" w:cs="Arial"/>
          <w:sz w:val="22"/>
          <w:szCs w:val="22"/>
          <w:lang w:eastAsia="en-US"/>
        </w:rPr>
      </w:pPr>
      <w:r w:rsidRPr="00E201AE">
        <w:rPr>
          <w:rFonts w:ascii="Arial" w:eastAsiaTheme="minorHAnsi" w:hAnsi="Arial" w:cs="Arial"/>
          <w:sz w:val="22"/>
          <w:szCs w:val="22"/>
          <w:lang w:eastAsia="en-US"/>
        </w:rPr>
        <w:t xml:space="preserve">L'effet Meissner, ou effet </w:t>
      </w:r>
      <w:proofErr w:type="spellStart"/>
      <w:r w:rsidRPr="00E201AE">
        <w:rPr>
          <w:rFonts w:ascii="Arial" w:eastAsiaTheme="minorHAnsi" w:hAnsi="Arial" w:cs="Arial"/>
          <w:sz w:val="22"/>
          <w:szCs w:val="22"/>
          <w:lang w:eastAsia="en-US"/>
        </w:rPr>
        <w:t>Meißner</w:t>
      </w:r>
      <w:proofErr w:type="spellEnd"/>
      <w:r w:rsidRPr="00E201AE">
        <w:rPr>
          <w:rFonts w:ascii="Arial" w:eastAsiaTheme="minorHAnsi" w:hAnsi="Arial" w:cs="Arial"/>
          <w:sz w:val="22"/>
          <w:szCs w:val="22"/>
          <w:lang w:eastAsia="en-US"/>
        </w:rPr>
        <w:t xml:space="preserve">, fait référence au phénomène d'exclusion totale de tout champ magnétique de l'intérieur d'un supraconducteur quand il est porté à une température </w:t>
      </w:r>
      <w:r w:rsidRPr="00E201AE">
        <w:rPr>
          <w:rFonts w:ascii="Arial" w:eastAsiaTheme="minorHAnsi" w:hAnsi="Arial" w:cs="Arial"/>
          <w:sz w:val="22"/>
          <w:szCs w:val="22"/>
          <w:lang w:eastAsia="en-US"/>
        </w:rPr>
        <w:lastRenderedPageBreak/>
        <w:t xml:space="preserve">inférieure à sa température critique. Il a été découvert par Walther </w:t>
      </w:r>
      <w:proofErr w:type="spellStart"/>
      <w:r w:rsidRPr="00E201AE">
        <w:rPr>
          <w:rFonts w:ascii="Arial" w:eastAsiaTheme="minorHAnsi" w:hAnsi="Arial" w:cs="Arial"/>
          <w:sz w:val="22"/>
          <w:szCs w:val="22"/>
          <w:lang w:eastAsia="en-US"/>
        </w:rPr>
        <w:t>Meißner</w:t>
      </w:r>
      <w:proofErr w:type="spellEnd"/>
      <w:r w:rsidRPr="00E201AE">
        <w:rPr>
          <w:rFonts w:ascii="Arial" w:eastAsiaTheme="minorHAnsi" w:hAnsi="Arial" w:cs="Arial"/>
          <w:sz w:val="22"/>
          <w:szCs w:val="22"/>
          <w:lang w:eastAsia="en-US"/>
        </w:rPr>
        <w:t xml:space="preserve"> et Robert </w:t>
      </w:r>
      <w:proofErr w:type="spellStart"/>
      <w:r w:rsidRPr="00E201AE">
        <w:rPr>
          <w:rFonts w:ascii="Arial" w:eastAsiaTheme="minorHAnsi" w:hAnsi="Arial" w:cs="Arial"/>
          <w:sz w:val="22"/>
          <w:szCs w:val="22"/>
          <w:lang w:eastAsia="en-US"/>
        </w:rPr>
        <w:t>Ochsenfeld</w:t>
      </w:r>
      <w:proofErr w:type="spellEnd"/>
      <w:r w:rsidRPr="00E201AE">
        <w:rPr>
          <w:rFonts w:ascii="Arial" w:eastAsiaTheme="minorHAnsi" w:hAnsi="Arial" w:cs="Arial"/>
          <w:sz w:val="22"/>
          <w:szCs w:val="22"/>
          <w:lang w:eastAsia="en-US"/>
        </w:rPr>
        <w:t xml:space="preserve"> en 1933 et est souvent appelé diamagnétisme parfait ou l'effet Meissner-</w:t>
      </w:r>
      <w:proofErr w:type="spellStart"/>
      <w:r w:rsidRPr="00E201AE">
        <w:rPr>
          <w:rFonts w:ascii="Arial" w:eastAsiaTheme="minorHAnsi" w:hAnsi="Arial" w:cs="Arial"/>
          <w:sz w:val="22"/>
          <w:szCs w:val="22"/>
          <w:lang w:eastAsia="en-US"/>
        </w:rPr>
        <w:t>Ochsenfeld</w:t>
      </w:r>
      <w:proofErr w:type="spellEnd"/>
      <w:r w:rsidRPr="00E201AE">
        <w:rPr>
          <w:rFonts w:ascii="Arial" w:eastAsiaTheme="minorHAnsi" w:hAnsi="Arial" w:cs="Arial"/>
          <w:sz w:val="22"/>
          <w:szCs w:val="22"/>
          <w:lang w:eastAsia="en-US"/>
        </w:rPr>
        <w:t xml:space="preserve">. </w:t>
      </w:r>
    </w:p>
    <w:p w14:paraId="7AD67C9D" w14:textId="492F6EEB" w:rsidR="007D0500" w:rsidRPr="00E201AE" w:rsidRDefault="007D0500" w:rsidP="00CF7E83">
      <w:pPr>
        <w:pStyle w:val="NormalWeb"/>
        <w:jc w:val="both"/>
        <w:rPr>
          <w:rFonts w:ascii="Arial" w:eastAsiaTheme="minorHAnsi" w:hAnsi="Arial" w:cs="Arial"/>
          <w:sz w:val="22"/>
          <w:szCs w:val="22"/>
          <w:lang w:eastAsia="en-US"/>
        </w:rPr>
      </w:pPr>
      <w:r w:rsidRPr="00E201AE">
        <w:rPr>
          <w:rFonts w:ascii="Arial" w:eastAsiaTheme="minorHAnsi" w:hAnsi="Arial" w:cs="Arial"/>
          <w:sz w:val="22"/>
          <w:szCs w:val="22"/>
          <w:lang w:eastAsia="en-US"/>
        </w:rPr>
        <w:t xml:space="preserve">L'effet Meissner est l'une des propriétés définissant la supraconductivité et sa découverte a permis d'établir que l'apparition de la supraconductivité est une transition de phase. </w:t>
      </w:r>
    </w:p>
    <w:p w14:paraId="117780E2" w14:textId="71BC4B8D" w:rsidR="007D0500" w:rsidRPr="00E201AE" w:rsidRDefault="007D0500" w:rsidP="00CF7E83">
      <w:pPr>
        <w:pStyle w:val="NormalWeb"/>
        <w:jc w:val="both"/>
        <w:rPr>
          <w:rFonts w:ascii="Arial" w:eastAsiaTheme="minorHAnsi" w:hAnsi="Arial" w:cs="Arial"/>
          <w:sz w:val="22"/>
          <w:szCs w:val="22"/>
          <w:lang w:eastAsia="en-US"/>
        </w:rPr>
      </w:pPr>
      <w:r w:rsidRPr="00E201AE">
        <w:rPr>
          <w:rFonts w:ascii="Arial" w:eastAsiaTheme="minorHAnsi" w:hAnsi="Arial" w:cs="Arial"/>
          <w:sz w:val="22"/>
          <w:szCs w:val="22"/>
          <w:lang w:eastAsia="en-US"/>
        </w:rPr>
        <w:t xml:space="preserve">L'exclusion du flux magnétique est due à des courants électriques d'écrantage qui circulent à la surface du supraconducteur et qui génèrent un champ magnétique qui annule exactement le champ appliqué. Ces courants d'écrantage apparaissent quand un matériau supraconducteur est soumis à un champ magnétique. </w:t>
      </w:r>
    </w:p>
    <w:p w14:paraId="5955F0CB" w14:textId="11451781" w:rsidR="007D0500" w:rsidRPr="00E201AE" w:rsidRDefault="007D0500" w:rsidP="00CF7E83">
      <w:pPr>
        <w:pStyle w:val="NormalWeb"/>
        <w:jc w:val="both"/>
        <w:rPr>
          <w:rFonts w:ascii="Arial" w:eastAsiaTheme="minorHAnsi" w:hAnsi="Arial" w:cs="Arial"/>
          <w:sz w:val="22"/>
          <w:szCs w:val="22"/>
          <w:lang w:eastAsia="en-US"/>
        </w:rPr>
      </w:pPr>
      <w:r w:rsidRPr="00E201AE">
        <w:rPr>
          <w:rFonts w:ascii="Arial" w:eastAsiaTheme="minorHAnsi" w:hAnsi="Arial" w:cs="Arial"/>
          <w:sz w:val="22"/>
          <w:szCs w:val="22"/>
          <w:lang w:eastAsia="en-US"/>
        </w:rPr>
        <w:t xml:space="preserve">En effet, si l'on refroidit un matériau supraconducteur en présence d'un champ magnétique, le champ est expulsé au moment de la transition supraconductrice. Tandis qu'un matériau hypothétique présentant seulement la propriété de résistance nulle maintiendrait l'intensité (et le sens) du champ magnétique, qu'il aurait possédé lors de la transition, constante en son sein ; tant que cette propriété se maintiendrait. L'effet Meissner est donc une propriété des supraconducteurs qui est distincte de la conductivité infinie. En fait, l'effet Meissner ou diamagnétisme parfait est la propriété caractéristique principale d'un supraconducteur. Mais cela ne peut se comprendre seulement par le fait que la résistance électrique d'un supraconducteur est nulle : les courants de Foucault induits par les mouvements ultérieurs du matériau dans le champ magnétique ne sont pas atténués. </w:t>
      </w:r>
    </w:p>
    <w:p w14:paraId="5FCA563C" w14:textId="522AA514" w:rsidR="007D0500" w:rsidRPr="00E201AE" w:rsidRDefault="00E201AE" w:rsidP="00CF7E83">
      <w:pPr>
        <w:pStyle w:val="NormalWeb"/>
        <w:jc w:val="both"/>
        <w:rPr>
          <w:rFonts w:ascii="Arial" w:eastAsiaTheme="minorHAnsi" w:hAnsi="Arial" w:cs="Arial"/>
          <w:sz w:val="22"/>
          <w:szCs w:val="22"/>
          <w:lang w:eastAsia="en-US"/>
        </w:rPr>
      </w:pPr>
      <w:r>
        <w:rPr>
          <w:rFonts w:ascii="Arial" w:eastAsiaTheme="minorHAnsi" w:hAnsi="Arial" w:cs="Arial"/>
          <w:noProof/>
          <w:sz w:val="22"/>
          <w:szCs w:val="22"/>
          <w:lang w:eastAsia="en-US"/>
        </w:rPr>
        <w:drawing>
          <wp:anchor distT="0" distB="0" distL="114300" distR="114300" simplePos="0" relativeHeight="251658240" behindDoc="0" locked="0" layoutInCell="1" allowOverlap="1" wp14:anchorId="5908459E" wp14:editId="3CAC4EB8">
            <wp:simplePos x="0" y="0"/>
            <wp:positionH relativeFrom="column">
              <wp:posOffset>4824730</wp:posOffset>
            </wp:positionH>
            <wp:positionV relativeFrom="paragraph">
              <wp:posOffset>39370</wp:posOffset>
            </wp:positionV>
            <wp:extent cx="895350" cy="314325"/>
            <wp:effectExtent l="0" t="0" r="0" b="952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5350" cy="314325"/>
                    </a:xfrm>
                    <a:prstGeom prst="rect">
                      <a:avLst/>
                    </a:prstGeom>
                    <a:noFill/>
                    <a:ln>
                      <a:noFill/>
                    </a:ln>
                  </pic:spPr>
                </pic:pic>
              </a:graphicData>
            </a:graphic>
          </wp:anchor>
        </w:drawing>
      </w:r>
      <w:r w:rsidRPr="00E201AE">
        <w:rPr>
          <w:rFonts w:ascii="Arial" w:eastAsiaTheme="minorHAnsi" w:hAnsi="Arial" w:cs="Arial"/>
          <w:sz w:val="22"/>
          <w:szCs w:val="22"/>
          <w:lang w:eastAsia="en-US"/>
        </w:rPr>
        <w:t>Fritz London a pu décrire l'effet Meissner en postulant que dans un supraconducteur il existe un courant proportionnel au potentiel vecteur électromagnétique A</w:t>
      </w:r>
    </w:p>
    <w:p w14:paraId="46A63E14" w14:textId="57562BBB" w:rsidR="00E201AE" w:rsidRPr="00E201AE" w:rsidRDefault="00E201AE" w:rsidP="00CF7E83">
      <w:pPr>
        <w:pStyle w:val="NormalWeb"/>
        <w:jc w:val="both"/>
        <w:rPr>
          <w:rFonts w:ascii="Arial" w:eastAsiaTheme="minorHAnsi" w:hAnsi="Arial" w:cs="Arial"/>
          <w:sz w:val="22"/>
          <w:szCs w:val="22"/>
          <w:lang w:eastAsia="en-US"/>
        </w:rPr>
      </w:pPr>
      <w:r>
        <w:rPr>
          <w:rFonts w:ascii="Arial" w:eastAsiaTheme="minorHAnsi" w:hAnsi="Arial" w:cs="Arial"/>
          <w:noProof/>
          <w:sz w:val="22"/>
          <w:szCs w:val="22"/>
          <w:lang w:eastAsia="en-US"/>
        </w:rPr>
        <w:drawing>
          <wp:anchor distT="0" distB="0" distL="114300" distR="114300" simplePos="0" relativeHeight="251659264" behindDoc="0" locked="0" layoutInCell="1" allowOverlap="1" wp14:anchorId="07204EAC" wp14:editId="66D75BE7">
            <wp:simplePos x="0" y="0"/>
            <wp:positionH relativeFrom="margin">
              <wp:align>left</wp:align>
            </wp:positionH>
            <wp:positionV relativeFrom="paragraph">
              <wp:posOffset>469265</wp:posOffset>
            </wp:positionV>
            <wp:extent cx="5919081" cy="1447800"/>
            <wp:effectExtent l="0" t="0" r="5715"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9081" cy="1447800"/>
                    </a:xfrm>
                    <a:prstGeom prst="rect">
                      <a:avLst/>
                    </a:prstGeom>
                    <a:noFill/>
                    <a:ln>
                      <a:noFill/>
                    </a:ln>
                  </pic:spPr>
                </pic:pic>
              </a:graphicData>
            </a:graphic>
          </wp:anchor>
        </w:drawing>
      </w:r>
      <w:r w:rsidRPr="00E201AE">
        <w:rPr>
          <w:rFonts w:ascii="Arial" w:eastAsiaTheme="minorHAnsi" w:hAnsi="Arial" w:cs="Arial"/>
          <w:sz w:val="22"/>
          <w:szCs w:val="22"/>
          <w:lang w:eastAsia="en-US"/>
        </w:rPr>
        <w:t>Cette équation n'est pas invariante de jauge, il faut donc préciser qu'on considère la Jauge de Coulomb. En utilisant l'équation de Maxwell-Ampère, on obtient :</w:t>
      </w:r>
    </w:p>
    <w:p w14:paraId="2E8EF819" w14:textId="2AEB9A20" w:rsidR="00E201AE" w:rsidRPr="00E201AE" w:rsidRDefault="00E201AE" w:rsidP="00CF7E83">
      <w:pPr>
        <w:pStyle w:val="NormalWeb"/>
        <w:jc w:val="both"/>
        <w:rPr>
          <w:rFonts w:ascii="Arial" w:eastAsiaTheme="minorHAnsi" w:hAnsi="Arial" w:cs="Arial"/>
          <w:sz w:val="22"/>
          <w:szCs w:val="22"/>
          <w:lang w:eastAsia="en-US"/>
        </w:rPr>
      </w:pPr>
      <w:proofErr w:type="gramStart"/>
      <w:r w:rsidRPr="00E201AE">
        <w:rPr>
          <w:rFonts w:ascii="Arial" w:eastAsiaTheme="minorHAnsi" w:hAnsi="Arial" w:cs="Arial"/>
          <w:sz w:val="22"/>
          <w:szCs w:val="22"/>
          <w:lang w:eastAsia="en-US"/>
        </w:rPr>
        <w:t>dans</w:t>
      </w:r>
      <w:proofErr w:type="gramEnd"/>
      <w:r w:rsidRPr="00E201AE">
        <w:rPr>
          <w:rFonts w:ascii="Arial" w:eastAsiaTheme="minorHAnsi" w:hAnsi="Arial" w:cs="Arial"/>
          <w:sz w:val="22"/>
          <w:szCs w:val="22"/>
          <w:lang w:eastAsia="en-US"/>
        </w:rPr>
        <w:t xml:space="preserve"> le cas d'un milieu supraconducteur s'étendant dans le demi-espace x &gt; 0 x&gt;0. La longueur λ l est la longueur de pénétration du champ magnétique. Cette équation montre que les champs magnétiques ne pénètrent que la surface des supraconducteurs. </w:t>
      </w:r>
    </w:p>
    <w:p w14:paraId="3DD09C17" w14:textId="77777777" w:rsidR="00E201AE" w:rsidRPr="00E201AE" w:rsidRDefault="00E201AE" w:rsidP="00CF7E83">
      <w:pPr>
        <w:pStyle w:val="NormalWeb"/>
        <w:jc w:val="both"/>
        <w:rPr>
          <w:rFonts w:ascii="Arial" w:eastAsiaTheme="minorHAnsi" w:hAnsi="Arial" w:cs="Arial"/>
          <w:sz w:val="22"/>
          <w:szCs w:val="22"/>
          <w:lang w:eastAsia="en-US"/>
        </w:rPr>
      </w:pPr>
      <w:r w:rsidRPr="00E201AE">
        <w:rPr>
          <w:rFonts w:ascii="Arial" w:eastAsiaTheme="minorHAnsi" w:hAnsi="Arial" w:cs="Arial"/>
          <w:sz w:val="22"/>
          <w:szCs w:val="22"/>
          <w:lang w:eastAsia="en-US"/>
        </w:rPr>
        <w:t xml:space="preserve">Une autre conséquence de l'effet Meissner est que, puisque les courants électriques (du supraconducteur) génèrent des champs magnétiques tels qu'ils annulent le champ externe, ces courants électriques s'écoulent essentiellement dans sa surface immédiate. </w:t>
      </w:r>
    </w:p>
    <w:p w14:paraId="4FA1C5D1" w14:textId="77777777" w:rsidR="00E201AE" w:rsidRPr="00E201AE" w:rsidRDefault="00E201AE" w:rsidP="00CF7E83">
      <w:pPr>
        <w:pStyle w:val="Titre2"/>
        <w:jc w:val="both"/>
        <w:rPr>
          <w:b/>
          <w:bCs/>
        </w:rPr>
      </w:pPr>
      <w:bookmarkStart w:id="3" w:name="_Toc168837606"/>
      <w:r w:rsidRPr="00E201AE">
        <w:rPr>
          <w:rStyle w:val="mw-headline"/>
          <w:b/>
          <w:bCs/>
        </w:rPr>
        <w:t>Théorie de Ginzburg-Landau</w:t>
      </w:r>
      <w:bookmarkEnd w:id="3"/>
    </w:p>
    <w:p w14:paraId="1474F2CA" w14:textId="2CB810CB" w:rsidR="00E201AE" w:rsidRDefault="00CF7E83" w:rsidP="00CF7E83">
      <w:pPr>
        <w:pStyle w:val="NormalWeb"/>
        <w:jc w:val="both"/>
        <w:rPr>
          <w:rFonts w:ascii="Arial" w:eastAsiaTheme="minorHAnsi" w:hAnsi="Arial" w:cs="Arial"/>
          <w:sz w:val="22"/>
          <w:szCs w:val="22"/>
          <w:lang w:eastAsia="en-US"/>
        </w:rPr>
      </w:pPr>
      <w:r>
        <w:rPr>
          <w:rFonts w:ascii="Arial" w:eastAsiaTheme="minorHAnsi" w:hAnsi="Arial" w:cs="Arial"/>
          <w:noProof/>
          <w:sz w:val="22"/>
          <w:szCs w:val="22"/>
          <w:lang w:eastAsia="en-US"/>
        </w:rPr>
        <w:drawing>
          <wp:anchor distT="0" distB="0" distL="114300" distR="114300" simplePos="0" relativeHeight="251663360" behindDoc="0" locked="0" layoutInCell="1" allowOverlap="1" wp14:anchorId="0B41F2CC" wp14:editId="04A63A17">
            <wp:simplePos x="0" y="0"/>
            <wp:positionH relativeFrom="margin">
              <wp:align>left</wp:align>
            </wp:positionH>
            <wp:positionV relativeFrom="paragraph">
              <wp:posOffset>1369695</wp:posOffset>
            </wp:positionV>
            <wp:extent cx="4152900" cy="466725"/>
            <wp:effectExtent l="0" t="0" r="0" b="9525"/>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900" cy="466725"/>
                    </a:xfrm>
                    <a:prstGeom prst="rect">
                      <a:avLst/>
                    </a:prstGeom>
                    <a:noFill/>
                    <a:ln>
                      <a:noFill/>
                    </a:ln>
                  </pic:spPr>
                </pic:pic>
              </a:graphicData>
            </a:graphic>
          </wp:anchor>
        </w:drawing>
      </w:r>
      <w:r w:rsidRPr="00CF7E83">
        <w:rPr>
          <w:rFonts w:ascii="Arial" w:eastAsiaTheme="minorHAnsi" w:hAnsi="Arial" w:cs="Arial"/>
          <w:noProof/>
          <w:sz w:val="22"/>
          <w:szCs w:val="22"/>
          <w:lang w:eastAsia="en-US"/>
        </w:rPr>
        <w:drawing>
          <wp:anchor distT="0" distB="0" distL="114300" distR="114300" simplePos="0" relativeHeight="251662336" behindDoc="0" locked="0" layoutInCell="1" allowOverlap="1" wp14:anchorId="211F72EB" wp14:editId="015BEBCA">
            <wp:simplePos x="0" y="0"/>
            <wp:positionH relativeFrom="margin">
              <wp:align>left</wp:align>
            </wp:positionH>
            <wp:positionV relativeFrom="paragraph">
              <wp:posOffset>674370</wp:posOffset>
            </wp:positionV>
            <wp:extent cx="1057275" cy="266700"/>
            <wp:effectExtent l="0" t="0" r="9525"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57275" cy="266700"/>
                    </a:xfrm>
                    <a:prstGeom prst="rect">
                      <a:avLst/>
                    </a:prstGeom>
                    <a:noFill/>
                    <a:ln>
                      <a:noFill/>
                    </a:ln>
                  </pic:spPr>
                </pic:pic>
              </a:graphicData>
            </a:graphic>
          </wp:anchor>
        </w:drawing>
      </w:r>
      <w:r w:rsidRPr="00CF7E83">
        <w:rPr>
          <w:rFonts w:ascii="Arial" w:eastAsiaTheme="minorHAnsi" w:hAnsi="Arial" w:cs="Arial"/>
          <w:sz w:val="22"/>
          <w:szCs w:val="22"/>
          <w:lang w:eastAsia="en-US"/>
        </w:rPr>
        <w:t xml:space="preserve">La théorie développée par Ginzburg et Landau en 195012 introduit un paramètre d'ordre complexe ψ(r) caractérisant la supraconductivité dans le cadre général de la théorie de Landau </w:t>
      </w:r>
      <w:r w:rsidRPr="00CF7E83">
        <w:rPr>
          <w:rFonts w:ascii="Arial" w:eastAsiaTheme="minorHAnsi" w:hAnsi="Arial" w:cs="Arial"/>
          <w:sz w:val="22"/>
          <w:szCs w:val="22"/>
          <w:lang w:eastAsia="en-US"/>
        </w:rPr>
        <w:lastRenderedPageBreak/>
        <w:t xml:space="preserve">des transitions de phase du second ordre. La signification physique de ce paramètre est </w:t>
      </w:r>
      <w:proofErr w:type="gramStart"/>
      <w:r w:rsidRPr="00CF7E83">
        <w:rPr>
          <w:rFonts w:ascii="Arial" w:eastAsiaTheme="minorHAnsi" w:hAnsi="Arial" w:cs="Arial"/>
          <w:sz w:val="22"/>
          <w:szCs w:val="22"/>
          <w:lang w:eastAsia="en-US"/>
        </w:rPr>
        <w:t>que  est</w:t>
      </w:r>
      <w:proofErr w:type="gramEnd"/>
      <w:r w:rsidRPr="00CF7E83">
        <w:rPr>
          <w:rFonts w:ascii="Arial" w:eastAsiaTheme="minorHAnsi" w:hAnsi="Arial" w:cs="Arial"/>
          <w:sz w:val="22"/>
          <w:szCs w:val="22"/>
          <w:lang w:eastAsia="en-US"/>
        </w:rPr>
        <w:t xml:space="preserve"> proportionnel à la densité d'électrons supraconducteurs (i.e. d'électrons constituant des paires de Cooper). Le postulat de départ de la théorie est que la densité d'énergie libre </w:t>
      </w:r>
      <w:proofErr w:type="spellStart"/>
      <w:r w:rsidRPr="00CF7E83">
        <w:rPr>
          <w:rFonts w:ascii="Arial" w:eastAsiaTheme="minorHAnsi" w:hAnsi="Arial" w:cs="Arial"/>
          <w:sz w:val="22"/>
          <w:szCs w:val="22"/>
          <w:lang w:eastAsia="en-US"/>
        </w:rPr>
        <w:t>fs</w:t>
      </w:r>
      <w:proofErr w:type="spellEnd"/>
      <w:r w:rsidRPr="00CF7E83">
        <w:rPr>
          <w:rFonts w:ascii="Arial" w:eastAsiaTheme="minorHAnsi" w:hAnsi="Arial" w:cs="Arial"/>
          <w:sz w:val="22"/>
          <w:szCs w:val="22"/>
          <w:lang w:eastAsia="en-US"/>
        </w:rPr>
        <w:t xml:space="preserve"> peut être développée en une série du paramètre d'ordre près de la transition supraconductrice sous la forme suivante</w:t>
      </w:r>
      <w:r>
        <w:rPr>
          <w:rFonts w:ascii="Arial" w:eastAsiaTheme="minorHAnsi" w:hAnsi="Arial" w:cs="Arial"/>
          <w:sz w:val="22"/>
          <w:szCs w:val="22"/>
          <w:lang w:eastAsia="en-US"/>
        </w:rPr>
        <w:t>.</w:t>
      </w:r>
    </w:p>
    <w:p w14:paraId="7DAEAB11" w14:textId="247AB28B" w:rsidR="00CF7E83" w:rsidRDefault="00CF7E83" w:rsidP="00CF7E83">
      <w:pPr>
        <w:pStyle w:val="NormalWeb"/>
        <w:jc w:val="both"/>
      </w:pPr>
      <w:proofErr w:type="gramStart"/>
      <w:r>
        <w:t>où</w:t>
      </w:r>
      <w:proofErr w:type="gramEnd"/>
      <w:r>
        <w:t xml:space="preserve"> </w:t>
      </w:r>
      <w:r>
        <w:rPr>
          <w:i/>
          <w:iCs/>
        </w:rPr>
        <w:t>f</w:t>
      </w:r>
      <w:r>
        <w:rPr>
          <w:i/>
          <w:iCs/>
          <w:vertAlign w:val="subscript"/>
        </w:rPr>
        <w:t>n0</w:t>
      </w:r>
      <w:r>
        <w:t xml:space="preserve"> est la densité d'énergie libre dans l'état normal en champ nul, </w:t>
      </w:r>
      <w:r>
        <w:rPr>
          <w:b/>
          <w:bCs/>
        </w:rPr>
        <w:t>A</w:t>
      </w:r>
      <w:r>
        <w:t xml:space="preserve"> est le </w:t>
      </w:r>
      <w:r w:rsidRPr="00CF7E83">
        <w:t>potentiel-vecteur</w:t>
      </w:r>
      <w:r>
        <w:t xml:space="preserve"> et </w:t>
      </w:r>
      <w:r>
        <w:rPr>
          <w:b/>
          <w:bCs/>
        </w:rPr>
        <w:t>B</w:t>
      </w:r>
      <w:r>
        <w:t xml:space="preserve"> est l'intensité locale de l'induction magnétique. </w:t>
      </w:r>
    </w:p>
    <w:p w14:paraId="30E5A8FB" w14:textId="2C77B6F1" w:rsidR="00CF7E83" w:rsidRDefault="00CF7E83" w:rsidP="00CF7E83">
      <w:pPr>
        <w:pStyle w:val="NormalWeb"/>
        <w:jc w:val="both"/>
      </w:pPr>
      <w:r>
        <w:t xml:space="preserve">Les deuxième et </w:t>
      </w:r>
      <w:proofErr w:type="gramStart"/>
      <w:r>
        <w:t>troisième termes</w:t>
      </w:r>
      <w:proofErr w:type="gramEnd"/>
      <w:r>
        <w:t xml:space="preserve"> sont le développement au second ordre en </w:t>
      </w:r>
      <w:r>
        <w:rPr>
          <w:i/>
          <w:iCs/>
        </w:rPr>
        <w:t>|ψ|</w:t>
      </w:r>
      <w:r>
        <w:rPr>
          <w:i/>
          <w:iCs/>
          <w:vertAlign w:val="superscript"/>
        </w:rPr>
        <w:t>2</w:t>
      </w:r>
      <w:r>
        <w:t xml:space="preserve">, le troisième peut être vu comme l'expression invariante de jauge de l'énergie cinétique associée aux « porteurs de charge supraconducteurs », de masse </w:t>
      </w:r>
      <w:r>
        <w:rPr>
          <w:i/>
          <w:iCs/>
        </w:rPr>
        <w:t>m</w:t>
      </w:r>
      <w:r>
        <w:rPr>
          <w:i/>
          <w:iCs/>
          <w:vertAlign w:val="superscript"/>
        </w:rPr>
        <w:t>*</w:t>
      </w:r>
      <w:r>
        <w:t xml:space="preserve"> et de charge </w:t>
      </w:r>
      <w:r>
        <w:rPr>
          <w:i/>
          <w:iCs/>
        </w:rPr>
        <w:t>q</w:t>
      </w:r>
      <w:r>
        <w:rPr>
          <w:i/>
          <w:iCs/>
          <w:vertAlign w:val="superscript"/>
        </w:rPr>
        <w:t>*</w:t>
      </w:r>
      <w:r>
        <w:t xml:space="preserve"> tandis que le quatrième est simplement la densité d'énergie magnétique. </w:t>
      </w:r>
    </w:p>
    <w:p w14:paraId="75907E1F" w14:textId="7FE78F79" w:rsidR="00CF7E83" w:rsidRPr="00CF7E83" w:rsidRDefault="00CF7E83" w:rsidP="00CF7E83">
      <w:pPr>
        <w:pStyle w:val="NormalWeb"/>
        <w:jc w:val="both"/>
        <w:rPr>
          <w:rFonts w:ascii="Arial" w:eastAsiaTheme="minorHAnsi" w:hAnsi="Arial" w:cs="Arial"/>
          <w:sz w:val="22"/>
          <w:szCs w:val="22"/>
          <w:lang w:eastAsia="en-US"/>
        </w:rPr>
      </w:pPr>
      <w:r>
        <w:t xml:space="preserve">Dans l'état supraconducteur, en l'absence de champ et de </w:t>
      </w:r>
      <w:r w:rsidRPr="00CF7E83">
        <w:t>gradients</w:t>
      </w:r>
      <w:r>
        <w:t xml:space="preserve">, l'équation précédente devient : </w:t>
      </w:r>
    </w:p>
    <w:p w14:paraId="539C163E" w14:textId="2F478410" w:rsidR="00CF7E83" w:rsidRDefault="00CF7E83" w:rsidP="00CF7E83">
      <w:pPr>
        <w:pStyle w:val="NormalWeb"/>
        <w:jc w:val="both"/>
        <w:rPr>
          <w:rFonts w:ascii="Arial" w:eastAsiaTheme="minorHAnsi" w:hAnsi="Arial" w:cs="Arial"/>
          <w:sz w:val="22"/>
          <w:szCs w:val="22"/>
          <w:lang w:eastAsia="en-US"/>
        </w:rPr>
      </w:pPr>
      <w:r>
        <w:rPr>
          <w:rFonts w:ascii="Arial" w:eastAsiaTheme="minorHAnsi" w:hAnsi="Arial" w:cs="Arial"/>
          <w:noProof/>
          <w:sz w:val="22"/>
          <w:szCs w:val="22"/>
          <w:lang w:eastAsia="en-US"/>
        </w:rPr>
        <w:drawing>
          <wp:inline distT="0" distB="0" distL="0" distR="0" wp14:anchorId="6560046C" wp14:editId="005F56E0">
            <wp:extent cx="1847850" cy="42862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7850" cy="428625"/>
                    </a:xfrm>
                    <a:prstGeom prst="rect">
                      <a:avLst/>
                    </a:prstGeom>
                    <a:noFill/>
                    <a:ln>
                      <a:noFill/>
                    </a:ln>
                  </pic:spPr>
                </pic:pic>
              </a:graphicData>
            </a:graphic>
          </wp:inline>
        </w:drawing>
      </w:r>
    </w:p>
    <w:p w14:paraId="65A21993" w14:textId="01622308" w:rsidR="00CF7E83" w:rsidRDefault="00CF7E83" w:rsidP="00CF7E83">
      <w:pPr>
        <w:pStyle w:val="NormalWeb"/>
        <w:jc w:val="both"/>
        <w:rPr>
          <w:rFonts w:ascii="Arial" w:eastAsiaTheme="minorHAnsi" w:hAnsi="Arial" w:cs="Arial"/>
          <w:sz w:val="22"/>
          <w:szCs w:val="22"/>
          <w:lang w:eastAsia="en-US"/>
        </w:rPr>
      </w:pPr>
      <w:r>
        <w:rPr>
          <w:rFonts w:ascii="Arial" w:eastAsiaTheme="minorHAnsi" w:hAnsi="Arial" w:cs="Arial"/>
          <w:noProof/>
          <w:sz w:val="22"/>
          <w:szCs w:val="22"/>
          <w:lang w:eastAsia="en-US"/>
        </w:rPr>
        <w:drawing>
          <wp:anchor distT="0" distB="0" distL="114300" distR="114300" simplePos="0" relativeHeight="251665408" behindDoc="0" locked="0" layoutInCell="1" allowOverlap="1" wp14:anchorId="177403EE" wp14:editId="0D103D7A">
            <wp:simplePos x="0" y="0"/>
            <wp:positionH relativeFrom="column">
              <wp:posOffset>2014855</wp:posOffset>
            </wp:positionH>
            <wp:positionV relativeFrom="paragraph">
              <wp:posOffset>541655</wp:posOffset>
            </wp:positionV>
            <wp:extent cx="1876425" cy="523875"/>
            <wp:effectExtent l="0" t="0" r="9525" b="9525"/>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3">
                      <a:extLst>
                        <a:ext uri="{28A0092B-C50C-407E-A947-70E740481C1C}">
                          <a14:useLocalDpi xmlns:a14="http://schemas.microsoft.com/office/drawing/2010/main" val="0"/>
                        </a:ext>
                      </a:extLst>
                    </a:blip>
                    <a:srcRect t="12698"/>
                    <a:stretch/>
                  </pic:blipFill>
                  <pic:spPr bwMode="auto">
                    <a:xfrm>
                      <a:off x="0" y="0"/>
                      <a:ext cx="1876425" cy="5238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64384" behindDoc="0" locked="0" layoutInCell="1" allowOverlap="1" wp14:anchorId="016BCC68" wp14:editId="5113E791">
            <wp:simplePos x="0" y="0"/>
            <wp:positionH relativeFrom="margin">
              <wp:align>left</wp:align>
            </wp:positionH>
            <wp:positionV relativeFrom="paragraph">
              <wp:posOffset>532130</wp:posOffset>
            </wp:positionV>
            <wp:extent cx="2038350" cy="276225"/>
            <wp:effectExtent l="0" t="0" r="0" b="9525"/>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8350" cy="276225"/>
                    </a:xfrm>
                    <a:prstGeom prst="rect">
                      <a:avLst/>
                    </a:prstGeom>
                    <a:noFill/>
                    <a:ln>
                      <a:noFill/>
                    </a:ln>
                  </pic:spPr>
                </pic:pic>
              </a:graphicData>
            </a:graphic>
          </wp:anchor>
        </w:drawing>
      </w:r>
      <w:proofErr w:type="gramStart"/>
      <w:r>
        <w:t>β</w:t>
      </w:r>
      <w:proofErr w:type="gramEnd"/>
      <w:r>
        <w:t xml:space="preserve"> est nécessairement positif car sinon, il n'y aurait pas de minimum global pour l'énergie libre, et donc pas d'état d'équilibre. Si </w:t>
      </w:r>
      <w:r>
        <w:rPr>
          <w:i/>
          <w:iCs/>
        </w:rPr>
        <w:t>α &gt; 0</w:t>
      </w:r>
      <w:r>
        <w:t xml:space="preserve">, le minimum a lieu pour </w:t>
      </w:r>
      <w:r>
        <w:rPr>
          <w:i/>
          <w:iCs/>
        </w:rPr>
        <w:t>ψ = 0</w:t>
      </w:r>
      <w:r>
        <w:t xml:space="preserve"> : le matériau est dans l'état normal. Le cas intéressant est donc celui où </w:t>
      </w:r>
      <w:r>
        <w:rPr>
          <w:i/>
          <w:iCs/>
        </w:rPr>
        <w:t>α &lt; 0</w:t>
      </w:r>
      <w:r>
        <w:t xml:space="preserve">. On a alors, à l'équilibre, </w:t>
      </w:r>
    </w:p>
    <w:p w14:paraId="45D44239" w14:textId="18F4C624" w:rsidR="00CF7E83" w:rsidRPr="008B6E24" w:rsidRDefault="00CF7E83" w:rsidP="00CF7E83">
      <w:pPr>
        <w:pStyle w:val="NormalWeb"/>
        <w:jc w:val="both"/>
        <w:rPr>
          <w:rFonts w:ascii="Arial" w:eastAsiaTheme="minorHAnsi" w:hAnsi="Arial" w:cs="Arial"/>
          <w:sz w:val="22"/>
          <w:szCs w:val="22"/>
          <w:lang w:eastAsia="en-US"/>
        </w:rPr>
      </w:pPr>
    </w:p>
    <w:p w14:paraId="60C33E41" w14:textId="77777777" w:rsidR="0015024B" w:rsidRPr="0015024B" w:rsidRDefault="0015024B" w:rsidP="00CF7E83">
      <w:pPr>
        <w:pStyle w:val="Titre2"/>
        <w:jc w:val="both"/>
        <w:rPr>
          <w:b/>
          <w:bCs/>
        </w:rPr>
      </w:pPr>
      <w:bookmarkStart w:id="4" w:name="_Toc168837607"/>
      <w:r w:rsidRPr="0015024B">
        <w:rPr>
          <w:rStyle w:val="mw-headline"/>
          <w:b/>
          <w:bCs/>
        </w:rPr>
        <w:t>Supraconducteurs de type I</w:t>
      </w:r>
      <w:bookmarkEnd w:id="4"/>
    </w:p>
    <w:p w14:paraId="3D381F07" w14:textId="77777777" w:rsidR="0015024B" w:rsidRPr="0015024B" w:rsidRDefault="0015024B" w:rsidP="00CF7E83">
      <w:pPr>
        <w:pStyle w:val="NormalWeb"/>
        <w:jc w:val="both"/>
        <w:rPr>
          <w:rFonts w:ascii="Arial" w:eastAsiaTheme="minorHAnsi" w:hAnsi="Arial" w:cs="Arial"/>
          <w:sz w:val="22"/>
          <w:szCs w:val="22"/>
          <w:lang w:eastAsia="en-US"/>
        </w:rPr>
      </w:pPr>
      <w:r w:rsidRPr="0015024B">
        <w:rPr>
          <w:rFonts w:ascii="Arial" w:eastAsiaTheme="minorHAnsi" w:hAnsi="Arial" w:cs="Arial"/>
          <w:sz w:val="22"/>
          <w:szCs w:val="22"/>
          <w:lang w:eastAsia="en-US"/>
        </w:rPr>
        <w:t xml:space="preserve">Un supraconducteur de type I est un supraconducteur possédant un seul champ magnétique critique. Il a la propriété de repousser tout champ magnétique extérieur, et on le retrouve dans deux états selon sa température critique et le champ magnétique critique à savoir : </w:t>
      </w:r>
    </w:p>
    <w:p w14:paraId="2D0B1A19" w14:textId="77777777" w:rsidR="0015024B" w:rsidRPr="0015024B" w:rsidRDefault="0015024B" w:rsidP="00CF7E83">
      <w:pPr>
        <w:numPr>
          <w:ilvl w:val="0"/>
          <w:numId w:val="3"/>
        </w:numPr>
        <w:spacing w:before="100" w:beforeAutospacing="1" w:after="100" w:afterAutospacing="1" w:line="240" w:lineRule="auto"/>
        <w:jc w:val="both"/>
        <w:rPr>
          <w:rFonts w:ascii="Arial" w:hAnsi="Arial" w:cs="Arial"/>
        </w:rPr>
      </w:pPr>
      <w:r w:rsidRPr="0015024B">
        <w:rPr>
          <w:rFonts w:ascii="Arial" w:hAnsi="Arial" w:cs="Arial"/>
        </w:rPr>
        <w:t>L'état normal : le domaine où H&gt;</w:t>
      </w:r>
      <w:proofErr w:type="spellStart"/>
      <w:r w:rsidRPr="0015024B">
        <w:rPr>
          <w:rFonts w:ascii="Arial" w:hAnsi="Arial" w:cs="Arial"/>
        </w:rPr>
        <w:t>H</w:t>
      </w:r>
      <w:r w:rsidRPr="0015024B">
        <w:rPr>
          <w:rFonts w:ascii="Arial" w:hAnsi="Arial" w:cs="Arial"/>
          <w:vertAlign w:val="subscript"/>
        </w:rPr>
        <w:t>critique</w:t>
      </w:r>
      <w:proofErr w:type="spellEnd"/>
      <w:r w:rsidRPr="0015024B">
        <w:rPr>
          <w:rFonts w:ascii="Arial" w:hAnsi="Arial" w:cs="Arial"/>
        </w:rPr>
        <w:t xml:space="preserve"> et T&gt;</w:t>
      </w:r>
      <w:proofErr w:type="spellStart"/>
      <w:r w:rsidRPr="0015024B">
        <w:rPr>
          <w:rFonts w:ascii="Arial" w:hAnsi="Arial" w:cs="Arial"/>
        </w:rPr>
        <w:t>T</w:t>
      </w:r>
      <w:r w:rsidRPr="0015024B">
        <w:rPr>
          <w:rFonts w:ascii="Arial" w:hAnsi="Arial" w:cs="Arial"/>
          <w:vertAlign w:val="subscript"/>
        </w:rPr>
        <w:t>critique</w:t>
      </w:r>
      <w:proofErr w:type="spellEnd"/>
    </w:p>
    <w:p w14:paraId="1DF500A9" w14:textId="77777777" w:rsidR="0015024B" w:rsidRPr="0015024B" w:rsidRDefault="0015024B" w:rsidP="00CF7E83">
      <w:pPr>
        <w:numPr>
          <w:ilvl w:val="0"/>
          <w:numId w:val="3"/>
        </w:numPr>
        <w:spacing w:before="100" w:beforeAutospacing="1" w:after="100" w:afterAutospacing="1" w:line="240" w:lineRule="auto"/>
        <w:jc w:val="both"/>
        <w:rPr>
          <w:rFonts w:ascii="Arial" w:hAnsi="Arial" w:cs="Arial"/>
        </w:rPr>
      </w:pPr>
      <w:r w:rsidRPr="0015024B">
        <w:rPr>
          <w:rFonts w:ascii="Arial" w:hAnsi="Arial" w:cs="Arial"/>
        </w:rPr>
        <w:t>L'état supraconducteur gouverné par la loi de Meissner</w:t>
      </w:r>
    </w:p>
    <w:p w14:paraId="5B27031F" w14:textId="77777777" w:rsidR="0015024B" w:rsidRPr="0015024B" w:rsidRDefault="0015024B" w:rsidP="00CF7E83">
      <w:pPr>
        <w:pStyle w:val="Titre2"/>
        <w:jc w:val="both"/>
        <w:rPr>
          <w:b/>
          <w:bCs/>
        </w:rPr>
      </w:pPr>
      <w:bookmarkStart w:id="5" w:name="_Toc168837608"/>
      <w:r w:rsidRPr="0015024B">
        <w:rPr>
          <w:rStyle w:val="mw-headline"/>
          <w:b/>
          <w:bCs/>
        </w:rPr>
        <w:t>Supraconducteur de type II</w:t>
      </w:r>
      <w:bookmarkEnd w:id="5"/>
    </w:p>
    <w:p w14:paraId="02AFB127" w14:textId="5669E94F" w:rsidR="0015024B" w:rsidRPr="0015024B" w:rsidRDefault="0015024B" w:rsidP="00CF7E83">
      <w:pPr>
        <w:pStyle w:val="NormalWeb"/>
        <w:jc w:val="both"/>
        <w:rPr>
          <w:rFonts w:ascii="Arial" w:eastAsiaTheme="minorHAnsi" w:hAnsi="Arial" w:cs="Arial"/>
          <w:sz w:val="22"/>
          <w:szCs w:val="22"/>
          <w:lang w:eastAsia="en-US"/>
        </w:rPr>
      </w:pPr>
      <w:r w:rsidRPr="0015024B">
        <w:rPr>
          <w:rFonts w:ascii="Arial" w:eastAsiaTheme="minorHAnsi" w:hAnsi="Arial" w:cs="Arial"/>
          <w:sz w:val="22"/>
          <w:szCs w:val="22"/>
          <w:lang w:eastAsia="en-US"/>
        </w:rPr>
        <w:t xml:space="preserve">Un supraconducteur de type II est un supraconducteur possédant deux champs magnétiques critiques. On peut le retrouver dans plusieurs états, selon sa température et les champs magnétiques critiques : </w:t>
      </w:r>
    </w:p>
    <w:p w14:paraId="292BE66F" w14:textId="77777777" w:rsidR="0015024B" w:rsidRPr="0015024B" w:rsidRDefault="0015024B" w:rsidP="00CF7E83">
      <w:pPr>
        <w:numPr>
          <w:ilvl w:val="0"/>
          <w:numId w:val="4"/>
        </w:numPr>
        <w:spacing w:before="100" w:beforeAutospacing="1" w:after="100" w:afterAutospacing="1" w:line="240" w:lineRule="auto"/>
        <w:jc w:val="both"/>
        <w:rPr>
          <w:rFonts w:ascii="Arial" w:hAnsi="Arial" w:cs="Arial"/>
        </w:rPr>
      </w:pPr>
      <w:r w:rsidRPr="0015024B">
        <w:rPr>
          <w:rFonts w:ascii="Arial" w:hAnsi="Arial" w:cs="Arial"/>
        </w:rPr>
        <w:t>L'état normal</w:t>
      </w:r>
    </w:p>
    <w:p w14:paraId="1433EBD3" w14:textId="77777777" w:rsidR="0015024B" w:rsidRPr="0015024B" w:rsidRDefault="0015024B" w:rsidP="00CF7E83">
      <w:pPr>
        <w:numPr>
          <w:ilvl w:val="0"/>
          <w:numId w:val="4"/>
        </w:numPr>
        <w:spacing w:before="100" w:beforeAutospacing="1" w:after="100" w:afterAutospacing="1" w:line="240" w:lineRule="auto"/>
        <w:jc w:val="both"/>
        <w:rPr>
          <w:rFonts w:ascii="Arial" w:hAnsi="Arial" w:cs="Arial"/>
        </w:rPr>
      </w:pPr>
      <w:r w:rsidRPr="0015024B">
        <w:rPr>
          <w:rFonts w:ascii="Arial" w:hAnsi="Arial" w:cs="Arial"/>
        </w:rPr>
        <w:t>L'état supraconducteur : effet Meissner</w:t>
      </w:r>
    </w:p>
    <w:p w14:paraId="26EAAA50" w14:textId="77777777" w:rsidR="0015024B" w:rsidRPr="0015024B" w:rsidRDefault="0015024B" w:rsidP="00CF7E83">
      <w:pPr>
        <w:numPr>
          <w:ilvl w:val="0"/>
          <w:numId w:val="4"/>
        </w:numPr>
        <w:spacing w:before="100" w:beforeAutospacing="1" w:after="100" w:afterAutospacing="1" w:line="240" w:lineRule="auto"/>
        <w:jc w:val="both"/>
        <w:rPr>
          <w:rFonts w:ascii="Arial" w:hAnsi="Arial" w:cs="Arial"/>
        </w:rPr>
      </w:pPr>
      <w:r w:rsidRPr="0015024B">
        <w:rPr>
          <w:rFonts w:ascii="Arial" w:hAnsi="Arial" w:cs="Arial"/>
        </w:rPr>
        <w:t xml:space="preserve">L'état mixte : il possède des zones supraconductrices et des zones non supraconductrices appelées "vortex". Ce sont des tubes de champ magnétique par lesquels le matériau se laisse pénétrer par le champ extérieur. </w:t>
      </w:r>
    </w:p>
    <w:p w14:paraId="5136F6CB" w14:textId="74A7B46C" w:rsidR="0015024B" w:rsidRPr="0015024B" w:rsidRDefault="0015024B" w:rsidP="00CF7E83">
      <w:pPr>
        <w:spacing w:before="100" w:beforeAutospacing="1" w:after="100" w:afterAutospacing="1"/>
        <w:jc w:val="both"/>
        <w:rPr>
          <w:rFonts w:ascii="Arial" w:hAnsi="Arial" w:cs="Arial"/>
        </w:rPr>
      </w:pPr>
      <w:r>
        <w:rPr>
          <w:rFonts w:ascii="Arial" w:hAnsi="Arial" w:cs="Arial"/>
          <w:noProof/>
        </w:rPr>
        <w:drawing>
          <wp:anchor distT="0" distB="0" distL="114300" distR="114300" simplePos="0" relativeHeight="251661312" behindDoc="0" locked="0" layoutInCell="1" allowOverlap="1" wp14:anchorId="55384B75" wp14:editId="22C54049">
            <wp:simplePos x="0" y="0"/>
            <wp:positionH relativeFrom="column">
              <wp:posOffset>395605</wp:posOffset>
            </wp:positionH>
            <wp:positionV relativeFrom="paragraph">
              <wp:posOffset>364490</wp:posOffset>
            </wp:positionV>
            <wp:extent cx="1962150" cy="409575"/>
            <wp:effectExtent l="0" t="0" r="0" b="9525"/>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62150" cy="409575"/>
                    </a:xfrm>
                    <a:prstGeom prst="rect">
                      <a:avLst/>
                    </a:prstGeom>
                    <a:noFill/>
                    <a:ln>
                      <a:noFill/>
                    </a:ln>
                  </pic:spPr>
                </pic:pic>
              </a:graphicData>
            </a:graphic>
          </wp:anchor>
        </w:drawing>
      </w:r>
      <w:r w:rsidRPr="0015024B">
        <w:rPr>
          <w:rFonts w:ascii="Arial" w:hAnsi="Arial" w:cs="Arial"/>
        </w:rPr>
        <w:t>L'apparition de vortex dans les supraconducteurs de type II est associée à la quantification du flux de champ magnétique qui les traverse. Le quantum de flux associé à la supraconductivité vaut</w:t>
      </w:r>
      <w:r>
        <w:rPr>
          <w:rFonts w:ascii="Arial" w:hAnsi="Arial" w:cs="Arial"/>
        </w:rPr>
        <w:t xml:space="preserve"> </w:t>
      </w:r>
    </w:p>
    <w:p w14:paraId="68819C76" w14:textId="06E507C9" w:rsidR="00E71370" w:rsidRPr="0067256F" w:rsidRDefault="0067256F" w:rsidP="0067256F">
      <w:pPr>
        <w:pStyle w:val="Titre2"/>
      </w:pPr>
      <w:bookmarkStart w:id="6" w:name="_Toc168837609"/>
      <w:r w:rsidRPr="0067256F">
        <w:rPr>
          <w:rStyle w:val="mw-headline"/>
          <w:b/>
          <w:bCs/>
        </w:rPr>
        <w:t>Supraconducteur à haute température</w:t>
      </w:r>
      <w:bookmarkEnd w:id="6"/>
    </w:p>
    <w:p w14:paraId="1F921576" w14:textId="07093BB6" w:rsidR="0067256F" w:rsidRDefault="0067256F" w:rsidP="0067256F">
      <w:pPr>
        <w:pStyle w:val="NormalWeb"/>
        <w:shd w:val="clear" w:color="auto" w:fill="FFFFFF"/>
        <w:spacing w:before="120" w:beforeAutospacing="0" w:after="0" w:afterAutospacing="0"/>
        <w:jc w:val="both"/>
        <w:rPr>
          <w:rFonts w:ascii="Arial" w:hAnsi="Arial" w:cs="Arial"/>
          <w:color w:val="202122"/>
          <w:sz w:val="21"/>
          <w:szCs w:val="21"/>
        </w:rPr>
      </w:pPr>
      <w:r>
        <w:rPr>
          <w:rFonts w:ascii="Arial" w:hAnsi="Arial" w:cs="Arial"/>
          <w:color w:val="202122"/>
          <w:sz w:val="21"/>
          <w:szCs w:val="21"/>
        </w:rPr>
        <w:t>Ce terme désigne en général la famille des matériaux de type </w:t>
      </w:r>
      <w:r w:rsidRPr="0067256F">
        <w:rPr>
          <w:rFonts w:ascii="Arial" w:hAnsi="Arial" w:cs="Arial"/>
          <w:color w:val="202122"/>
          <w:sz w:val="21"/>
          <w:szCs w:val="21"/>
        </w:rPr>
        <w:t>cuprate</w:t>
      </w:r>
      <w:r>
        <w:rPr>
          <w:rFonts w:ascii="Arial" w:hAnsi="Arial" w:cs="Arial"/>
          <w:color w:val="202122"/>
          <w:sz w:val="21"/>
          <w:szCs w:val="21"/>
        </w:rPr>
        <w:t>, dont la supraconductivité existe jusqu'à 138 </w:t>
      </w:r>
      <w:r w:rsidRPr="0067256F">
        <w:rPr>
          <w:rFonts w:ascii="Arial" w:hAnsi="Arial" w:cs="Arial"/>
          <w:color w:val="202122"/>
          <w:sz w:val="21"/>
          <w:szCs w:val="21"/>
        </w:rPr>
        <w:t>K</w:t>
      </w:r>
      <w:r>
        <w:rPr>
          <w:rFonts w:ascii="Arial" w:hAnsi="Arial" w:cs="Arial"/>
          <w:color w:val="202122"/>
          <w:sz w:val="21"/>
          <w:szCs w:val="21"/>
        </w:rPr>
        <w:t>. Mais d'autres familles de supraconducteurs, comme les </w:t>
      </w:r>
      <w:r w:rsidRPr="0067256F">
        <w:rPr>
          <w:rFonts w:ascii="Arial" w:hAnsi="Arial" w:cs="Arial"/>
          <w:color w:val="202122"/>
          <w:sz w:val="21"/>
          <w:szCs w:val="21"/>
        </w:rPr>
        <w:t>supraconducteurs à base de fer</w:t>
      </w:r>
      <w:r>
        <w:rPr>
          <w:rFonts w:ascii="Arial" w:hAnsi="Arial" w:cs="Arial"/>
          <w:color w:val="202122"/>
          <w:sz w:val="21"/>
          <w:szCs w:val="21"/>
        </w:rPr>
        <w:t> découverts en 2008, peuvent aussi être désignées par ce même terme. Une autre terminologie distingue les supraconducteurs conventionnels des supraconducteurs non conventionnels, selon qu'ils peuvent être décrits ou non avec la </w:t>
      </w:r>
      <w:r w:rsidRPr="0067256F">
        <w:rPr>
          <w:rFonts w:ascii="Arial" w:hAnsi="Arial" w:cs="Arial"/>
          <w:color w:val="202122"/>
          <w:sz w:val="21"/>
          <w:szCs w:val="21"/>
        </w:rPr>
        <w:t>Théorie BCS</w:t>
      </w:r>
      <w:r>
        <w:rPr>
          <w:rFonts w:ascii="Arial" w:hAnsi="Arial" w:cs="Arial"/>
          <w:color w:val="202122"/>
          <w:sz w:val="21"/>
          <w:szCs w:val="21"/>
        </w:rPr>
        <w:t> classique de la supraconductivité. Les supraconducteurs à haute température sont en général classés comme non conventionnels. Aucune théorie à ce jour ne permet d'expliquer ce mécanisme de supraconductivité.</w:t>
      </w:r>
    </w:p>
    <w:p w14:paraId="424E1C4B" w14:textId="4625CA9F" w:rsidR="0067256F" w:rsidRDefault="0067256F" w:rsidP="0067256F">
      <w:pPr>
        <w:pStyle w:val="NormalWeb"/>
        <w:shd w:val="clear" w:color="auto" w:fill="FFFFFF"/>
        <w:spacing w:before="120" w:beforeAutospacing="0" w:after="0" w:afterAutospacing="0"/>
        <w:jc w:val="both"/>
        <w:rPr>
          <w:rFonts w:ascii="Arial" w:hAnsi="Arial" w:cs="Arial"/>
          <w:color w:val="202122"/>
          <w:sz w:val="21"/>
          <w:szCs w:val="21"/>
        </w:rPr>
      </w:pPr>
      <w:r>
        <w:rPr>
          <w:rFonts w:ascii="Arial" w:hAnsi="Arial" w:cs="Arial"/>
          <w:color w:val="202122"/>
          <w:sz w:val="21"/>
          <w:szCs w:val="21"/>
        </w:rPr>
        <w:t>En 2015, des chercheurs allemands montrent que le </w:t>
      </w:r>
      <w:r w:rsidRPr="0067256F">
        <w:rPr>
          <w:rFonts w:ascii="Arial" w:hAnsi="Arial" w:cs="Arial"/>
          <w:color w:val="202122"/>
          <w:sz w:val="21"/>
          <w:szCs w:val="21"/>
        </w:rPr>
        <w:t>sulfure d'hydrogène</w:t>
      </w:r>
      <w:r>
        <w:rPr>
          <w:rFonts w:ascii="Arial" w:hAnsi="Arial" w:cs="Arial"/>
          <w:color w:val="202122"/>
          <w:sz w:val="21"/>
          <w:szCs w:val="21"/>
        </w:rPr>
        <w:t> H</w:t>
      </w:r>
      <w:r>
        <w:rPr>
          <w:rFonts w:ascii="Arial" w:hAnsi="Arial" w:cs="Arial"/>
          <w:color w:val="202122"/>
          <w:sz w:val="21"/>
          <w:szCs w:val="21"/>
          <w:vertAlign w:val="subscript"/>
        </w:rPr>
        <w:t>2</w:t>
      </w:r>
      <w:r>
        <w:rPr>
          <w:rFonts w:ascii="Arial" w:hAnsi="Arial" w:cs="Arial"/>
          <w:color w:val="202122"/>
          <w:sz w:val="21"/>
          <w:szCs w:val="21"/>
        </w:rPr>
        <w:t>S sous très forte pression est supraconducteur à −70 °C</w:t>
      </w:r>
      <w:r w:rsidRPr="0067256F">
        <w:rPr>
          <w:rFonts w:ascii="Arial" w:hAnsi="Arial" w:cs="Arial"/>
          <w:color w:val="202122"/>
          <w:sz w:val="17"/>
          <w:szCs w:val="17"/>
          <w:vertAlign w:val="superscript"/>
        </w:rPr>
        <w:t>1</w:t>
      </w:r>
      <w:r>
        <w:rPr>
          <w:rFonts w:ascii="Arial" w:hAnsi="Arial" w:cs="Arial"/>
          <w:color w:val="202122"/>
          <w:sz w:val="21"/>
          <w:szCs w:val="21"/>
        </w:rPr>
        <w:t>, ce qui constitue alors un record de température. En 2018, le </w:t>
      </w:r>
      <w:proofErr w:type="spellStart"/>
      <w:r w:rsidRPr="0067256F">
        <w:rPr>
          <w:rFonts w:ascii="Arial" w:hAnsi="Arial" w:cs="Arial"/>
          <w:color w:val="202122"/>
          <w:sz w:val="21"/>
          <w:szCs w:val="21"/>
        </w:rPr>
        <w:t>décahydrure</w:t>
      </w:r>
      <w:proofErr w:type="spellEnd"/>
      <w:r w:rsidRPr="0067256F">
        <w:rPr>
          <w:rFonts w:ascii="Arial" w:hAnsi="Arial" w:cs="Arial"/>
          <w:color w:val="202122"/>
          <w:sz w:val="21"/>
          <w:szCs w:val="21"/>
        </w:rPr>
        <w:t xml:space="preserve"> de lanthane</w:t>
      </w:r>
      <w:r>
        <w:rPr>
          <w:rFonts w:ascii="Arial" w:hAnsi="Arial" w:cs="Arial"/>
          <w:color w:val="202122"/>
          <w:sz w:val="21"/>
          <w:szCs w:val="21"/>
        </w:rPr>
        <w:t> LaH</w:t>
      </w:r>
      <w:r>
        <w:rPr>
          <w:rFonts w:ascii="Arial" w:hAnsi="Arial" w:cs="Arial"/>
          <w:color w:val="202122"/>
          <w:sz w:val="21"/>
          <w:szCs w:val="21"/>
          <w:vertAlign w:val="subscript"/>
        </w:rPr>
        <w:t>10</w:t>
      </w:r>
      <w:r>
        <w:rPr>
          <w:rFonts w:ascii="Arial" w:hAnsi="Arial" w:cs="Arial"/>
          <w:color w:val="202122"/>
          <w:sz w:val="21"/>
          <w:szCs w:val="21"/>
        </w:rPr>
        <w:t> montre</w:t>
      </w:r>
      <w:r>
        <w:rPr>
          <w:rFonts w:ascii="Arial" w:hAnsi="Arial" w:cs="Arial"/>
          <w:color w:val="202122"/>
          <w:sz w:val="21"/>
          <w:szCs w:val="21"/>
        </w:rPr>
        <w:t xml:space="preserve"> </w:t>
      </w:r>
      <w:r>
        <w:rPr>
          <w:rFonts w:ascii="Arial" w:hAnsi="Arial" w:cs="Arial"/>
          <w:color w:val="202122"/>
          <w:sz w:val="21"/>
          <w:szCs w:val="21"/>
        </w:rPr>
        <w:t>une température de transition </w:t>
      </w:r>
      <w:r>
        <w:rPr>
          <w:rStyle w:val="texhtml"/>
          <w:i/>
          <w:iCs/>
          <w:color w:val="202122"/>
          <w:sz w:val="25"/>
          <w:szCs w:val="25"/>
        </w:rPr>
        <w:t>T</w:t>
      </w:r>
      <w:r>
        <w:rPr>
          <w:rStyle w:val="nowrap"/>
          <w:rFonts w:ascii="Arial" w:hAnsi="Arial" w:cs="Arial"/>
          <w:color w:val="202122"/>
          <w:sz w:val="21"/>
          <w:szCs w:val="21"/>
          <w:vertAlign w:val="subscript"/>
        </w:rPr>
        <w:t>c</w:t>
      </w:r>
      <w:r>
        <w:rPr>
          <w:rStyle w:val="nowrap"/>
          <w:rFonts w:ascii="Arial" w:hAnsi="Arial" w:cs="Arial"/>
          <w:color w:val="202122"/>
          <w:sz w:val="21"/>
          <w:szCs w:val="21"/>
        </w:rPr>
        <w:t> = −13,5 °C</w:t>
      </w:r>
      <w:r>
        <w:rPr>
          <w:rFonts w:ascii="Arial" w:hAnsi="Arial" w:cs="Arial"/>
          <w:color w:val="202122"/>
          <w:sz w:val="21"/>
          <w:szCs w:val="21"/>
        </w:rPr>
        <w:t> sous 188 GPa</w:t>
      </w:r>
      <w:r w:rsidRPr="0067256F">
        <w:rPr>
          <w:rFonts w:ascii="Arial" w:hAnsi="Arial" w:cs="Arial"/>
          <w:color w:val="202122"/>
          <w:sz w:val="17"/>
          <w:szCs w:val="17"/>
          <w:vertAlign w:val="superscript"/>
        </w:rPr>
        <w:t>2</w:t>
      </w:r>
      <w:r>
        <w:rPr>
          <w:rFonts w:ascii="Arial" w:hAnsi="Arial" w:cs="Arial"/>
          <w:color w:val="202122"/>
          <w:sz w:val="21"/>
          <w:szCs w:val="21"/>
        </w:rPr>
        <w:t>, un nouveau record.</w:t>
      </w:r>
    </w:p>
    <w:p w14:paraId="5019FC15" w14:textId="77777777" w:rsidR="0067256F" w:rsidRDefault="0067256F" w:rsidP="0067256F"/>
    <w:p w14:paraId="31492681" w14:textId="63DD1C6F" w:rsidR="0067256F" w:rsidRPr="0067256F" w:rsidRDefault="0067256F" w:rsidP="0067256F">
      <w:pPr>
        <w:pStyle w:val="Titre3"/>
      </w:pPr>
      <w:bookmarkStart w:id="7" w:name="_Toc168837610"/>
      <w:r w:rsidRPr="0067256F">
        <w:t>Théorie BCS</w:t>
      </w:r>
      <w:bookmarkEnd w:id="7"/>
    </w:p>
    <w:p w14:paraId="1AAD04B4" w14:textId="7F39690B" w:rsidR="0067256F" w:rsidRPr="0067256F" w:rsidRDefault="0067256F" w:rsidP="0067256F">
      <w:pPr>
        <w:jc w:val="both"/>
      </w:pPr>
      <w:r>
        <w:rPr>
          <w:rFonts w:ascii="Arial" w:hAnsi="Arial" w:cs="Arial"/>
          <w:color w:val="202122"/>
          <w:sz w:val="21"/>
          <w:szCs w:val="21"/>
          <w:shd w:val="clear" w:color="auto" w:fill="FFFFFF"/>
        </w:rPr>
        <w:t>La </w:t>
      </w:r>
      <w:r>
        <w:rPr>
          <w:rFonts w:ascii="Arial" w:hAnsi="Arial" w:cs="Arial"/>
          <w:b/>
          <w:bCs/>
          <w:color w:val="202122"/>
          <w:sz w:val="21"/>
          <w:szCs w:val="21"/>
          <w:shd w:val="clear" w:color="auto" w:fill="FFFFFF"/>
        </w:rPr>
        <w:t>théorie BCS</w:t>
      </w:r>
      <w:r>
        <w:rPr>
          <w:rFonts w:ascii="Arial" w:hAnsi="Arial" w:cs="Arial"/>
          <w:color w:val="202122"/>
          <w:sz w:val="21"/>
          <w:szCs w:val="21"/>
          <w:shd w:val="clear" w:color="auto" w:fill="FFFFFF"/>
        </w:rPr>
        <w:t> est une théorie de la </w:t>
      </w:r>
      <w:r w:rsidRPr="0067256F">
        <w:rPr>
          <w:rFonts w:ascii="Arial" w:hAnsi="Arial" w:cs="Arial"/>
          <w:sz w:val="21"/>
          <w:szCs w:val="21"/>
          <w:shd w:val="clear" w:color="auto" w:fill="FFFFFF"/>
        </w:rPr>
        <w:t>supraconductivité</w:t>
      </w:r>
      <w:r>
        <w:rPr>
          <w:rFonts w:ascii="Arial" w:hAnsi="Arial" w:cs="Arial"/>
          <w:color w:val="202122"/>
          <w:sz w:val="21"/>
          <w:szCs w:val="21"/>
          <w:shd w:val="clear" w:color="auto" w:fill="FFFFFF"/>
        </w:rPr>
        <w:t> qui fut proposée en 1957 par </w:t>
      </w:r>
      <w:r w:rsidRPr="0067256F">
        <w:rPr>
          <w:rFonts w:ascii="Arial" w:hAnsi="Arial" w:cs="Arial"/>
          <w:sz w:val="21"/>
          <w:szCs w:val="21"/>
          <w:shd w:val="clear" w:color="auto" w:fill="FFFFFF"/>
        </w:rPr>
        <w:t>John Bardeen</w:t>
      </w:r>
      <w:r>
        <w:rPr>
          <w:rFonts w:ascii="Arial" w:hAnsi="Arial" w:cs="Arial"/>
          <w:color w:val="202122"/>
          <w:sz w:val="21"/>
          <w:szCs w:val="21"/>
          <w:shd w:val="clear" w:color="auto" w:fill="FFFFFF"/>
        </w:rPr>
        <w:t>, </w:t>
      </w:r>
      <w:r w:rsidRPr="0067256F">
        <w:rPr>
          <w:rFonts w:ascii="Arial" w:hAnsi="Arial" w:cs="Arial"/>
          <w:sz w:val="21"/>
          <w:szCs w:val="21"/>
          <w:shd w:val="clear" w:color="auto" w:fill="FFFFFF"/>
        </w:rPr>
        <w:t>Leon Neil Cooper</w:t>
      </w:r>
      <w:r>
        <w:rPr>
          <w:rFonts w:ascii="Arial" w:hAnsi="Arial" w:cs="Arial"/>
          <w:color w:val="202122"/>
          <w:sz w:val="21"/>
          <w:szCs w:val="21"/>
          <w:shd w:val="clear" w:color="auto" w:fill="FFFFFF"/>
        </w:rPr>
        <w:t>, et </w:t>
      </w:r>
      <w:r w:rsidRPr="0067256F">
        <w:rPr>
          <w:rFonts w:ascii="Arial" w:hAnsi="Arial" w:cs="Arial"/>
          <w:sz w:val="21"/>
          <w:szCs w:val="21"/>
          <w:shd w:val="clear" w:color="auto" w:fill="FFFFFF"/>
        </w:rPr>
        <w:t>John Robert Schrieffer</w:t>
      </w:r>
      <w:r>
        <w:rPr>
          <w:rFonts w:ascii="Arial" w:hAnsi="Arial" w:cs="Arial"/>
          <w:color w:val="202122"/>
          <w:sz w:val="21"/>
          <w:szCs w:val="21"/>
          <w:shd w:val="clear" w:color="auto" w:fill="FFFFFF"/>
        </w:rPr>
        <w:t>. Elle explique la </w:t>
      </w:r>
      <w:r w:rsidRPr="0067256F">
        <w:rPr>
          <w:rFonts w:ascii="Arial" w:hAnsi="Arial" w:cs="Arial"/>
          <w:sz w:val="21"/>
          <w:szCs w:val="21"/>
          <w:shd w:val="clear" w:color="auto" w:fill="FFFFFF"/>
        </w:rPr>
        <w:t>supraconductivité</w:t>
      </w:r>
      <w:r>
        <w:rPr>
          <w:rFonts w:ascii="Arial" w:hAnsi="Arial" w:cs="Arial"/>
          <w:color w:val="202122"/>
          <w:sz w:val="21"/>
          <w:szCs w:val="21"/>
          <w:shd w:val="clear" w:color="auto" w:fill="FFFFFF"/>
        </w:rPr>
        <w:t> par la formation de paires d'</w:t>
      </w:r>
      <w:r w:rsidRPr="0067256F">
        <w:rPr>
          <w:rFonts w:ascii="Arial" w:hAnsi="Arial" w:cs="Arial"/>
          <w:sz w:val="21"/>
          <w:szCs w:val="21"/>
          <w:shd w:val="clear" w:color="auto" w:fill="FFFFFF"/>
        </w:rPr>
        <w:t>électrons</w:t>
      </w:r>
      <w:r>
        <w:rPr>
          <w:rFonts w:ascii="Arial" w:hAnsi="Arial" w:cs="Arial"/>
          <w:color w:val="202122"/>
          <w:sz w:val="21"/>
          <w:szCs w:val="21"/>
          <w:shd w:val="clear" w:color="auto" w:fill="FFFFFF"/>
        </w:rPr>
        <w:t> (</w:t>
      </w:r>
      <w:r w:rsidRPr="0067256F">
        <w:rPr>
          <w:rFonts w:ascii="Arial" w:hAnsi="Arial" w:cs="Arial"/>
          <w:b/>
          <w:bCs/>
          <w:color w:val="202122"/>
          <w:sz w:val="21"/>
          <w:szCs w:val="21"/>
          <w:shd w:val="clear" w:color="auto" w:fill="FFFFFF"/>
        </w:rPr>
        <w:t>paires de Cooper</w:t>
      </w:r>
      <w:r>
        <w:rPr>
          <w:rFonts w:ascii="Arial" w:hAnsi="Arial" w:cs="Arial"/>
          <w:color w:val="202122"/>
          <w:sz w:val="21"/>
          <w:szCs w:val="21"/>
          <w:shd w:val="clear" w:color="auto" w:fill="FFFFFF"/>
        </w:rPr>
        <w:t>) sous l'effet d'une interaction attractive entre électrons résultant de l'échange de </w:t>
      </w:r>
      <w:r w:rsidRPr="0067256F">
        <w:rPr>
          <w:rFonts w:ascii="Arial" w:hAnsi="Arial" w:cs="Arial"/>
          <w:sz w:val="21"/>
          <w:szCs w:val="21"/>
          <w:shd w:val="clear" w:color="auto" w:fill="FFFFFF"/>
        </w:rPr>
        <w:t>phonons</w:t>
      </w:r>
      <w:r w:rsidRPr="0067256F">
        <w:rPr>
          <w:rFonts w:ascii="Arial" w:hAnsi="Arial" w:cs="Arial"/>
          <w:color w:val="202122"/>
          <w:sz w:val="19"/>
          <w:szCs w:val="19"/>
          <w:shd w:val="clear" w:color="auto" w:fill="FFFFFF"/>
          <w:vertAlign w:val="superscript"/>
        </w:rPr>
        <w:t>1</w:t>
      </w:r>
      <w:r>
        <w:rPr>
          <w:rFonts w:ascii="Arial" w:hAnsi="Arial" w:cs="Arial"/>
          <w:color w:val="202122"/>
          <w:sz w:val="21"/>
          <w:szCs w:val="21"/>
          <w:shd w:val="clear" w:color="auto" w:fill="FFFFFF"/>
        </w:rPr>
        <w:t>. Pour leur travail, ces auteurs obtinrent le </w:t>
      </w:r>
      <w:r w:rsidRPr="0067256F">
        <w:rPr>
          <w:rFonts w:ascii="Arial" w:hAnsi="Arial" w:cs="Arial"/>
          <w:sz w:val="21"/>
          <w:szCs w:val="21"/>
          <w:shd w:val="clear" w:color="auto" w:fill="FFFFFF"/>
        </w:rPr>
        <w:t>prix Nobel de physique</w:t>
      </w:r>
      <w:r>
        <w:rPr>
          <w:rFonts w:ascii="Arial" w:hAnsi="Arial" w:cs="Arial"/>
          <w:color w:val="202122"/>
          <w:sz w:val="21"/>
          <w:szCs w:val="21"/>
          <w:shd w:val="clear" w:color="auto" w:fill="FFFFFF"/>
        </w:rPr>
        <w:t> en 1972.</w:t>
      </w:r>
    </w:p>
    <w:sectPr w:rsidR="0067256F" w:rsidRPr="0067256F">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CA32FD" w14:textId="77777777" w:rsidR="00031CD9" w:rsidRDefault="00031CD9" w:rsidP="00B33482">
      <w:pPr>
        <w:spacing w:after="0" w:line="240" w:lineRule="auto"/>
      </w:pPr>
      <w:r>
        <w:separator/>
      </w:r>
    </w:p>
  </w:endnote>
  <w:endnote w:type="continuationSeparator" w:id="0">
    <w:p w14:paraId="210A0983" w14:textId="77777777" w:rsidR="00031CD9" w:rsidRDefault="00031CD9"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End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258D3C" w14:textId="77777777" w:rsidR="00031CD9" w:rsidRDefault="00031CD9" w:rsidP="00B33482">
      <w:pPr>
        <w:spacing w:after="0" w:line="240" w:lineRule="auto"/>
      </w:pPr>
      <w:r>
        <w:separator/>
      </w:r>
    </w:p>
  </w:footnote>
  <w:footnote w:type="continuationSeparator" w:id="0">
    <w:p w14:paraId="4005B2B2" w14:textId="77777777" w:rsidR="00031CD9" w:rsidRDefault="00031CD9"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9DAFA1F" w:rsidR="00B33482" w:rsidRPr="00F67AFF" w:rsidRDefault="001D1916" w:rsidP="00F67AFF">
    <w:pPr>
      <w:pStyle w:val="En-tte"/>
    </w:pPr>
    <w:r>
      <w:t>PHYSIQUE - Supraconducteur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71AEF"/>
    <w:multiLevelType w:val="multilevel"/>
    <w:tmpl w:val="130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B9E249F"/>
    <w:multiLevelType w:val="multilevel"/>
    <w:tmpl w:val="1DF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
  </w:num>
  <w:num w:numId="2" w16cid:durableId="581375566">
    <w:abstractNumId w:val="1"/>
  </w:num>
  <w:num w:numId="3" w16cid:durableId="1888882032">
    <w:abstractNumId w:val="3"/>
  </w:num>
  <w:num w:numId="4" w16cid:durableId="933708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31CD9"/>
    <w:rsid w:val="0015024B"/>
    <w:rsid w:val="001D1916"/>
    <w:rsid w:val="00271C44"/>
    <w:rsid w:val="00275575"/>
    <w:rsid w:val="002D54BA"/>
    <w:rsid w:val="003618C1"/>
    <w:rsid w:val="003A01AC"/>
    <w:rsid w:val="003D5A98"/>
    <w:rsid w:val="004C0A21"/>
    <w:rsid w:val="005C020A"/>
    <w:rsid w:val="0067256F"/>
    <w:rsid w:val="00757B00"/>
    <w:rsid w:val="007B298A"/>
    <w:rsid w:val="007D0500"/>
    <w:rsid w:val="007E575E"/>
    <w:rsid w:val="00832021"/>
    <w:rsid w:val="008B6E24"/>
    <w:rsid w:val="008E7FE0"/>
    <w:rsid w:val="00B33482"/>
    <w:rsid w:val="00B84C30"/>
    <w:rsid w:val="00B94464"/>
    <w:rsid w:val="00BF3640"/>
    <w:rsid w:val="00CF7E83"/>
    <w:rsid w:val="00D767A4"/>
    <w:rsid w:val="00E016DE"/>
    <w:rsid w:val="00E033D8"/>
    <w:rsid w:val="00E201AE"/>
    <w:rsid w:val="00E71370"/>
    <w:rsid w:val="00F33AE1"/>
    <w:rsid w:val="00F67AFF"/>
    <w:rsid w:val="00F75C01"/>
    <w:rsid w:val="00FA50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725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api">
    <w:name w:val="api"/>
    <w:basedOn w:val="Policepardfaut"/>
    <w:rsid w:val="007D0500"/>
  </w:style>
  <w:style w:type="character" w:customStyle="1" w:styleId="Titre3Car">
    <w:name w:val="Titre 3 Car"/>
    <w:basedOn w:val="Policepardfaut"/>
    <w:link w:val="Titre3"/>
    <w:uiPriority w:val="9"/>
    <w:rsid w:val="0067256F"/>
    <w:rPr>
      <w:rFonts w:asciiTheme="majorHAnsi" w:eastAsiaTheme="majorEastAsia" w:hAnsiTheme="majorHAnsi" w:cstheme="majorBidi"/>
      <w:b/>
      <w:color w:val="1F3763" w:themeColor="accent1" w:themeShade="7F"/>
      <w:sz w:val="24"/>
      <w:szCs w:val="24"/>
    </w:rPr>
  </w:style>
  <w:style w:type="paragraph" w:styleId="En-ttedetabledesmatires">
    <w:name w:val="TOC Heading"/>
    <w:basedOn w:val="Titre1"/>
    <w:next w:val="Normal"/>
    <w:uiPriority w:val="39"/>
    <w:unhideWhenUsed/>
    <w:qFormat/>
    <w:rsid w:val="004C0A2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4C0A21"/>
    <w:pPr>
      <w:spacing w:after="100"/>
    </w:pPr>
  </w:style>
  <w:style w:type="paragraph" w:styleId="TM2">
    <w:name w:val="toc 2"/>
    <w:basedOn w:val="Normal"/>
    <w:next w:val="Normal"/>
    <w:autoRedefine/>
    <w:uiPriority w:val="39"/>
    <w:unhideWhenUsed/>
    <w:rsid w:val="004C0A21"/>
    <w:pPr>
      <w:spacing w:after="100"/>
      <w:ind w:left="220"/>
    </w:pPr>
  </w:style>
  <w:style w:type="character" w:customStyle="1" w:styleId="nowrap">
    <w:name w:val="nowrap"/>
    <w:basedOn w:val="Policepardfaut"/>
    <w:rsid w:val="0067256F"/>
  </w:style>
  <w:style w:type="character" w:customStyle="1" w:styleId="texhtml">
    <w:name w:val="texhtml"/>
    <w:basedOn w:val="Policepardfaut"/>
    <w:rsid w:val="0067256F"/>
  </w:style>
  <w:style w:type="paragraph" w:styleId="TM3">
    <w:name w:val="toc 3"/>
    <w:basedOn w:val="Normal"/>
    <w:next w:val="Normal"/>
    <w:autoRedefine/>
    <w:uiPriority w:val="39"/>
    <w:unhideWhenUsed/>
    <w:rsid w:val="0067256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910641">
      <w:bodyDiv w:val="1"/>
      <w:marLeft w:val="0"/>
      <w:marRight w:val="0"/>
      <w:marTop w:val="0"/>
      <w:marBottom w:val="0"/>
      <w:divBdr>
        <w:top w:val="none" w:sz="0" w:space="0" w:color="auto"/>
        <w:left w:val="none" w:sz="0" w:space="0" w:color="auto"/>
        <w:bottom w:val="none" w:sz="0" w:space="0" w:color="auto"/>
        <w:right w:val="none" w:sz="0" w:space="0" w:color="auto"/>
      </w:divBdr>
    </w:div>
    <w:div w:id="375980064">
      <w:bodyDiv w:val="1"/>
      <w:marLeft w:val="0"/>
      <w:marRight w:val="0"/>
      <w:marTop w:val="0"/>
      <w:marBottom w:val="0"/>
      <w:divBdr>
        <w:top w:val="none" w:sz="0" w:space="0" w:color="auto"/>
        <w:left w:val="none" w:sz="0" w:space="0" w:color="auto"/>
        <w:bottom w:val="none" w:sz="0" w:space="0" w:color="auto"/>
        <w:right w:val="none" w:sz="0" w:space="0" w:color="auto"/>
      </w:divBdr>
    </w:div>
    <w:div w:id="442117298">
      <w:bodyDiv w:val="1"/>
      <w:marLeft w:val="0"/>
      <w:marRight w:val="0"/>
      <w:marTop w:val="0"/>
      <w:marBottom w:val="0"/>
      <w:divBdr>
        <w:top w:val="none" w:sz="0" w:space="0" w:color="auto"/>
        <w:left w:val="none" w:sz="0" w:space="0" w:color="auto"/>
        <w:bottom w:val="none" w:sz="0" w:space="0" w:color="auto"/>
        <w:right w:val="none" w:sz="0" w:space="0" w:color="auto"/>
      </w:divBdr>
      <w:divsChild>
        <w:div w:id="883058659">
          <w:marLeft w:val="0"/>
          <w:marRight w:val="0"/>
          <w:marTop w:val="0"/>
          <w:marBottom w:val="0"/>
          <w:divBdr>
            <w:top w:val="none" w:sz="0" w:space="0" w:color="auto"/>
            <w:left w:val="none" w:sz="0" w:space="0" w:color="auto"/>
            <w:bottom w:val="none" w:sz="0" w:space="0" w:color="auto"/>
            <w:right w:val="none" w:sz="0" w:space="0" w:color="auto"/>
          </w:divBdr>
          <w:divsChild>
            <w:div w:id="2069065615">
              <w:marLeft w:val="0"/>
              <w:marRight w:val="0"/>
              <w:marTop w:val="0"/>
              <w:marBottom w:val="0"/>
              <w:divBdr>
                <w:top w:val="none" w:sz="0" w:space="0" w:color="auto"/>
                <w:left w:val="none" w:sz="0" w:space="0" w:color="auto"/>
                <w:bottom w:val="none" w:sz="0" w:space="0" w:color="auto"/>
                <w:right w:val="none" w:sz="0" w:space="0" w:color="auto"/>
              </w:divBdr>
            </w:div>
            <w:div w:id="17985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069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46900">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62552553">
      <w:bodyDiv w:val="1"/>
      <w:marLeft w:val="0"/>
      <w:marRight w:val="0"/>
      <w:marTop w:val="0"/>
      <w:marBottom w:val="0"/>
      <w:divBdr>
        <w:top w:val="none" w:sz="0" w:space="0" w:color="auto"/>
        <w:left w:val="none" w:sz="0" w:space="0" w:color="auto"/>
        <w:bottom w:val="none" w:sz="0" w:space="0" w:color="auto"/>
        <w:right w:val="none" w:sz="0" w:space="0" w:color="auto"/>
      </w:divBdr>
    </w:div>
    <w:div w:id="193242678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4</Pages>
  <Words>1351</Words>
  <Characters>7431</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26</cp:revision>
  <dcterms:created xsi:type="dcterms:W3CDTF">2022-11-21T18:39:00Z</dcterms:created>
  <dcterms:modified xsi:type="dcterms:W3CDTF">2024-06-09T12:59:00Z</dcterms:modified>
</cp:coreProperties>
</file>