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597F9" w14:textId="31D8F02D" w:rsidR="003B22A5" w:rsidRDefault="006A1180" w:rsidP="00840D49">
      <w:pPr>
        <w:pStyle w:val="Titre"/>
        <w:jc w:val="both"/>
        <w:rPr>
          <w:b/>
          <w:bCs/>
        </w:rPr>
      </w:pPr>
      <w:r w:rsidRPr="006A1180">
        <w:rPr>
          <w:b/>
          <w:bCs/>
        </w:rPr>
        <w:t>Propulseur à effet Hall</w:t>
      </w:r>
    </w:p>
    <w:sdt>
      <w:sdtPr>
        <w:id w:val="-114680971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0C24D12" w14:textId="4751F11B" w:rsidR="00B24AF8" w:rsidRDefault="00B24AF8">
          <w:pPr>
            <w:pStyle w:val="En-ttedetabledesmatires"/>
          </w:pPr>
          <w:r>
            <w:t>Table des matières</w:t>
          </w:r>
        </w:p>
        <w:p w14:paraId="46009705" w14:textId="12655E24" w:rsidR="00B24AF8" w:rsidRDefault="00B24AF8">
          <w:pPr>
            <w:pStyle w:val="TM1"/>
            <w:tabs>
              <w:tab w:val="right" w:leader="dot" w:pos="9062"/>
            </w:tabs>
            <w:rPr>
              <w:noProof/>
            </w:rPr>
          </w:pPr>
          <w:r>
            <w:fldChar w:fldCharType="begin"/>
          </w:r>
          <w:r>
            <w:instrText xml:space="preserve"> TOC \o "1-3" \h \z \u </w:instrText>
          </w:r>
          <w:r>
            <w:fldChar w:fldCharType="separate"/>
          </w:r>
          <w:hyperlink w:anchor="_Toc133071412" w:history="1">
            <w:r w:rsidRPr="00146C4D">
              <w:rPr>
                <w:rStyle w:val="Lienhypertexte"/>
                <w:b/>
                <w:bCs/>
                <w:noProof/>
              </w:rPr>
              <w:t>Introduction</w:t>
            </w:r>
            <w:r>
              <w:rPr>
                <w:noProof/>
                <w:webHidden/>
              </w:rPr>
              <w:tab/>
            </w:r>
            <w:r>
              <w:rPr>
                <w:noProof/>
                <w:webHidden/>
              </w:rPr>
              <w:fldChar w:fldCharType="begin"/>
            </w:r>
            <w:r>
              <w:rPr>
                <w:noProof/>
                <w:webHidden/>
              </w:rPr>
              <w:instrText xml:space="preserve"> PAGEREF _Toc133071412 \h </w:instrText>
            </w:r>
            <w:r>
              <w:rPr>
                <w:noProof/>
                <w:webHidden/>
              </w:rPr>
            </w:r>
            <w:r>
              <w:rPr>
                <w:noProof/>
                <w:webHidden/>
              </w:rPr>
              <w:fldChar w:fldCharType="separate"/>
            </w:r>
            <w:r>
              <w:rPr>
                <w:noProof/>
                <w:webHidden/>
              </w:rPr>
              <w:t>1</w:t>
            </w:r>
            <w:r>
              <w:rPr>
                <w:noProof/>
                <w:webHidden/>
              </w:rPr>
              <w:fldChar w:fldCharType="end"/>
            </w:r>
          </w:hyperlink>
        </w:p>
        <w:p w14:paraId="1FAE6FDD" w14:textId="1BCBBA79" w:rsidR="00B24AF8" w:rsidRDefault="00B24AF8">
          <w:pPr>
            <w:pStyle w:val="TM1"/>
            <w:tabs>
              <w:tab w:val="right" w:leader="dot" w:pos="9062"/>
            </w:tabs>
            <w:rPr>
              <w:noProof/>
            </w:rPr>
          </w:pPr>
          <w:hyperlink w:anchor="_Toc133071413" w:history="1">
            <w:r w:rsidRPr="00146C4D">
              <w:rPr>
                <w:rStyle w:val="Lienhypertexte"/>
                <w:rFonts w:eastAsia="Times New Roman"/>
                <w:b/>
                <w:bCs/>
                <w:noProof/>
                <w:lang w:eastAsia="fr-FR"/>
              </w:rPr>
              <w:t>Description géométrique</w:t>
            </w:r>
            <w:r>
              <w:rPr>
                <w:noProof/>
                <w:webHidden/>
              </w:rPr>
              <w:tab/>
            </w:r>
            <w:r>
              <w:rPr>
                <w:noProof/>
                <w:webHidden/>
              </w:rPr>
              <w:fldChar w:fldCharType="begin"/>
            </w:r>
            <w:r>
              <w:rPr>
                <w:noProof/>
                <w:webHidden/>
              </w:rPr>
              <w:instrText xml:space="preserve"> PAGEREF _Toc133071413 \h </w:instrText>
            </w:r>
            <w:r>
              <w:rPr>
                <w:noProof/>
                <w:webHidden/>
              </w:rPr>
            </w:r>
            <w:r>
              <w:rPr>
                <w:noProof/>
                <w:webHidden/>
              </w:rPr>
              <w:fldChar w:fldCharType="separate"/>
            </w:r>
            <w:r>
              <w:rPr>
                <w:noProof/>
                <w:webHidden/>
              </w:rPr>
              <w:t>2</w:t>
            </w:r>
            <w:r>
              <w:rPr>
                <w:noProof/>
                <w:webHidden/>
              </w:rPr>
              <w:fldChar w:fldCharType="end"/>
            </w:r>
          </w:hyperlink>
        </w:p>
        <w:p w14:paraId="02062AFC" w14:textId="1FC42B8A" w:rsidR="00B24AF8" w:rsidRDefault="00B24AF8">
          <w:pPr>
            <w:pStyle w:val="TM1"/>
            <w:tabs>
              <w:tab w:val="right" w:leader="dot" w:pos="9062"/>
            </w:tabs>
            <w:rPr>
              <w:noProof/>
            </w:rPr>
          </w:pPr>
          <w:hyperlink w:anchor="_Toc133071414" w:history="1">
            <w:r w:rsidRPr="00146C4D">
              <w:rPr>
                <w:rStyle w:val="Lienhypertexte"/>
                <w:rFonts w:eastAsia="Times New Roman"/>
                <w:b/>
                <w:bCs/>
                <w:noProof/>
                <w:lang w:eastAsia="fr-FR"/>
              </w:rPr>
              <w:t>La physique</w:t>
            </w:r>
            <w:r>
              <w:rPr>
                <w:noProof/>
                <w:webHidden/>
              </w:rPr>
              <w:tab/>
            </w:r>
            <w:r>
              <w:rPr>
                <w:noProof/>
                <w:webHidden/>
              </w:rPr>
              <w:fldChar w:fldCharType="begin"/>
            </w:r>
            <w:r>
              <w:rPr>
                <w:noProof/>
                <w:webHidden/>
              </w:rPr>
              <w:instrText xml:space="preserve"> PAGEREF _Toc133071414 \h </w:instrText>
            </w:r>
            <w:r>
              <w:rPr>
                <w:noProof/>
                <w:webHidden/>
              </w:rPr>
            </w:r>
            <w:r>
              <w:rPr>
                <w:noProof/>
                <w:webHidden/>
              </w:rPr>
              <w:fldChar w:fldCharType="separate"/>
            </w:r>
            <w:r>
              <w:rPr>
                <w:noProof/>
                <w:webHidden/>
              </w:rPr>
              <w:t>2</w:t>
            </w:r>
            <w:r>
              <w:rPr>
                <w:noProof/>
                <w:webHidden/>
              </w:rPr>
              <w:fldChar w:fldCharType="end"/>
            </w:r>
          </w:hyperlink>
        </w:p>
        <w:p w14:paraId="39136EE6" w14:textId="43C713DD" w:rsidR="00B24AF8" w:rsidRDefault="00B24AF8">
          <w:r>
            <w:rPr>
              <w:b/>
              <w:bCs/>
            </w:rPr>
            <w:fldChar w:fldCharType="end"/>
          </w:r>
        </w:p>
      </w:sdtContent>
    </w:sdt>
    <w:p w14:paraId="3F905C93" w14:textId="6D9BD3B3" w:rsidR="006A1180" w:rsidRDefault="006A1180" w:rsidP="00840D49">
      <w:pPr>
        <w:jc w:val="both"/>
      </w:pPr>
    </w:p>
    <w:p w14:paraId="43C55CB2" w14:textId="34102F9E" w:rsidR="006A1180" w:rsidRDefault="006A1180" w:rsidP="00840D49">
      <w:pPr>
        <w:pStyle w:val="Titre1"/>
        <w:jc w:val="both"/>
        <w:rPr>
          <w:b/>
          <w:bCs/>
        </w:rPr>
      </w:pPr>
      <w:bookmarkStart w:id="0" w:name="_Toc133071412"/>
      <w:r w:rsidRPr="006A1180">
        <w:rPr>
          <w:b/>
          <w:bCs/>
        </w:rPr>
        <w:t>Introduction</w:t>
      </w:r>
      <w:bookmarkEnd w:id="0"/>
      <w:r w:rsidRPr="006A1180">
        <w:rPr>
          <w:b/>
          <w:bCs/>
        </w:rPr>
        <w:t xml:space="preserve"> </w:t>
      </w:r>
    </w:p>
    <w:p w14:paraId="4749BFFC" w14:textId="7969736F" w:rsidR="00842A3B" w:rsidRDefault="00842A3B" w:rsidP="00840D49">
      <w:pPr>
        <w:pStyle w:val="NormalWeb"/>
        <w:jc w:val="both"/>
      </w:pPr>
      <w:r>
        <w:rPr>
          <w:noProof/>
        </w:rPr>
        <w:drawing>
          <wp:anchor distT="0" distB="0" distL="114300" distR="114300" simplePos="0" relativeHeight="251658240" behindDoc="0" locked="0" layoutInCell="1" allowOverlap="1" wp14:anchorId="47BB8472" wp14:editId="32067A72">
            <wp:simplePos x="0" y="0"/>
            <wp:positionH relativeFrom="column">
              <wp:posOffset>4034155</wp:posOffset>
            </wp:positionH>
            <wp:positionV relativeFrom="paragraph">
              <wp:posOffset>347980</wp:posOffset>
            </wp:positionV>
            <wp:extent cx="2444750" cy="1793240"/>
            <wp:effectExtent l="0" t="0" r="0" b="0"/>
            <wp:wrapThrough wrapText="bothSides">
              <wp:wrapPolygon edited="0">
                <wp:start x="0" y="0"/>
                <wp:lineTo x="0" y="21340"/>
                <wp:lineTo x="21376" y="21340"/>
                <wp:lineTo x="21376"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2024"/>
                    <a:stretch/>
                  </pic:blipFill>
                  <pic:spPr bwMode="auto">
                    <a:xfrm>
                      <a:off x="0" y="0"/>
                      <a:ext cx="2444750" cy="1793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Un </w:t>
      </w:r>
      <w:r w:rsidRPr="00842A3B">
        <w:t>propulseur à effet Hall</w:t>
      </w:r>
      <w:r>
        <w:t xml:space="preserve">, parfois appelé </w:t>
      </w:r>
      <w:r w:rsidRPr="00842A3B">
        <w:t>Stationary Plasma Thruster</w:t>
      </w:r>
      <w:r>
        <w:t xml:space="preserve"> (SPT)</w:t>
      </w:r>
      <w:r w:rsidRPr="00842A3B">
        <w:t>1</w:t>
      </w:r>
      <w:r>
        <w:t xml:space="preserve"> ou </w:t>
      </w:r>
      <w:r w:rsidRPr="00842A3B">
        <w:t>moteur à plasma stationnaire</w:t>
      </w:r>
      <w:r>
        <w:t xml:space="preserve">, est un type de propulseur à plasma (généralement de forme annulaire) qui utilise un </w:t>
      </w:r>
      <w:r w:rsidRPr="00842A3B">
        <w:t>champ électrique</w:t>
      </w:r>
      <w:r>
        <w:t xml:space="preserve"> pour accélérer des </w:t>
      </w:r>
      <w:r w:rsidRPr="00842A3B">
        <w:t>ions</w:t>
      </w:r>
      <w:r>
        <w:t xml:space="preserve">. Il est dit à </w:t>
      </w:r>
      <w:r w:rsidRPr="00842A3B">
        <w:t>effet Hall</w:t>
      </w:r>
      <w:r>
        <w:t xml:space="preserve"> car il utilise un </w:t>
      </w:r>
      <w:r w:rsidRPr="00842A3B">
        <w:t>champ magnétique</w:t>
      </w:r>
      <w:r>
        <w:t xml:space="preserve"> pour piéger les </w:t>
      </w:r>
      <w:r w:rsidRPr="00842A3B">
        <w:t>électrons</w:t>
      </w:r>
      <w:r>
        <w:t xml:space="preserve"> qui servent à </w:t>
      </w:r>
      <w:r w:rsidRPr="00842A3B">
        <w:t>ioniser</w:t>
      </w:r>
      <w:r>
        <w:t xml:space="preserve"> un gaz. Ces ions sont alors accélérés et produisent une </w:t>
      </w:r>
      <w:r w:rsidRPr="00842A3B">
        <w:t>poussée</w:t>
      </w:r>
      <w:r>
        <w:t xml:space="preserve">. Il entre dans la catégorie des </w:t>
      </w:r>
      <w:r w:rsidRPr="00842A3B">
        <w:t>propulseurs électriques pour systèmes spatiaux</w:t>
      </w:r>
      <w:r>
        <w:t xml:space="preserve">. </w:t>
      </w:r>
    </w:p>
    <w:p w14:paraId="7356FA64" w14:textId="1F45415E" w:rsidR="00842A3B" w:rsidRDefault="00842A3B" w:rsidP="00840D49">
      <w:pPr>
        <w:pStyle w:val="NormalWeb"/>
        <w:jc w:val="both"/>
      </w:pPr>
      <w:r>
        <w:t xml:space="preserve">Différents gaz peuvent servir dans ces types de propulseur. Parmi ceux-ci, le </w:t>
      </w:r>
      <w:r w:rsidRPr="00842A3B">
        <w:t>xénon</w:t>
      </w:r>
      <w:r>
        <w:t xml:space="preserve"> est le plus couramment utilisé. Les autres gaz sont notamment le </w:t>
      </w:r>
      <w:r w:rsidRPr="00842A3B">
        <w:t>krypton</w:t>
      </w:r>
      <w:r>
        <w:t xml:space="preserve">, le </w:t>
      </w:r>
      <w:r w:rsidRPr="00842A3B">
        <w:t>bismuth</w:t>
      </w:r>
      <w:r>
        <w:t>, l'</w:t>
      </w:r>
      <w:r w:rsidRPr="00842A3B">
        <w:t>argon</w:t>
      </w:r>
      <w:r>
        <w:t>, l'</w:t>
      </w:r>
      <w:r w:rsidRPr="00842A3B">
        <w:t>iode</w:t>
      </w:r>
      <w:r>
        <w:t xml:space="preserve">, le </w:t>
      </w:r>
      <w:r w:rsidRPr="00842A3B">
        <w:t>magnésium</w:t>
      </w:r>
      <w:r>
        <w:t xml:space="preserve"> et le </w:t>
      </w:r>
      <w:r w:rsidRPr="00842A3B">
        <w:t>zinc</w:t>
      </w:r>
      <w:r>
        <w:t xml:space="preserve">. </w:t>
      </w:r>
    </w:p>
    <w:p w14:paraId="6AD0B1FB" w14:textId="30592F35" w:rsidR="00842A3B" w:rsidRDefault="00842A3B" w:rsidP="00840D49">
      <w:pPr>
        <w:pStyle w:val="NormalWeb"/>
        <w:jc w:val="both"/>
      </w:pPr>
      <w:r>
        <w:rPr>
          <w:noProof/>
        </w:rPr>
        <w:drawing>
          <wp:anchor distT="0" distB="0" distL="114300" distR="114300" simplePos="0" relativeHeight="251659264" behindDoc="0" locked="0" layoutInCell="1" allowOverlap="1" wp14:anchorId="0FC1E209" wp14:editId="0539B633">
            <wp:simplePos x="0" y="0"/>
            <wp:positionH relativeFrom="column">
              <wp:posOffset>4054475</wp:posOffset>
            </wp:positionH>
            <wp:positionV relativeFrom="paragraph">
              <wp:posOffset>7620</wp:posOffset>
            </wp:positionV>
            <wp:extent cx="2454910" cy="1841500"/>
            <wp:effectExtent l="0" t="0" r="2540" b="6350"/>
            <wp:wrapThrough wrapText="bothSides">
              <wp:wrapPolygon edited="0">
                <wp:start x="0" y="0"/>
                <wp:lineTo x="0" y="21451"/>
                <wp:lineTo x="21455" y="21451"/>
                <wp:lineTo x="21455"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4910"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r>
        <w:t>Ces engins sont capables d'accélérer les gaz à une vitesse comprise entre 10 </w:t>
      </w:r>
      <w:r w:rsidRPr="00842A3B">
        <w:t>km/s</w:t>
      </w:r>
      <w:r>
        <w:t xml:space="preserve"> et 80 km/s. La plupart des modèles se classent entre </w:t>
      </w:r>
      <w:r w:rsidRPr="00842A3B">
        <w:t>15 et 30 km/s</w:t>
      </w:r>
      <w:r>
        <w:t xml:space="preserve">, pour des </w:t>
      </w:r>
      <w:r w:rsidRPr="00842A3B">
        <w:t>impulsions spécifiques</w:t>
      </w:r>
      <w:r>
        <w:t xml:space="preserve"> respectives de 1 000 à 8 000 secondes et 1 500 à 3 000 secondes. La poussée pouvant être produite par les propulseurs à effet Hall varie en fonction de la </w:t>
      </w:r>
      <w:r w:rsidRPr="00842A3B">
        <w:t>puissance électrique</w:t>
      </w:r>
      <w:r>
        <w:t xml:space="preserve"> qui leur sera fournie, par exemple une puissance de 1,35 </w:t>
      </w:r>
      <w:r w:rsidRPr="00842A3B">
        <w:t>kilowatt</w:t>
      </w:r>
      <w:r>
        <w:t xml:space="preserve"> (kW) à 10 kW produit une </w:t>
      </w:r>
      <w:r w:rsidRPr="00842A3B">
        <w:t>vélocité</w:t>
      </w:r>
      <w:r>
        <w:t xml:space="preserve"> de 10 km/s à 50 km/s, équivalent à une force de 40 à 600 </w:t>
      </w:r>
      <w:r w:rsidRPr="00842A3B">
        <w:t>millinewtons</w:t>
      </w:r>
      <w:r>
        <w:t xml:space="preserve"> (mN). Certains modèles à grande puissance dégagent une force de plus de 5,4 newtons en laboratoire. De plus, des propulseurs ayant plus de 100 kW de puissance ont été démontrés avec le type au xénon. </w:t>
      </w:r>
    </w:p>
    <w:p w14:paraId="6348DA80" w14:textId="5B0D7D3E" w:rsidR="00842A3B" w:rsidRDefault="00842A3B" w:rsidP="00840D49">
      <w:pPr>
        <w:pStyle w:val="NormalWeb"/>
        <w:jc w:val="both"/>
      </w:pPr>
      <w:r>
        <w:t xml:space="preserve">La couleur résultante de l'excitation des atomes perceptible à la sortie du propulseur dépend du gaz utilisé. Ainsi, par exemple, le modèle au xénon produit une couleur bleutée. </w:t>
      </w:r>
    </w:p>
    <w:p w14:paraId="7CF34520" w14:textId="311D501E" w:rsidR="00842A3B" w:rsidRDefault="00842A3B" w:rsidP="00840D49">
      <w:pPr>
        <w:pStyle w:val="NormalWeb"/>
        <w:jc w:val="both"/>
      </w:pPr>
      <w:r>
        <w:t xml:space="preserve">Les applications de tels moteurs sont principalement le contrôle de l'orientation et de la position des satellites en orbite et aussi comme moteur primaire pour les robots spatiaux de taille moyenne. </w:t>
      </w:r>
    </w:p>
    <w:p w14:paraId="301C9B0D" w14:textId="53204C07" w:rsidR="00840D49" w:rsidRPr="00840D49" w:rsidRDefault="00840D49" w:rsidP="00840D49">
      <w:pPr>
        <w:pStyle w:val="Titre1"/>
        <w:jc w:val="both"/>
        <w:rPr>
          <w:rFonts w:eastAsia="Times New Roman"/>
          <w:b/>
          <w:bCs/>
          <w:lang w:eastAsia="fr-FR"/>
        </w:rPr>
      </w:pPr>
      <w:bookmarkStart w:id="1" w:name="_Toc133071413"/>
      <w:r w:rsidRPr="00840D49">
        <w:rPr>
          <w:rFonts w:eastAsia="Times New Roman"/>
          <w:b/>
          <w:bCs/>
          <w:lang w:eastAsia="fr-FR"/>
        </w:rPr>
        <w:lastRenderedPageBreak/>
        <w:t>Description géométrique</w:t>
      </w:r>
      <w:bookmarkEnd w:id="1"/>
    </w:p>
    <w:p w14:paraId="131DE059" w14:textId="267B6829" w:rsidR="00840D49" w:rsidRDefault="00840D49" w:rsidP="00840D49">
      <w:pPr>
        <w:pStyle w:val="NormalWeb"/>
        <w:jc w:val="both"/>
      </w:pPr>
      <w:r w:rsidRPr="00840D49">
        <w:rPr>
          <w:noProof/>
        </w:rPr>
        <w:drawing>
          <wp:anchor distT="0" distB="0" distL="114300" distR="114300" simplePos="0" relativeHeight="251661312" behindDoc="0" locked="0" layoutInCell="1" allowOverlap="1" wp14:anchorId="376594F0" wp14:editId="1DB5088E">
            <wp:simplePos x="0" y="0"/>
            <wp:positionH relativeFrom="margin">
              <wp:align>left</wp:align>
            </wp:positionH>
            <wp:positionV relativeFrom="paragraph">
              <wp:posOffset>1454785</wp:posOffset>
            </wp:positionV>
            <wp:extent cx="3333750" cy="2209800"/>
            <wp:effectExtent l="0" t="0" r="0" b="0"/>
            <wp:wrapTopAndBottom/>
            <wp:docPr id="10" name="Image 1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0" cy="2209800"/>
                    </a:xfrm>
                    <a:prstGeom prst="rect">
                      <a:avLst/>
                    </a:prstGeom>
                    <a:noFill/>
                    <a:ln>
                      <a:noFill/>
                    </a:ln>
                  </pic:spPr>
                </pic:pic>
              </a:graphicData>
            </a:graphic>
          </wp:anchor>
        </w:drawing>
      </w:r>
      <w:r>
        <w:t xml:space="preserve">Un SPT est constitué de deux </w:t>
      </w:r>
      <w:r w:rsidRPr="00840D49">
        <w:t>cylindres</w:t>
      </w:r>
      <w:r>
        <w:t xml:space="preserve"> en </w:t>
      </w:r>
      <w:r w:rsidRPr="00840D49">
        <w:t>céramique</w:t>
      </w:r>
      <w:r>
        <w:t xml:space="preserve"> imbriqués d'environ 10 cm de </w:t>
      </w:r>
      <w:r w:rsidRPr="00840D49">
        <w:t>diamètre15</w:t>
      </w:r>
      <w:r>
        <w:t xml:space="preserve">. À l'intérieur du cylindre interne et à l'extérieur du cylindre externe on trouvera des </w:t>
      </w:r>
      <w:r w:rsidRPr="00840D49">
        <w:t>bobinages</w:t>
      </w:r>
      <w:r>
        <w:t xml:space="preserve">. Ils servent à générer un intense champ magnétique </w:t>
      </w:r>
      <w:r w:rsidRPr="00840D49">
        <w:t>radial</w:t>
      </w:r>
      <w:r>
        <w:t xml:space="preserve"> dans la zone de sortie du propulseur. Au fond de l'espace intra-cylindrique se trouve une </w:t>
      </w:r>
      <w:r w:rsidRPr="00840D49">
        <w:t>anode</w:t>
      </w:r>
      <w:r>
        <w:t xml:space="preserve"> où il y a le système d'injection du gaz. Une </w:t>
      </w:r>
      <w:r w:rsidRPr="00840D49">
        <w:t>cathode</w:t>
      </w:r>
      <w:r>
        <w:t xml:space="preserve"> creuse se situe à l'extérieur des cylindres. La pointe centrale forme un des pôles de l'</w:t>
      </w:r>
      <w:r w:rsidRPr="00840D49">
        <w:t>électroaimant</w:t>
      </w:r>
      <w:r>
        <w:t xml:space="preserve"> entouré par un espace annulaire, puis par la partie extérieure de l'électroaimant. </w:t>
      </w:r>
    </w:p>
    <w:p w14:paraId="21074105" w14:textId="77777777" w:rsidR="00840D49" w:rsidRDefault="00840D49" w:rsidP="00840D49">
      <w:pPr>
        <w:pStyle w:val="Titre1"/>
        <w:jc w:val="both"/>
        <w:rPr>
          <w:rFonts w:eastAsia="Times New Roman"/>
          <w:b/>
          <w:bCs/>
          <w:lang w:eastAsia="fr-FR"/>
        </w:rPr>
      </w:pPr>
    </w:p>
    <w:p w14:paraId="7C346DED" w14:textId="127B58B8" w:rsidR="00840D49" w:rsidRPr="00840D49" w:rsidRDefault="00840D49" w:rsidP="00840D49">
      <w:pPr>
        <w:pStyle w:val="Titre1"/>
        <w:jc w:val="both"/>
        <w:rPr>
          <w:rFonts w:eastAsia="Times New Roman"/>
          <w:b/>
          <w:bCs/>
          <w:lang w:eastAsia="fr-FR"/>
        </w:rPr>
      </w:pPr>
      <w:bookmarkStart w:id="2" w:name="_Toc133071414"/>
      <w:r w:rsidRPr="00840D49">
        <w:rPr>
          <w:rFonts w:eastAsia="Times New Roman"/>
          <w:b/>
          <w:bCs/>
          <w:lang w:eastAsia="fr-FR"/>
        </w:rPr>
        <w:t>La physique</w:t>
      </w:r>
      <w:bookmarkEnd w:id="2"/>
    </w:p>
    <w:p w14:paraId="65FF15FE" w14:textId="59170EBD" w:rsidR="00840D49" w:rsidRDefault="00840D49" w:rsidP="00840D49">
      <w:pPr>
        <w:jc w:val="both"/>
      </w:pPr>
      <w:r w:rsidRPr="00840D49">
        <w:rPr>
          <w:rFonts w:ascii="Times New Roman" w:eastAsia="Times New Roman" w:hAnsi="Times New Roman" w:cs="Times New Roman"/>
          <w:noProof/>
          <w:sz w:val="24"/>
          <w:szCs w:val="24"/>
          <w:lang w:eastAsia="fr-FR"/>
        </w:rPr>
        <w:drawing>
          <wp:anchor distT="0" distB="0" distL="114300" distR="114300" simplePos="0" relativeHeight="251662336" behindDoc="0" locked="0" layoutInCell="1" allowOverlap="1" wp14:anchorId="4F0F8464" wp14:editId="0641A991">
            <wp:simplePos x="0" y="0"/>
            <wp:positionH relativeFrom="column">
              <wp:posOffset>3646805</wp:posOffset>
            </wp:positionH>
            <wp:positionV relativeFrom="paragraph">
              <wp:posOffset>74295</wp:posOffset>
            </wp:positionV>
            <wp:extent cx="2762250" cy="1657350"/>
            <wp:effectExtent l="0" t="0" r="0" b="0"/>
            <wp:wrapThrough wrapText="bothSides">
              <wp:wrapPolygon edited="0">
                <wp:start x="0" y="0"/>
                <wp:lineTo x="0" y="21352"/>
                <wp:lineTo x="21451" y="21352"/>
                <wp:lineTo x="21451" y="0"/>
                <wp:lineTo x="0" y="0"/>
              </wp:wrapPolygon>
            </wp:wrapThrough>
            <wp:docPr id="9" name="Image 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anchor>
        </w:drawing>
      </w:r>
      <w:r>
        <w:t xml:space="preserve">Le principe de fonctionnement des propulseurs à effet Hall est l'utilisation du </w:t>
      </w:r>
      <w:r w:rsidRPr="00840D49">
        <w:t>potentiel électrostatique</w:t>
      </w:r>
      <w:r>
        <w:t xml:space="preserve"> pour accélérer des ions à de très grandes vitesses. Dans ces réacteurs, les </w:t>
      </w:r>
      <w:r w:rsidRPr="00840D49">
        <w:t>charges</w:t>
      </w:r>
      <w:r>
        <w:t xml:space="preserve"> attractives (chargées négativement) sont fournies par un plasma d'électrons à l'ouverture extérieure du réacteur. Un champ magnétique radial d'environ 100 à 300 </w:t>
      </w:r>
      <w:r w:rsidRPr="00840D49">
        <w:t>gauss</w:t>
      </w:r>
      <w:r>
        <w:t xml:space="preserve"> (0,01-0,03 </w:t>
      </w:r>
      <w:r w:rsidRPr="00840D49">
        <w:t>T</w:t>
      </w:r>
      <w:r>
        <w:t xml:space="preserve">) est utilisé pour confiner les électrons, où la combinaison des champs magnétique radial et électrique axial a pour conséquence de mouvoir les électrons selon le </w:t>
      </w:r>
      <w:r w:rsidRPr="00840D49">
        <w:t>courant de Hall</w:t>
      </w:r>
      <w:r>
        <w:t xml:space="preserve">, d'où provient le nom de l'appareil. </w:t>
      </w:r>
    </w:p>
    <w:p w14:paraId="05FBA9C4" w14:textId="04F131D4" w:rsidR="00840D49" w:rsidRDefault="00840D49" w:rsidP="00840D49">
      <w:pPr>
        <w:pStyle w:val="NormalWeb"/>
        <w:jc w:val="both"/>
      </w:pPr>
      <w:r>
        <w:t xml:space="preserve">Un potentiel électrique de 150 à 800 </w:t>
      </w:r>
      <w:r w:rsidRPr="00840D49">
        <w:t>volts</w:t>
      </w:r>
      <w:r>
        <w:t xml:space="preserve"> est appliqué entre l'anode et la cathode. Ensuite, un gaz propulsif, tel le xénon, est injecté à travers l'anode (généralement une quantité de 5 </w:t>
      </w:r>
      <w:r w:rsidRPr="00840D49">
        <w:t>mg</w:t>
      </w:r>
      <w:r>
        <w:t>/s</w:t>
      </w:r>
      <w:r w:rsidRPr="00840D49">
        <w:t>3</w:t>
      </w:r>
      <w:r>
        <w:t xml:space="preserve">), constituée d'une grille trouée maintenue à un haut voltage et faisant office de distributeur de gaz. Le xénon est généralement choisi car il représente un bon compromis entre une </w:t>
      </w:r>
      <w:r w:rsidRPr="00840D49">
        <w:t>masse atomique</w:t>
      </w:r>
      <w:r>
        <w:t xml:space="preserve"> élevée et une faible </w:t>
      </w:r>
      <w:r w:rsidRPr="00840D49">
        <w:t>énergie d'ionisation</w:t>
      </w:r>
      <w:r>
        <w:t xml:space="preserve"> (~12 </w:t>
      </w:r>
      <w:r w:rsidRPr="00840D49">
        <w:t>eV</w:t>
      </w:r>
      <w:r>
        <w:t xml:space="preserve">). Lorsque les atomes du propulsif circulent dans la chambre du propulseur, ils sont ionisés par des électrons libres de hautes énergies (allant de </w:t>
      </w:r>
      <w:r w:rsidRPr="00840D49">
        <w:t>10 à 40 eV</w:t>
      </w:r>
      <w:r>
        <w:t xml:space="preserve"> ou 10 % de l'énergie de décharge). Une fois ionisés, les atomes portent une </w:t>
      </w:r>
      <w:r w:rsidRPr="00840D49">
        <w:t>charge</w:t>
      </w:r>
      <w:r>
        <w:t xml:space="preserve"> +1, toutefois environ 20 % auront une charge +2. </w:t>
      </w:r>
    </w:p>
    <w:p w14:paraId="22AC6B51" w14:textId="5B29FBDE" w:rsidR="00840D49" w:rsidRDefault="00840D49" w:rsidP="00840D49">
      <w:pPr>
        <w:pStyle w:val="NormalWeb"/>
        <w:jc w:val="both"/>
      </w:pPr>
      <w:r>
        <w:t xml:space="preserve">Les ions sont alors accélérés par le champ électrique entre l'anode et la cathode. Par exemple, pour un voltage de 300 V, les ions atteignent des vitesses d'environ 15 km/s pour une </w:t>
      </w:r>
      <w:r w:rsidRPr="00840D49">
        <w:t xml:space="preserve">impulsion </w:t>
      </w:r>
      <w:r w:rsidRPr="00840D49">
        <w:lastRenderedPageBreak/>
        <w:t>spécifique</w:t>
      </w:r>
      <w:r>
        <w:t xml:space="preserve"> de 1 500 secondes. À la sortie du propulseur, les ions sont neutralisés par la cathode, qui rejette des électrons en quantité égale, créant un plasma à charge nulle. </w:t>
      </w:r>
    </w:p>
    <w:p w14:paraId="4B9DD539" w14:textId="0C46823C" w:rsidR="00840D49" w:rsidRDefault="00840D49" w:rsidP="00840D49">
      <w:pPr>
        <w:pStyle w:val="NormalWeb"/>
        <w:jc w:val="both"/>
      </w:pPr>
      <w:r>
        <w:rPr>
          <w:noProof/>
        </w:rPr>
        <w:drawing>
          <wp:anchor distT="0" distB="0" distL="114300" distR="114300" simplePos="0" relativeHeight="251660288" behindDoc="0" locked="0" layoutInCell="1" allowOverlap="1" wp14:anchorId="6743FF2A" wp14:editId="4095C77A">
            <wp:simplePos x="0" y="0"/>
            <wp:positionH relativeFrom="margin">
              <wp:align>left</wp:align>
            </wp:positionH>
            <wp:positionV relativeFrom="paragraph">
              <wp:posOffset>954405</wp:posOffset>
            </wp:positionV>
            <wp:extent cx="1270000" cy="317500"/>
            <wp:effectExtent l="0" t="0" r="6350" b="635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0000" cy="317500"/>
                    </a:xfrm>
                    <a:prstGeom prst="rect">
                      <a:avLst/>
                    </a:prstGeom>
                    <a:noFill/>
                    <a:ln>
                      <a:noFill/>
                    </a:ln>
                  </pic:spPr>
                </pic:pic>
              </a:graphicData>
            </a:graphic>
          </wp:anchor>
        </w:drawing>
      </w:r>
      <w:r>
        <w:t xml:space="preserve">Le champ magnétique radial est spécifiquement calibré pour dévier fortement les électrons, qui ont de faibles masses, mais non les ions plus lourd, qui ont un plus grand </w:t>
      </w:r>
      <w:r w:rsidRPr="00840D49">
        <w:t>rayon de Larmor</w:t>
      </w:r>
      <w:r>
        <w:t xml:space="preserve"> et sont du coup plus difficiles à dévier. La majorité des électrons sont maintenus en orbite dans la région du champ magnétique radial, proche du plan de sortie du propulseur, piégés par la </w:t>
      </w:r>
      <w:r w:rsidRPr="00840D49">
        <w:t>force de Lorentz</w:t>
      </w:r>
      <w:r>
        <w:t xml:space="preserve"> : </w:t>
      </w:r>
    </w:p>
    <w:p w14:paraId="6D45D08A" w14:textId="17456CC1" w:rsidR="00840D49" w:rsidRDefault="00840D49" w:rsidP="00840D49">
      <w:pPr>
        <w:pStyle w:val="NormalWeb"/>
        <w:jc w:val="both"/>
      </w:pPr>
      <w:r>
        <w:t xml:space="preserve">où </w:t>
      </w:r>
      <w:r w:rsidRPr="00840D49">
        <w:t>q = -e , v = vitesse (m/s), B = champ magnétique (T) et E = champ électrique (V/m)</w:t>
      </w:r>
      <w:r>
        <w:t xml:space="preserve"> </w:t>
      </w:r>
    </w:p>
    <w:p w14:paraId="2A5E35DF" w14:textId="19E701BB" w:rsidR="00840D49" w:rsidRDefault="00840D49" w:rsidP="00840D49">
      <w:pPr>
        <w:pStyle w:val="NormalWeb"/>
        <w:jc w:val="both"/>
      </w:pPr>
      <w:r>
        <w:t>Leurs trajectoires s'enroulent alors autour des lignes de champ radiales</w:t>
      </w:r>
      <w:r w:rsidRPr="00840D49">
        <w:t>17</w:t>
      </w:r>
      <w:r>
        <w:t xml:space="preserve">. En approchant un bord du canal, la topologie magnétique est telle que les lignes de champ se resserrent, et le champ devient localement plus intense. Cette particularité donne un effet de </w:t>
      </w:r>
      <w:r w:rsidRPr="00840D49">
        <w:t>miroir magnétique</w:t>
      </w:r>
      <w:r>
        <w:t xml:space="preserve"> qui va renvoyer l'électron vers le centre du canal (vers l'anode), où le même phénomène de « rebond » aura lieu. Les électrons vont alors voyager entre les deux cylindres. </w:t>
      </w:r>
    </w:p>
    <w:p w14:paraId="7B457510" w14:textId="2780AE70" w:rsidR="00840D49" w:rsidRDefault="00840D49" w:rsidP="00840D49">
      <w:pPr>
        <w:pStyle w:val="NormalWeb"/>
        <w:jc w:val="both"/>
      </w:pPr>
      <w:r>
        <w:t>Pendant leur voyage entre les parois, les électrons vont effectuer des collisions avec les atomes du gaz. Par contre, les chocs avec les parois vont conduire à différents phénomènes (selon l'énergie de l'électron) comme l'</w:t>
      </w:r>
      <w:r w:rsidRPr="00840D49">
        <w:t>émission secondaire</w:t>
      </w:r>
      <w:r>
        <w:t xml:space="preserve"> électronique. Environ 20 à 30 % du courant de décharge est utilisé pour former le courant d'électron, qui ne produit pas de poussée, limitant ainsi le </w:t>
      </w:r>
      <w:r w:rsidRPr="00840D49">
        <w:t>rendement énergétique</w:t>
      </w:r>
      <w:r>
        <w:t xml:space="preserve"> du système. Les 70 à 80 % restant servent à la propulsion ionique. En raison de la capture des électrons dans le courant de Hall, ils demeurent un certain temps dans le canal du propulseur, plus que les ions, et cela leur permet d'ioniser la quasi-totalité des atomes du propulsif, pour un total de 90-99 % de rendement massique d'utilisation. Par exemple, un propulseur ayant un rendement massique de 90 %, combiné à un rendement énergétique de 70 % forme un réacteur avec un rendement global de 63 % (90 % × 70 %). Les montages les plus modernes atteignent des rendements aussi hauts que 75 % dans les conceptions les plus avancées. </w:t>
      </w:r>
    </w:p>
    <w:p w14:paraId="32A8EAD6" w14:textId="0EB0C772" w:rsidR="00840D49" w:rsidRDefault="009D67A1" w:rsidP="00840D49">
      <w:pPr>
        <w:pStyle w:val="NormalWeb"/>
        <w:jc w:val="both"/>
      </w:pPr>
      <w:r w:rsidRPr="00840D49">
        <w:rPr>
          <w:noProof/>
        </w:rPr>
        <w:drawing>
          <wp:anchor distT="0" distB="0" distL="114300" distR="114300" simplePos="0" relativeHeight="251663360" behindDoc="0" locked="0" layoutInCell="1" allowOverlap="1" wp14:anchorId="5212A3A4" wp14:editId="751837C8">
            <wp:simplePos x="0" y="0"/>
            <wp:positionH relativeFrom="column">
              <wp:posOffset>20955</wp:posOffset>
            </wp:positionH>
            <wp:positionV relativeFrom="paragraph">
              <wp:posOffset>977900</wp:posOffset>
            </wp:positionV>
            <wp:extent cx="3143250" cy="2171700"/>
            <wp:effectExtent l="0" t="0" r="0" b="0"/>
            <wp:wrapTopAndBottom/>
            <wp:docPr id="3" name="Image 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3250" cy="2171700"/>
                    </a:xfrm>
                    <a:prstGeom prst="rect">
                      <a:avLst/>
                    </a:prstGeom>
                    <a:noFill/>
                    <a:ln>
                      <a:noFill/>
                    </a:ln>
                  </pic:spPr>
                </pic:pic>
              </a:graphicData>
            </a:graphic>
          </wp:anchor>
        </w:drawing>
      </w:r>
      <w:r w:rsidR="00840D49">
        <w:t xml:space="preserve">Comparée aux fusées à </w:t>
      </w:r>
      <w:r w:rsidR="00840D49" w:rsidRPr="00840D49">
        <w:t>propulsion chimique</w:t>
      </w:r>
      <w:r w:rsidR="00840D49">
        <w:t xml:space="preserve">, la poussée est très faible, de l'ordre de 83 mN pour un appareil fonctionnant à 300 V et d'une puissance de 1,5 kW. En comparaison, le poids d'une </w:t>
      </w:r>
      <w:r w:rsidR="00840D49" w:rsidRPr="00840D49">
        <w:t>pièce de monnaie</w:t>
      </w:r>
      <w:r w:rsidR="00840D49">
        <w:t xml:space="preserve"> comme le </w:t>
      </w:r>
      <w:r w:rsidR="00840D49" w:rsidRPr="00840D49">
        <w:t>20 centimes d'euro</w:t>
      </w:r>
      <w:r w:rsidR="00840D49">
        <w:t xml:space="preserve"> est approximativement de 60 mN. Cependant, ce type de réacteur opère à une impulsion spécifique élevée (&gt; 1 000 s), typique des propulseurs électriques. </w:t>
      </w:r>
    </w:p>
    <w:p w14:paraId="1545EFAF" w14:textId="50B65A19" w:rsidR="00840D49" w:rsidRPr="00840D49" w:rsidRDefault="00840D49" w:rsidP="00840D49">
      <w:pPr>
        <w:jc w:val="both"/>
        <w:rPr>
          <w:rFonts w:ascii="Times New Roman" w:eastAsia="Times New Roman" w:hAnsi="Times New Roman" w:cs="Times New Roman"/>
          <w:sz w:val="24"/>
          <w:szCs w:val="24"/>
          <w:lang w:eastAsia="fr-FR"/>
        </w:rPr>
      </w:pPr>
    </w:p>
    <w:p w14:paraId="6501ACCC" w14:textId="0AE3BEDD" w:rsidR="00840D49" w:rsidRDefault="00840D49" w:rsidP="00840D49">
      <w:pPr>
        <w:pStyle w:val="NormalWeb"/>
        <w:jc w:val="both"/>
      </w:pPr>
      <w:r>
        <w:lastRenderedPageBreak/>
        <w:t xml:space="preserve">Un avantage des propulseurs à effet Hall par rapport aux </w:t>
      </w:r>
      <w:r w:rsidRPr="00840D49">
        <w:t>propulseurs ioniques à grille</w:t>
      </w:r>
      <w:r>
        <w:t xml:space="preserve"> est que l'accélération des ions se déroule dans un plasma pratiquement neutre, ce qui empêche la formation d'un </w:t>
      </w:r>
      <w:r w:rsidRPr="00840D49">
        <w:t>nuage d'électrons</w:t>
      </w:r>
      <w:r>
        <w:t xml:space="preserve"> qui entraverait le passage du courant d'électrons, réduisant l'efficacité du propulseur. Cela permet une conception de taille plus petite que son homologue à grille. Un autre avantage est que ces réacteurs peuvent utiliser différents types de propulsifs à l'anode, même l'</w:t>
      </w:r>
      <w:r w:rsidRPr="00840D49">
        <w:t>oxygène</w:t>
      </w:r>
      <w:r>
        <w:t xml:space="preserve"> si une substance facilement ionisable est présente à la cathode pour équilibrer les charges à la sortie du réacteur (5 % de la quantité injectée</w:t>
      </w:r>
      <w:r w:rsidRPr="00840D49">
        <w:t>15</w:t>
      </w:r>
      <w:r>
        <w:t xml:space="preserve">). </w:t>
      </w:r>
    </w:p>
    <w:p w14:paraId="0C4F0D31" w14:textId="7948787B" w:rsidR="00840D49" w:rsidRDefault="00840D49" w:rsidP="00840D49">
      <w:pPr>
        <w:pStyle w:val="NormalWeb"/>
        <w:jc w:val="both"/>
      </w:pPr>
      <w:r>
        <w:t xml:space="preserve">Les bobines constituant le propulseur servent à générer un champ magnétique radial qui augmente progressivement en s'éloignant de l'anode, pour atteindre son maximum à la sortie du propulseur et ensuite diminuer à l'extérieur. De plus, de par la configuration des bobines suivant les types de propulseurs, le champ magnétique a une composante longitudinale variable mais toujours non nulle. Cette dernière est quand même très inférieure à la composante radiale. Ce champ longitudinal, même faible, induit une déformation des lignes de champ magnétique notamment au niveau du plan de sortie. Ces déformations conduisent à la création d'une sorte de </w:t>
      </w:r>
      <w:r w:rsidRPr="00840D49">
        <w:t>lentille magnétique</w:t>
      </w:r>
      <w:r>
        <w:t xml:space="preserve"> qui fait diverger le faisceau ionique. Ce phénomène dégrade les performances générales du propulseur. Il a deux effets : </w:t>
      </w:r>
    </w:p>
    <w:p w14:paraId="4FB9C6AC" w14:textId="719C6CAC" w:rsidR="00840D49" w:rsidRPr="00840D49" w:rsidRDefault="00840D49" w:rsidP="00840D4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40D49">
        <w:rPr>
          <w:rFonts w:ascii="Times New Roman" w:eastAsia="Times New Roman" w:hAnsi="Times New Roman" w:cs="Times New Roman"/>
          <w:sz w:val="24"/>
          <w:szCs w:val="24"/>
          <w:lang w:eastAsia="fr-FR"/>
        </w:rPr>
        <w:t>l'érosion des parois en céramique ;</w:t>
      </w:r>
    </w:p>
    <w:p w14:paraId="2507A554" w14:textId="77777777" w:rsidR="00840D49" w:rsidRPr="00840D49" w:rsidRDefault="00840D49" w:rsidP="00840D4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40D49">
        <w:rPr>
          <w:rFonts w:ascii="Times New Roman" w:eastAsia="Times New Roman" w:hAnsi="Times New Roman" w:cs="Times New Roman"/>
          <w:sz w:val="24"/>
          <w:szCs w:val="24"/>
          <w:lang w:eastAsia="fr-FR"/>
        </w:rPr>
        <w:t>la diminution de la poussée (le faisceau d'ions est moins « concentré »).</w:t>
      </w:r>
    </w:p>
    <w:p w14:paraId="241ABB0B" w14:textId="738FEB40" w:rsidR="00842A3B" w:rsidRDefault="00842A3B" w:rsidP="00840D49">
      <w:pPr>
        <w:jc w:val="both"/>
        <w:rPr>
          <w:noProof/>
        </w:rPr>
      </w:pPr>
    </w:p>
    <w:p w14:paraId="60A07F85" w14:textId="633FB749" w:rsidR="006A1180" w:rsidRDefault="006A1180" w:rsidP="00840D49">
      <w:pPr>
        <w:jc w:val="both"/>
      </w:pPr>
    </w:p>
    <w:p w14:paraId="1E6762CF" w14:textId="77777777" w:rsidR="00840D49" w:rsidRPr="006A1180" w:rsidRDefault="00840D49" w:rsidP="00840D49">
      <w:pPr>
        <w:jc w:val="both"/>
      </w:pPr>
    </w:p>
    <w:sectPr w:rsidR="00840D49" w:rsidRPr="006A1180">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D27C4" w14:textId="77777777" w:rsidR="00902AD4" w:rsidRDefault="00902AD4" w:rsidP="006A1180">
      <w:pPr>
        <w:spacing w:after="0" w:line="240" w:lineRule="auto"/>
      </w:pPr>
      <w:r>
        <w:separator/>
      </w:r>
    </w:p>
  </w:endnote>
  <w:endnote w:type="continuationSeparator" w:id="0">
    <w:p w14:paraId="30C7B2E5" w14:textId="77777777" w:rsidR="00902AD4" w:rsidRDefault="00902AD4" w:rsidP="006A1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0351344"/>
      <w:docPartObj>
        <w:docPartGallery w:val="Page Numbers (Bottom of Page)"/>
        <w:docPartUnique/>
      </w:docPartObj>
    </w:sdtPr>
    <w:sdtContent>
      <w:p w14:paraId="7B15B9AC" w14:textId="6D362CD7" w:rsidR="006A1180" w:rsidRDefault="006A1180">
        <w:pPr>
          <w:pStyle w:val="Pieddepage"/>
          <w:jc w:val="right"/>
        </w:pPr>
        <w:r>
          <w:fldChar w:fldCharType="begin"/>
        </w:r>
        <w:r>
          <w:instrText>PAGE   \* MERGEFORMAT</w:instrText>
        </w:r>
        <w:r>
          <w:fldChar w:fldCharType="separate"/>
        </w:r>
        <w:r>
          <w:t>2</w:t>
        </w:r>
        <w:r>
          <w:fldChar w:fldCharType="end"/>
        </w:r>
      </w:p>
    </w:sdtContent>
  </w:sdt>
  <w:p w14:paraId="50813FC5" w14:textId="77777777" w:rsidR="006A1180" w:rsidRDefault="006A11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EF835" w14:textId="77777777" w:rsidR="00902AD4" w:rsidRDefault="00902AD4" w:rsidP="006A1180">
      <w:pPr>
        <w:spacing w:after="0" w:line="240" w:lineRule="auto"/>
      </w:pPr>
      <w:r>
        <w:separator/>
      </w:r>
    </w:p>
  </w:footnote>
  <w:footnote w:type="continuationSeparator" w:id="0">
    <w:p w14:paraId="1091A21D" w14:textId="77777777" w:rsidR="00902AD4" w:rsidRDefault="00902AD4" w:rsidP="006A1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85D94" w14:textId="6D3D15ED" w:rsidR="006A1180" w:rsidRDefault="006A1180">
    <w:pPr>
      <w:pStyle w:val="En-tte"/>
    </w:pPr>
    <w:r>
      <w:t xml:space="preserve">SI – </w:t>
    </w:r>
    <w:r w:rsidRPr="006A1180">
      <w:t>Propulseur à effet Hall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04EEC"/>
    <w:multiLevelType w:val="multilevel"/>
    <w:tmpl w:val="EA3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1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2B"/>
    <w:rsid w:val="003B22A5"/>
    <w:rsid w:val="00641A2B"/>
    <w:rsid w:val="006A1180"/>
    <w:rsid w:val="00840D49"/>
    <w:rsid w:val="00842A3B"/>
    <w:rsid w:val="00892EF1"/>
    <w:rsid w:val="00902AD4"/>
    <w:rsid w:val="00975931"/>
    <w:rsid w:val="009D67A1"/>
    <w:rsid w:val="00B24AF8"/>
    <w:rsid w:val="00CD4F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A7A1"/>
  <w15:chartTrackingRefBased/>
  <w15:docId w15:val="{0C4EFC66-A84B-44D4-B5A6-B1C7ECD4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A11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40D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A1180"/>
    <w:pPr>
      <w:tabs>
        <w:tab w:val="center" w:pos="4536"/>
        <w:tab w:val="right" w:pos="9072"/>
      </w:tabs>
      <w:spacing w:after="0" w:line="240" w:lineRule="auto"/>
    </w:pPr>
  </w:style>
  <w:style w:type="character" w:customStyle="1" w:styleId="En-tteCar">
    <w:name w:val="En-tête Car"/>
    <w:basedOn w:val="Policepardfaut"/>
    <w:link w:val="En-tte"/>
    <w:uiPriority w:val="99"/>
    <w:rsid w:val="006A1180"/>
  </w:style>
  <w:style w:type="paragraph" w:styleId="Pieddepage">
    <w:name w:val="footer"/>
    <w:basedOn w:val="Normal"/>
    <w:link w:val="PieddepageCar"/>
    <w:uiPriority w:val="99"/>
    <w:unhideWhenUsed/>
    <w:rsid w:val="006A11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1180"/>
  </w:style>
  <w:style w:type="paragraph" w:styleId="Titre">
    <w:name w:val="Title"/>
    <w:basedOn w:val="Normal"/>
    <w:next w:val="Normal"/>
    <w:link w:val="TitreCar"/>
    <w:uiPriority w:val="10"/>
    <w:qFormat/>
    <w:rsid w:val="006A11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1180"/>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A118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842A3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ng-en">
    <w:name w:val="lang-en"/>
    <w:basedOn w:val="Policepardfaut"/>
    <w:rsid w:val="00842A3B"/>
  </w:style>
  <w:style w:type="character" w:styleId="Lienhypertexte">
    <w:name w:val="Hyperlink"/>
    <w:basedOn w:val="Policepardfaut"/>
    <w:uiPriority w:val="99"/>
    <w:unhideWhenUsed/>
    <w:rsid w:val="00842A3B"/>
    <w:rPr>
      <w:color w:val="0000FF"/>
      <w:u w:val="single"/>
    </w:rPr>
  </w:style>
  <w:style w:type="character" w:customStyle="1" w:styleId="nowrap">
    <w:name w:val="nowrap"/>
    <w:basedOn w:val="Policepardfaut"/>
    <w:rsid w:val="00842A3B"/>
  </w:style>
  <w:style w:type="character" w:customStyle="1" w:styleId="Titre3Car">
    <w:name w:val="Titre 3 Car"/>
    <w:basedOn w:val="Policepardfaut"/>
    <w:link w:val="Titre3"/>
    <w:uiPriority w:val="9"/>
    <w:semiHidden/>
    <w:rsid w:val="00840D49"/>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840D49"/>
  </w:style>
  <w:style w:type="character" w:customStyle="1" w:styleId="mwe-math-mathml-inline">
    <w:name w:val="mwe-math-mathml-inline"/>
    <w:basedOn w:val="Policepardfaut"/>
    <w:rsid w:val="00840D49"/>
  </w:style>
  <w:style w:type="paragraph" w:styleId="En-ttedetabledesmatires">
    <w:name w:val="TOC Heading"/>
    <w:basedOn w:val="Titre1"/>
    <w:next w:val="Normal"/>
    <w:uiPriority w:val="39"/>
    <w:unhideWhenUsed/>
    <w:qFormat/>
    <w:rsid w:val="00B24AF8"/>
    <w:pPr>
      <w:outlineLvl w:val="9"/>
    </w:pPr>
    <w:rPr>
      <w:lang w:eastAsia="fr-FR"/>
    </w:rPr>
  </w:style>
  <w:style w:type="paragraph" w:styleId="TM1">
    <w:name w:val="toc 1"/>
    <w:basedOn w:val="Normal"/>
    <w:next w:val="Normal"/>
    <w:autoRedefine/>
    <w:uiPriority w:val="39"/>
    <w:unhideWhenUsed/>
    <w:rsid w:val="00B24AF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485060">
      <w:bodyDiv w:val="1"/>
      <w:marLeft w:val="0"/>
      <w:marRight w:val="0"/>
      <w:marTop w:val="0"/>
      <w:marBottom w:val="0"/>
      <w:divBdr>
        <w:top w:val="none" w:sz="0" w:space="0" w:color="auto"/>
        <w:left w:val="none" w:sz="0" w:space="0" w:color="auto"/>
        <w:bottom w:val="none" w:sz="0" w:space="0" w:color="auto"/>
        <w:right w:val="none" w:sz="0" w:space="0" w:color="auto"/>
      </w:divBdr>
    </w:div>
    <w:div w:id="1844316751">
      <w:bodyDiv w:val="1"/>
      <w:marLeft w:val="0"/>
      <w:marRight w:val="0"/>
      <w:marTop w:val="0"/>
      <w:marBottom w:val="0"/>
      <w:divBdr>
        <w:top w:val="none" w:sz="0" w:space="0" w:color="auto"/>
        <w:left w:val="none" w:sz="0" w:space="0" w:color="auto"/>
        <w:bottom w:val="none" w:sz="0" w:space="0" w:color="auto"/>
        <w:right w:val="none" w:sz="0" w:space="0" w:color="auto"/>
      </w:divBdr>
      <w:divsChild>
        <w:div w:id="660350461">
          <w:marLeft w:val="0"/>
          <w:marRight w:val="0"/>
          <w:marTop w:val="0"/>
          <w:marBottom w:val="0"/>
          <w:divBdr>
            <w:top w:val="none" w:sz="0" w:space="0" w:color="auto"/>
            <w:left w:val="none" w:sz="0" w:space="0" w:color="auto"/>
            <w:bottom w:val="none" w:sz="0" w:space="0" w:color="auto"/>
            <w:right w:val="none" w:sz="0" w:space="0" w:color="auto"/>
          </w:divBdr>
        </w:div>
        <w:div w:id="1447236200">
          <w:marLeft w:val="0"/>
          <w:marRight w:val="0"/>
          <w:marTop w:val="0"/>
          <w:marBottom w:val="0"/>
          <w:divBdr>
            <w:top w:val="none" w:sz="0" w:space="0" w:color="auto"/>
            <w:left w:val="none" w:sz="0" w:space="0" w:color="auto"/>
            <w:bottom w:val="none" w:sz="0" w:space="0" w:color="auto"/>
            <w:right w:val="none" w:sz="0" w:space="0" w:color="auto"/>
          </w:divBdr>
          <w:divsChild>
            <w:div w:id="1763796968">
              <w:marLeft w:val="0"/>
              <w:marRight w:val="0"/>
              <w:marTop w:val="0"/>
              <w:marBottom w:val="0"/>
              <w:divBdr>
                <w:top w:val="none" w:sz="0" w:space="0" w:color="auto"/>
                <w:left w:val="none" w:sz="0" w:space="0" w:color="auto"/>
                <w:bottom w:val="none" w:sz="0" w:space="0" w:color="auto"/>
                <w:right w:val="none" w:sz="0" w:space="0" w:color="auto"/>
              </w:divBdr>
              <w:divsChild>
                <w:div w:id="15429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4104">
          <w:marLeft w:val="0"/>
          <w:marRight w:val="0"/>
          <w:marTop w:val="0"/>
          <w:marBottom w:val="0"/>
          <w:divBdr>
            <w:top w:val="none" w:sz="0" w:space="0" w:color="auto"/>
            <w:left w:val="none" w:sz="0" w:space="0" w:color="auto"/>
            <w:bottom w:val="none" w:sz="0" w:space="0" w:color="auto"/>
            <w:right w:val="none" w:sz="0" w:space="0" w:color="auto"/>
          </w:divBdr>
        </w:div>
        <w:div w:id="310989143">
          <w:marLeft w:val="0"/>
          <w:marRight w:val="0"/>
          <w:marTop w:val="0"/>
          <w:marBottom w:val="0"/>
          <w:divBdr>
            <w:top w:val="none" w:sz="0" w:space="0" w:color="auto"/>
            <w:left w:val="none" w:sz="0" w:space="0" w:color="auto"/>
            <w:bottom w:val="none" w:sz="0" w:space="0" w:color="auto"/>
            <w:right w:val="none" w:sz="0" w:space="0" w:color="auto"/>
          </w:divBdr>
          <w:divsChild>
            <w:div w:id="265119418">
              <w:marLeft w:val="0"/>
              <w:marRight w:val="0"/>
              <w:marTop w:val="0"/>
              <w:marBottom w:val="0"/>
              <w:divBdr>
                <w:top w:val="none" w:sz="0" w:space="0" w:color="auto"/>
                <w:left w:val="none" w:sz="0" w:space="0" w:color="auto"/>
                <w:bottom w:val="none" w:sz="0" w:space="0" w:color="auto"/>
                <w:right w:val="none" w:sz="0" w:space="0" w:color="auto"/>
              </w:divBdr>
              <w:divsChild>
                <w:div w:id="373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69097">
          <w:marLeft w:val="0"/>
          <w:marRight w:val="0"/>
          <w:marTop w:val="0"/>
          <w:marBottom w:val="0"/>
          <w:divBdr>
            <w:top w:val="none" w:sz="0" w:space="0" w:color="auto"/>
            <w:left w:val="none" w:sz="0" w:space="0" w:color="auto"/>
            <w:bottom w:val="none" w:sz="0" w:space="0" w:color="auto"/>
            <w:right w:val="none" w:sz="0" w:space="0" w:color="auto"/>
          </w:divBdr>
          <w:divsChild>
            <w:div w:id="429008448">
              <w:marLeft w:val="0"/>
              <w:marRight w:val="0"/>
              <w:marTop w:val="0"/>
              <w:marBottom w:val="0"/>
              <w:divBdr>
                <w:top w:val="none" w:sz="0" w:space="0" w:color="auto"/>
                <w:left w:val="none" w:sz="0" w:space="0" w:color="auto"/>
                <w:bottom w:val="none" w:sz="0" w:space="0" w:color="auto"/>
                <w:right w:val="none" w:sz="0" w:space="0" w:color="auto"/>
              </w:divBdr>
            </w:div>
          </w:divsChild>
        </w:div>
        <w:div w:id="1410274380">
          <w:marLeft w:val="0"/>
          <w:marRight w:val="0"/>
          <w:marTop w:val="0"/>
          <w:marBottom w:val="0"/>
          <w:divBdr>
            <w:top w:val="none" w:sz="0" w:space="0" w:color="auto"/>
            <w:left w:val="none" w:sz="0" w:space="0" w:color="auto"/>
            <w:bottom w:val="none" w:sz="0" w:space="0" w:color="auto"/>
            <w:right w:val="none" w:sz="0" w:space="0" w:color="auto"/>
          </w:divBdr>
          <w:divsChild>
            <w:div w:id="1794516707">
              <w:marLeft w:val="0"/>
              <w:marRight w:val="0"/>
              <w:marTop w:val="0"/>
              <w:marBottom w:val="0"/>
              <w:divBdr>
                <w:top w:val="none" w:sz="0" w:space="0" w:color="auto"/>
                <w:left w:val="none" w:sz="0" w:space="0" w:color="auto"/>
                <w:bottom w:val="none" w:sz="0" w:space="0" w:color="auto"/>
                <w:right w:val="none" w:sz="0" w:space="0" w:color="auto"/>
              </w:divBdr>
              <w:divsChild>
                <w:div w:id="14623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6386">
          <w:marLeft w:val="0"/>
          <w:marRight w:val="0"/>
          <w:marTop w:val="0"/>
          <w:marBottom w:val="0"/>
          <w:divBdr>
            <w:top w:val="none" w:sz="0" w:space="0" w:color="auto"/>
            <w:left w:val="none" w:sz="0" w:space="0" w:color="auto"/>
            <w:bottom w:val="none" w:sz="0" w:space="0" w:color="auto"/>
            <w:right w:val="none" w:sz="0" w:space="0" w:color="auto"/>
          </w:divBdr>
          <w:divsChild>
            <w:div w:id="1120881926">
              <w:marLeft w:val="0"/>
              <w:marRight w:val="0"/>
              <w:marTop w:val="0"/>
              <w:marBottom w:val="0"/>
              <w:divBdr>
                <w:top w:val="none" w:sz="0" w:space="0" w:color="auto"/>
                <w:left w:val="none" w:sz="0" w:space="0" w:color="auto"/>
                <w:bottom w:val="none" w:sz="0" w:space="0" w:color="auto"/>
                <w:right w:val="none" w:sz="0" w:space="0" w:color="auto"/>
              </w:divBdr>
            </w:div>
          </w:divsChild>
        </w:div>
        <w:div w:id="519316019">
          <w:marLeft w:val="0"/>
          <w:marRight w:val="0"/>
          <w:marTop w:val="0"/>
          <w:marBottom w:val="0"/>
          <w:divBdr>
            <w:top w:val="none" w:sz="0" w:space="0" w:color="auto"/>
            <w:left w:val="none" w:sz="0" w:space="0" w:color="auto"/>
            <w:bottom w:val="none" w:sz="0" w:space="0" w:color="auto"/>
            <w:right w:val="none" w:sz="0" w:space="0" w:color="auto"/>
          </w:divBdr>
          <w:divsChild>
            <w:div w:id="1779526150">
              <w:marLeft w:val="0"/>
              <w:marRight w:val="0"/>
              <w:marTop w:val="0"/>
              <w:marBottom w:val="0"/>
              <w:divBdr>
                <w:top w:val="none" w:sz="0" w:space="0" w:color="auto"/>
                <w:left w:val="none" w:sz="0" w:space="0" w:color="auto"/>
                <w:bottom w:val="none" w:sz="0" w:space="0" w:color="auto"/>
                <w:right w:val="none" w:sz="0" w:space="0" w:color="auto"/>
              </w:divBdr>
              <w:divsChild>
                <w:div w:id="4385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Spt.png?uselang=fr"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mons.wikimedia.org/wiki/File:Propulseur_%C3%A0_effet_Hall.svg?uselang=fr" TargetMode="External"/><Relationship Id="rId14" Type="http://schemas.openxmlformats.org/officeDocument/2006/relationships/hyperlink" Target="https://commons.wikimedia.org/wiki/File:Electrostatic_ion_thruster-en.svg?uselang=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1290</Words>
  <Characters>7096</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2023-01-17T15:19:00Z</dcterms:created>
  <dcterms:modified xsi:type="dcterms:W3CDTF">2023-04-22T13:56:00Z</dcterms:modified>
</cp:coreProperties>
</file>