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633A2" w14:textId="65072081" w:rsidR="00A27E26" w:rsidRDefault="00A27E26" w:rsidP="00E016DE">
      <w:pPr>
        <w:pStyle w:val="Titre1"/>
        <w:jc w:val="both"/>
      </w:pPr>
      <w:r>
        <w:t xml:space="preserve"> </w:t>
      </w:r>
      <w:bookmarkStart w:id="0" w:name="_Toc133078899"/>
      <w:bookmarkStart w:id="1" w:name="_Toc133137822"/>
      <w:bookmarkStart w:id="2" w:name="_Toc133137864"/>
      <w:r>
        <w:t xml:space="preserve">Programme </w:t>
      </w:r>
      <w:bookmarkEnd w:id="0"/>
      <w:r w:rsidR="00027791">
        <w:t>ISS</w:t>
      </w:r>
      <w:bookmarkEnd w:id="1"/>
      <w:bookmarkEnd w:id="2"/>
    </w:p>
    <w:bookmarkStart w:id="3" w:name="_Toc133078900"/>
    <w:p w14:paraId="630242C6" w14:textId="67C93B8D" w:rsidR="00B876E3" w:rsidRDefault="00B876E3">
      <w:pPr>
        <w:pStyle w:val="TM1"/>
        <w:tabs>
          <w:tab w:val="right" w:leader="dot" w:pos="9062"/>
        </w:tabs>
        <w:rPr>
          <w:rFonts w:eastAsiaTheme="minorEastAsia"/>
          <w:noProof/>
          <w:lang w:eastAsia="fr-FR"/>
        </w:rPr>
      </w:pPr>
      <w:r>
        <w:rPr>
          <w:b/>
          <w:bCs/>
          <w:sz w:val="26"/>
          <w:szCs w:val="26"/>
        </w:rPr>
        <w:fldChar w:fldCharType="begin"/>
      </w:r>
      <w:r>
        <w:rPr>
          <w:b/>
          <w:bCs/>
          <w:sz w:val="26"/>
          <w:szCs w:val="26"/>
        </w:rPr>
        <w:instrText xml:space="preserve"> TOC \o "1-5" \h \z \u </w:instrText>
      </w:r>
      <w:r>
        <w:rPr>
          <w:b/>
          <w:bCs/>
          <w:sz w:val="26"/>
          <w:szCs w:val="26"/>
        </w:rPr>
        <w:fldChar w:fldCharType="separate"/>
      </w:r>
      <w:hyperlink w:anchor="_Toc133137864" w:history="1">
        <w:r w:rsidRPr="00331A57">
          <w:rPr>
            <w:rStyle w:val="Lienhypertexte"/>
            <w:noProof/>
          </w:rPr>
          <w:t>Programme ISS</w:t>
        </w:r>
        <w:r>
          <w:rPr>
            <w:noProof/>
            <w:webHidden/>
          </w:rPr>
          <w:tab/>
        </w:r>
        <w:r>
          <w:rPr>
            <w:noProof/>
            <w:webHidden/>
          </w:rPr>
          <w:fldChar w:fldCharType="begin"/>
        </w:r>
        <w:r>
          <w:rPr>
            <w:noProof/>
            <w:webHidden/>
          </w:rPr>
          <w:instrText xml:space="preserve"> PAGEREF _Toc133137864 \h </w:instrText>
        </w:r>
        <w:r>
          <w:rPr>
            <w:noProof/>
            <w:webHidden/>
          </w:rPr>
        </w:r>
        <w:r>
          <w:rPr>
            <w:noProof/>
            <w:webHidden/>
          </w:rPr>
          <w:fldChar w:fldCharType="separate"/>
        </w:r>
        <w:r>
          <w:rPr>
            <w:noProof/>
            <w:webHidden/>
          </w:rPr>
          <w:t>1</w:t>
        </w:r>
        <w:r>
          <w:rPr>
            <w:noProof/>
            <w:webHidden/>
          </w:rPr>
          <w:fldChar w:fldCharType="end"/>
        </w:r>
      </w:hyperlink>
    </w:p>
    <w:p w14:paraId="68C89FE9" w14:textId="368F680D" w:rsidR="00B876E3" w:rsidRDefault="00B876E3">
      <w:pPr>
        <w:pStyle w:val="TM2"/>
        <w:tabs>
          <w:tab w:val="right" w:leader="dot" w:pos="9062"/>
        </w:tabs>
        <w:rPr>
          <w:rFonts w:eastAsiaTheme="minorEastAsia"/>
          <w:noProof/>
          <w:lang w:eastAsia="fr-FR"/>
        </w:rPr>
      </w:pPr>
      <w:hyperlink w:anchor="_Toc133137865" w:history="1">
        <w:r w:rsidRPr="00331A57">
          <w:rPr>
            <w:rStyle w:val="Lienhypertexte"/>
            <w:b/>
            <w:bCs/>
            <w:noProof/>
          </w:rPr>
          <w:t>Introduction</w:t>
        </w:r>
        <w:r>
          <w:rPr>
            <w:noProof/>
            <w:webHidden/>
          </w:rPr>
          <w:tab/>
        </w:r>
        <w:r>
          <w:rPr>
            <w:noProof/>
            <w:webHidden/>
          </w:rPr>
          <w:fldChar w:fldCharType="begin"/>
        </w:r>
        <w:r>
          <w:rPr>
            <w:noProof/>
            <w:webHidden/>
          </w:rPr>
          <w:instrText xml:space="preserve"> PAGEREF _Toc133137865 \h </w:instrText>
        </w:r>
        <w:r>
          <w:rPr>
            <w:noProof/>
            <w:webHidden/>
          </w:rPr>
        </w:r>
        <w:r>
          <w:rPr>
            <w:noProof/>
            <w:webHidden/>
          </w:rPr>
          <w:fldChar w:fldCharType="separate"/>
        </w:r>
        <w:r>
          <w:rPr>
            <w:noProof/>
            <w:webHidden/>
          </w:rPr>
          <w:t>2</w:t>
        </w:r>
        <w:r>
          <w:rPr>
            <w:noProof/>
            <w:webHidden/>
          </w:rPr>
          <w:fldChar w:fldCharType="end"/>
        </w:r>
      </w:hyperlink>
    </w:p>
    <w:p w14:paraId="73ABA2C1" w14:textId="662B73F0" w:rsidR="00B876E3" w:rsidRDefault="00B876E3">
      <w:pPr>
        <w:pStyle w:val="TM2"/>
        <w:tabs>
          <w:tab w:val="right" w:leader="dot" w:pos="9062"/>
        </w:tabs>
        <w:rPr>
          <w:rFonts w:eastAsiaTheme="minorEastAsia"/>
          <w:noProof/>
          <w:lang w:eastAsia="fr-FR"/>
        </w:rPr>
      </w:pPr>
      <w:hyperlink w:anchor="_Toc133137866" w:history="1">
        <w:r w:rsidRPr="00331A57">
          <w:rPr>
            <w:rStyle w:val="Lienhypertexte"/>
            <w:b/>
            <w:bCs/>
            <w:noProof/>
          </w:rPr>
          <w:t>Station spatiale Skylab (1973-1979)</w:t>
        </w:r>
        <w:r>
          <w:rPr>
            <w:noProof/>
            <w:webHidden/>
          </w:rPr>
          <w:tab/>
        </w:r>
        <w:r>
          <w:rPr>
            <w:noProof/>
            <w:webHidden/>
          </w:rPr>
          <w:fldChar w:fldCharType="begin"/>
        </w:r>
        <w:r>
          <w:rPr>
            <w:noProof/>
            <w:webHidden/>
          </w:rPr>
          <w:instrText xml:space="preserve"> PAGEREF _Toc133137866 \h </w:instrText>
        </w:r>
        <w:r>
          <w:rPr>
            <w:noProof/>
            <w:webHidden/>
          </w:rPr>
        </w:r>
        <w:r>
          <w:rPr>
            <w:noProof/>
            <w:webHidden/>
          </w:rPr>
          <w:fldChar w:fldCharType="separate"/>
        </w:r>
        <w:r>
          <w:rPr>
            <w:noProof/>
            <w:webHidden/>
          </w:rPr>
          <w:t>4</w:t>
        </w:r>
        <w:r>
          <w:rPr>
            <w:noProof/>
            <w:webHidden/>
          </w:rPr>
          <w:fldChar w:fldCharType="end"/>
        </w:r>
      </w:hyperlink>
    </w:p>
    <w:p w14:paraId="1A8FC2A6" w14:textId="64121C3B" w:rsidR="00B876E3" w:rsidRDefault="00B876E3">
      <w:pPr>
        <w:pStyle w:val="TM2"/>
        <w:tabs>
          <w:tab w:val="right" w:leader="dot" w:pos="9062"/>
        </w:tabs>
        <w:rPr>
          <w:rFonts w:eastAsiaTheme="minorEastAsia"/>
          <w:noProof/>
          <w:lang w:eastAsia="fr-FR"/>
        </w:rPr>
      </w:pPr>
      <w:hyperlink w:anchor="_Toc133137867" w:history="1">
        <w:r w:rsidRPr="00331A57">
          <w:rPr>
            <w:rStyle w:val="Lienhypertexte"/>
            <w:b/>
            <w:bCs/>
            <w:noProof/>
          </w:rPr>
          <w:t>Naissance du projet (1985)</w:t>
        </w:r>
        <w:r>
          <w:rPr>
            <w:noProof/>
            <w:webHidden/>
          </w:rPr>
          <w:tab/>
        </w:r>
        <w:r>
          <w:rPr>
            <w:noProof/>
            <w:webHidden/>
          </w:rPr>
          <w:fldChar w:fldCharType="begin"/>
        </w:r>
        <w:r>
          <w:rPr>
            <w:noProof/>
            <w:webHidden/>
          </w:rPr>
          <w:instrText xml:space="preserve"> PAGEREF _Toc133137867 \h </w:instrText>
        </w:r>
        <w:r>
          <w:rPr>
            <w:noProof/>
            <w:webHidden/>
          </w:rPr>
        </w:r>
        <w:r>
          <w:rPr>
            <w:noProof/>
            <w:webHidden/>
          </w:rPr>
          <w:fldChar w:fldCharType="separate"/>
        </w:r>
        <w:r>
          <w:rPr>
            <w:noProof/>
            <w:webHidden/>
          </w:rPr>
          <w:t>4</w:t>
        </w:r>
        <w:r>
          <w:rPr>
            <w:noProof/>
            <w:webHidden/>
          </w:rPr>
          <w:fldChar w:fldCharType="end"/>
        </w:r>
      </w:hyperlink>
    </w:p>
    <w:p w14:paraId="182B0996" w14:textId="35A1DC04" w:rsidR="00B876E3" w:rsidRDefault="00B876E3">
      <w:pPr>
        <w:pStyle w:val="TM2"/>
        <w:tabs>
          <w:tab w:val="right" w:leader="dot" w:pos="9062"/>
        </w:tabs>
        <w:rPr>
          <w:rFonts w:eastAsiaTheme="minorEastAsia"/>
          <w:noProof/>
          <w:lang w:eastAsia="fr-FR"/>
        </w:rPr>
      </w:pPr>
      <w:hyperlink w:anchor="_Toc133137868" w:history="1">
        <w:r w:rsidRPr="00331A57">
          <w:rPr>
            <w:rStyle w:val="Lienhypertexte"/>
            <w:b/>
            <w:bCs/>
            <w:noProof/>
          </w:rPr>
          <w:t>Blocages budgétaires (1986-1997)</w:t>
        </w:r>
        <w:r>
          <w:rPr>
            <w:noProof/>
            <w:webHidden/>
          </w:rPr>
          <w:tab/>
        </w:r>
        <w:r>
          <w:rPr>
            <w:noProof/>
            <w:webHidden/>
          </w:rPr>
          <w:fldChar w:fldCharType="begin"/>
        </w:r>
        <w:r>
          <w:rPr>
            <w:noProof/>
            <w:webHidden/>
          </w:rPr>
          <w:instrText xml:space="preserve"> PAGEREF _Toc133137868 \h </w:instrText>
        </w:r>
        <w:r>
          <w:rPr>
            <w:noProof/>
            <w:webHidden/>
          </w:rPr>
        </w:r>
        <w:r>
          <w:rPr>
            <w:noProof/>
            <w:webHidden/>
          </w:rPr>
          <w:fldChar w:fldCharType="separate"/>
        </w:r>
        <w:r>
          <w:rPr>
            <w:noProof/>
            <w:webHidden/>
          </w:rPr>
          <w:t>5</w:t>
        </w:r>
        <w:r>
          <w:rPr>
            <w:noProof/>
            <w:webHidden/>
          </w:rPr>
          <w:fldChar w:fldCharType="end"/>
        </w:r>
      </w:hyperlink>
    </w:p>
    <w:p w14:paraId="461B8A92" w14:textId="60D902DE" w:rsidR="00B876E3" w:rsidRDefault="00B876E3">
      <w:pPr>
        <w:pStyle w:val="TM2"/>
        <w:tabs>
          <w:tab w:val="right" w:leader="dot" w:pos="9062"/>
        </w:tabs>
        <w:rPr>
          <w:rFonts w:eastAsiaTheme="minorEastAsia"/>
          <w:noProof/>
          <w:lang w:eastAsia="fr-FR"/>
        </w:rPr>
      </w:pPr>
      <w:hyperlink w:anchor="_Toc133137869" w:history="1">
        <w:r w:rsidRPr="00331A57">
          <w:rPr>
            <w:rStyle w:val="Lienhypertexte"/>
            <w:b/>
            <w:bCs/>
            <w:noProof/>
          </w:rPr>
          <w:t>Entrée de la Russie dans le programme (1993)</w:t>
        </w:r>
        <w:r>
          <w:rPr>
            <w:noProof/>
            <w:webHidden/>
          </w:rPr>
          <w:tab/>
        </w:r>
        <w:r>
          <w:rPr>
            <w:noProof/>
            <w:webHidden/>
          </w:rPr>
          <w:fldChar w:fldCharType="begin"/>
        </w:r>
        <w:r>
          <w:rPr>
            <w:noProof/>
            <w:webHidden/>
          </w:rPr>
          <w:instrText xml:space="preserve"> PAGEREF _Toc133137869 \h </w:instrText>
        </w:r>
        <w:r>
          <w:rPr>
            <w:noProof/>
            <w:webHidden/>
          </w:rPr>
        </w:r>
        <w:r>
          <w:rPr>
            <w:noProof/>
            <w:webHidden/>
          </w:rPr>
          <w:fldChar w:fldCharType="separate"/>
        </w:r>
        <w:r>
          <w:rPr>
            <w:noProof/>
            <w:webHidden/>
          </w:rPr>
          <w:t>5</w:t>
        </w:r>
        <w:r>
          <w:rPr>
            <w:noProof/>
            <w:webHidden/>
          </w:rPr>
          <w:fldChar w:fldCharType="end"/>
        </w:r>
      </w:hyperlink>
    </w:p>
    <w:p w14:paraId="299FDD08" w14:textId="3E5207D7" w:rsidR="00B876E3" w:rsidRDefault="00B876E3">
      <w:pPr>
        <w:pStyle w:val="TM2"/>
        <w:tabs>
          <w:tab w:val="right" w:leader="dot" w:pos="9062"/>
        </w:tabs>
        <w:rPr>
          <w:rFonts w:eastAsiaTheme="minorEastAsia"/>
          <w:noProof/>
          <w:lang w:eastAsia="fr-FR"/>
        </w:rPr>
      </w:pPr>
      <w:hyperlink w:anchor="_Toc133137870" w:history="1">
        <w:r w:rsidRPr="00331A57">
          <w:rPr>
            <w:rStyle w:val="Lienhypertexte"/>
            <w:b/>
            <w:bCs/>
            <w:noProof/>
          </w:rPr>
          <w:t>Lancement de la construction (1998)</w:t>
        </w:r>
        <w:r>
          <w:rPr>
            <w:noProof/>
            <w:webHidden/>
          </w:rPr>
          <w:tab/>
        </w:r>
        <w:r>
          <w:rPr>
            <w:noProof/>
            <w:webHidden/>
          </w:rPr>
          <w:fldChar w:fldCharType="begin"/>
        </w:r>
        <w:r>
          <w:rPr>
            <w:noProof/>
            <w:webHidden/>
          </w:rPr>
          <w:instrText xml:space="preserve"> PAGEREF _Toc133137870 \h </w:instrText>
        </w:r>
        <w:r>
          <w:rPr>
            <w:noProof/>
            <w:webHidden/>
          </w:rPr>
        </w:r>
        <w:r>
          <w:rPr>
            <w:noProof/>
            <w:webHidden/>
          </w:rPr>
          <w:fldChar w:fldCharType="separate"/>
        </w:r>
        <w:r>
          <w:rPr>
            <w:noProof/>
            <w:webHidden/>
          </w:rPr>
          <w:t>5</w:t>
        </w:r>
        <w:r>
          <w:rPr>
            <w:noProof/>
            <w:webHidden/>
          </w:rPr>
          <w:fldChar w:fldCharType="end"/>
        </w:r>
      </w:hyperlink>
    </w:p>
    <w:p w14:paraId="74EF3526" w14:textId="20966363" w:rsidR="00B876E3" w:rsidRDefault="00B876E3">
      <w:pPr>
        <w:pStyle w:val="TM2"/>
        <w:tabs>
          <w:tab w:val="right" w:leader="dot" w:pos="9062"/>
        </w:tabs>
        <w:rPr>
          <w:rFonts w:eastAsiaTheme="minorEastAsia"/>
          <w:noProof/>
          <w:lang w:eastAsia="fr-FR"/>
        </w:rPr>
      </w:pPr>
      <w:hyperlink w:anchor="_Toc133137871" w:history="1">
        <w:r w:rsidRPr="00331A57">
          <w:rPr>
            <w:rStyle w:val="Lienhypertexte"/>
            <w:b/>
            <w:bCs/>
            <w:noProof/>
          </w:rPr>
          <w:t>Assemblage de la station (1998-2011)</w:t>
        </w:r>
        <w:r>
          <w:rPr>
            <w:noProof/>
            <w:webHidden/>
          </w:rPr>
          <w:tab/>
        </w:r>
        <w:r>
          <w:rPr>
            <w:noProof/>
            <w:webHidden/>
          </w:rPr>
          <w:fldChar w:fldCharType="begin"/>
        </w:r>
        <w:r>
          <w:rPr>
            <w:noProof/>
            <w:webHidden/>
          </w:rPr>
          <w:instrText xml:space="preserve"> PAGEREF _Toc133137871 \h </w:instrText>
        </w:r>
        <w:r>
          <w:rPr>
            <w:noProof/>
            <w:webHidden/>
          </w:rPr>
        </w:r>
        <w:r>
          <w:rPr>
            <w:noProof/>
            <w:webHidden/>
          </w:rPr>
          <w:fldChar w:fldCharType="separate"/>
        </w:r>
        <w:r>
          <w:rPr>
            <w:noProof/>
            <w:webHidden/>
          </w:rPr>
          <w:t>6</w:t>
        </w:r>
        <w:r>
          <w:rPr>
            <w:noProof/>
            <w:webHidden/>
          </w:rPr>
          <w:fldChar w:fldCharType="end"/>
        </w:r>
      </w:hyperlink>
    </w:p>
    <w:p w14:paraId="17D6EA51" w14:textId="37561045" w:rsidR="00B876E3" w:rsidRDefault="00B876E3">
      <w:pPr>
        <w:pStyle w:val="TM2"/>
        <w:tabs>
          <w:tab w:val="right" w:leader="dot" w:pos="9062"/>
        </w:tabs>
        <w:rPr>
          <w:rFonts w:eastAsiaTheme="minorEastAsia"/>
          <w:noProof/>
          <w:lang w:eastAsia="fr-FR"/>
        </w:rPr>
      </w:pPr>
      <w:hyperlink w:anchor="_Toc133137872" w:history="1">
        <w:r w:rsidRPr="00331A57">
          <w:rPr>
            <w:rStyle w:val="Lienhypertexte"/>
            <w:b/>
            <w:bCs/>
            <w:noProof/>
          </w:rPr>
          <w:t>Développements ultérieurs</w:t>
        </w:r>
        <w:r>
          <w:rPr>
            <w:noProof/>
            <w:webHidden/>
          </w:rPr>
          <w:tab/>
        </w:r>
        <w:r>
          <w:rPr>
            <w:noProof/>
            <w:webHidden/>
          </w:rPr>
          <w:fldChar w:fldCharType="begin"/>
        </w:r>
        <w:r>
          <w:rPr>
            <w:noProof/>
            <w:webHidden/>
          </w:rPr>
          <w:instrText xml:space="preserve"> PAGEREF _Toc133137872 \h </w:instrText>
        </w:r>
        <w:r>
          <w:rPr>
            <w:noProof/>
            <w:webHidden/>
          </w:rPr>
        </w:r>
        <w:r>
          <w:rPr>
            <w:noProof/>
            <w:webHidden/>
          </w:rPr>
          <w:fldChar w:fldCharType="separate"/>
        </w:r>
        <w:r>
          <w:rPr>
            <w:noProof/>
            <w:webHidden/>
          </w:rPr>
          <w:t>7</w:t>
        </w:r>
        <w:r>
          <w:rPr>
            <w:noProof/>
            <w:webHidden/>
          </w:rPr>
          <w:fldChar w:fldCharType="end"/>
        </w:r>
      </w:hyperlink>
    </w:p>
    <w:p w14:paraId="2AE7F47A" w14:textId="71E9A27C" w:rsidR="00B876E3" w:rsidRDefault="00B876E3">
      <w:pPr>
        <w:pStyle w:val="TM2"/>
        <w:tabs>
          <w:tab w:val="right" w:leader="dot" w:pos="9062"/>
        </w:tabs>
        <w:rPr>
          <w:rFonts w:eastAsiaTheme="minorEastAsia"/>
          <w:noProof/>
          <w:lang w:eastAsia="fr-FR"/>
        </w:rPr>
      </w:pPr>
      <w:hyperlink w:anchor="_Toc133137873" w:history="1">
        <w:r w:rsidRPr="00331A57">
          <w:rPr>
            <w:rStyle w:val="Lienhypertexte"/>
            <w:b/>
            <w:bCs/>
            <w:noProof/>
          </w:rPr>
          <w:t>Objectifs</w:t>
        </w:r>
        <w:r>
          <w:rPr>
            <w:noProof/>
            <w:webHidden/>
          </w:rPr>
          <w:tab/>
        </w:r>
        <w:r>
          <w:rPr>
            <w:noProof/>
            <w:webHidden/>
          </w:rPr>
          <w:fldChar w:fldCharType="begin"/>
        </w:r>
        <w:r>
          <w:rPr>
            <w:noProof/>
            <w:webHidden/>
          </w:rPr>
          <w:instrText xml:space="preserve"> PAGEREF _Toc133137873 \h </w:instrText>
        </w:r>
        <w:r>
          <w:rPr>
            <w:noProof/>
            <w:webHidden/>
          </w:rPr>
        </w:r>
        <w:r>
          <w:rPr>
            <w:noProof/>
            <w:webHidden/>
          </w:rPr>
          <w:fldChar w:fldCharType="separate"/>
        </w:r>
        <w:r>
          <w:rPr>
            <w:noProof/>
            <w:webHidden/>
          </w:rPr>
          <w:t>7</w:t>
        </w:r>
        <w:r>
          <w:rPr>
            <w:noProof/>
            <w:webHidden/>
          </w:rPr>
          <w:fldChar w:fldCharType="end"/>
        </w:r>
      </w:hyperlink>
    </w:p>
    <w:p w14:paraId="1F9AB800" w14:textId="3287F508" w:rsidR="00B876E3" w:rsidRDefault="00B876E3">
      <w:pPr>
        <w:pStyle w:val="TM3"/>
        <w:tabs>
          <w:tab w:val="right" w:leader="dot" w:pos="9062"/>
        </w:tabs>
        <w:rPr>
          <w:rFonts w:eastAsiaTheme="minorEastAsia"/>
          <w:noProof/>
          <w:lang w:eastAsia="fr-FR"/>
        </w:rPr>
      </w:pPr>
      <w:hyperlink w:anchor="_Toc133137874" w:history="1">
        <w:r w:rsidRPr="00331A57">
          <w:rPr>
            <w:rStyle w:val="Lienhypertexte"/>
            <w:b/>
            <w:bCs/>
            <w:noProof/>
          </w:rPr>
          <w:t>Recherche scientifique</w:t>
        </w:r>
        <w:r>
          <w:rPr>
            <w:noProof/>
            <w:webHidden/>
          </w:rPr>
          <w:tab/>
        </w:r>
        <w:r>
          <w:rPr>
            <w:noProof/>
            <w:webHidden/>
          </w:rPr>
          <w:fldChar w:fldCharType="begin"/>
        </w:r>
        <w:r>
          <w:rPr>
            <w:noProof/>
            <w:webHidden/>
          </w:rPr>
          <w:instrText xml:space="preserve"> PAGEREF _Toc133137874 \h </w:instrText>
        </w:r>
        <w:r>
          <w:rPr>
            <w:noProof/>
            <w:webHidden/>
          </w:rPr>
        </w:r>
        <w:r>
          <w:rPr>
            <w:noProof/>
            <w:webHidden/>
          </w:rPr>
          <w:fldChar w:fldCharType="separate"/>
        </w:r>
        <w:r>
          <w:rPr>
            <w:noProof/>
            <w:webHidden/>
          </w:rPr>
          <w:t>8</w:t>
        </w:r>
        <w:r>
          <w:rPr>
            <w:noProof/>
            <w:webHidden/>
          </w:rPr>
          <w:fldChar w:fldCharType="end"/>
        </w:r>
      </w:hyperlink>
    </w:p>
    <w:p w14:paraId="0D919D03" w14:textId="7D3C6D76" w:rsidR="00B876E3" w:rsidRDefault="00B876E3">
      <w:pPr>
        <w:pStyle w:val="TM2"/>
        <w:tabs>
          <w:tab w:val="right" w:leader="dot" w:pos="9062"/>
        </w:tabs>
        <w:rPr>
          <w:rFonts w:eastAsiaTheme="minorEastAsia"/>
          <w:noProof/>
          <w:lang w:eastAsia="fr-FR"/>
        </w:rPr>
      </w:pPr>
      <w:hyperlink w:anchor="_Toc133137875" w:history="1">
        <w:r w:rsidRPr="00331A57">
          <w:rPr>
            <w:rStyle w:val="Lienhypertexte"/>
            <w:b/>
            <w:bCs/>
            <w:noProof/>
          </w:rPr>
          <w:t>Anatomie de la station spatiale</w:t>
        </w:r>
        <w:r>
          <w:rPr>
            <w:noProof/>
            <w:webHidden/>
          </w:rPr>
          <w:tab/>
        </w:r>
        <w:r>
          <w:rPr>
            <w:noProof/>
            <w:webHidden/>
          </w:rPr>
          <w:fldChar w:fldCharType="begin"/>
        </w:r>
        <w:r>
          <w:rPr>
            <w:noProof/>
            <w:webHidden/>
          </w:rPr>
          <w:instrText xml:space="preserve"> PAGEREF _Toc133137875 \h </w:instrText>
        </w:r>
        <w:r>
          <w:rPr>
            <w:noProof/>
            <w:webHidden/>
          </w:rPr>
        </w:r>
        <w:r>
          <w:rPr>
            <w:noProof/>
            <w:webHidden/>
          </w:rPr>
          <w:fldChar w:fldCharType="separate"/>
        </w:r>
        <w:r>
          <w:rPr>
            <w:noProof/>
            <w:webHidden/>
          </w:rPr>
          <w:t>9</w:t>
        </w:r>
        <w:r>
          <w:rPr>
            <w:noProof/>
            <w:webHidden/>
          </w:rPr>
          <w:fldChar w:fldCharType="end"/>
        </w:r>
      </w:hyperlink>
    </w:p>
    <w:p w14:paraId="26413ABB" w14:textId="494CAD13" w:rsidR="00B876E3" w:rsidRDefault="00B876E3">
      <w:pPr>
        <w:pStyle w:val="TM3"/>
        <w:tabs>
          <w:tab w:val="right" w:leader="dot" w:pos="9062"/>
        </w:tabs>
        <w:rPr>
          <w:rFonts w:eastAsiaTheme="minorEastAsia"/>
          <w:noProof/>
          <w:lang w:eastAsia="fr-FR"/>
        </w:rPr>
      </w:pPr>
      <w:hyperlink w:anchor="_Toc133137876" w:history="1">
        <w:r w:rsidRPr="00331A57">
          <w:rPr>
            <w:rStyle w:val="Lienhypertexte"/>
            <w:b/>
            <w:bCs/>
            <w:noProof/>
          </w:rPr>
          <w:t>Historique de la conception de la station spatiale par la NASA</w:t>
        </w:r>
        <w:r>
          <w:rPr>
            <w:noProof/>
            <w:webHidden/>
          </w:rPr>
          <w:tab/>
        </w:r>
        <w:r>
          <w:rPr>
            <w:noProof/>
            <w:webHidden/>
          </w:rPr>
          <w:fldChar w:fldCharType="begin"/>
        </w:r>
        <w:r>
          <w:rPr>
            <w:noProof/>
            <w:webHidden/>
          </w:rPr>
          <w:instrText xml:space="preserve"> PAGEREF _Toc133137876 \h </w:instrText>
        </w:r>
        <w:r>
          <w:rPr>
            <w:noProof/>
            <w:webHidden/>
          </w:rPr>
        </w:r>
        <w:r>
          <w:rPr>
            <w:noProof/>
            <w:webHidden/>
          </w:rPr>
          <w:fldChar w:fldCharType="separate"/>
        </w:r>
        <w:r>
          <w:rPr>
            <w:noProof/>
            <w:webHidden/>
          </w:rPr>
          <w:t>9</w:t>
        </w:r>
        <w:r>
          <w:rPr>
            <w:noProof/>
            <w:webHidden/>
          </w:rPr>
          <w:fldChar w:fldCharType="end"/>
        </w:r>
      </w:hyperlink>
    </w:p>
    <w:p w14:paraId="2F76EC14" w14:textId="402E0666" w:rsidR="00B876E3" w:rsidRDefault="00B876E3">
      <w:pPr>
        <w:pStyle w:val="TM4"/>
        <w:tabs>
          <w:tab w:val="right" w:leader="dot" w:pos="9062"/>
        </w:tabs>
        <w:rPr>
          <w:rFonts w:eastAsiaTheme="minorEastAsia"/>
          <w:noProof/>
          <w:lang w:eastAsia="fr-FR"/>
        </w:rPr>
      </w:pPr>
      <w:hyperlink w:anchor="_Toc133137877" w:history="1">
        <w:r w:rsidRPr="00331A57">
          <w:rPr>
            <w:rStyle w:val="Lienhypertexte"/>
            <w:b/>
            <w:bCs/>
            <w:noProof/>
          </w:rPr>
          <w:t>Expérience de la station Skylab</w:t>
        </w:r>
        <w:r>
          <w:rPr>
            <w:noProof/>
            <w:webHidden/>
          </w:rPr>
          <w:tab/>
        </w:r>
        <w:r>
          <w:rPr>
            <w:noProof/>
            <w:webHidden/>
          </w:rPr>
          <w:fldChar w:fldCharType="begin"/>
        </w:r>
        <w:r>
          <w:rPr>
            <w:noProof/>
            <w:webHidden/>
          </w:rPr>
          <w:instrText xml:space="preserve"> PAGEREF _Toc133137877 \h </w:instrText>
        </w:r>
        <w:r>
          <w:rPr>
            <w:noProof/>
            <w:webHidden/>
          </w:rPr>
        </w:r>
        <w:r>
          <w:rPr>
            <w:noProof/>
            <w:webHidden/>
          </w:rPr>
          <w:fldChar w:fldCharType="separate"/>
        </w:r>
        <w:r>
          <w:rPr>
            <w:noProof/>
            <w:webHidden/>
          </w:rPr>
          <w:t>9</w:t>
        </w:r>
        <w:r>
          <w:rPr>
            <w:noProof/>
            <w:webHidden/>
          </w:rPr>
          <w:fldChar w:fldCharType="end"/>
        </w:r>
      </w:hyperlink>
    </w:p>
    <w:p w14:paraId="004B946F" w14:textId="37E65483" w:rsidR="00B876E3" w:rsidRDefault="00B876E3">
      <w:pPr>
        <w:pStyle w:val="TM4"/>
        <w:tabs>
          <w:tab w:val="right" w:leader="dot" w:pos="9062"/>
        </w:tabs>
        <w:rPr>
          <w:rFonts w:eastAsiaTheme="minorEastAsia"/>
          <w:noProof/>
          <w:lang w:eastAsia="fr-FR"/>
        </w:rPr>
      </w:pPr>
      <w:hyperlink w:anchor="_Toc133137878" w:history="1">
        <w:r w:rsidRPr="00331A57">
          <w:rPr>
            <w:rStyle w:val="Lienhypertexte"/>
            <w:b/>
            <w:bCs/>
            <w:noProof/>
          </w:rPr>
          <w:t>Configuration Tour à énergie</w:t>
        </w:r>
        <w:r>
          <w:rPr>
            <w:noProof/>
            <w:webHidden/>
          </w:rPr>
          <w:tab/>
        </w:r>
        <w:r>
          <w:rPr>
            <w:noProof/>
            <w:webHidden/>
          </w:rPr>
          <w:fldChar w:fldCharType="begin"/>
        </w:r>
        <w:r>
          <w:rPr>
            <w:noProof/>
            <w:webHidden/>
          </w:rPr>
          <w:instrText xml:space="preserve"> PAGEREF _Toc133137878 \h </w:instrText>
        </w:r>
        <w:r>
          <w:rPr>
            <w:noProof/>
            <w:webHidden/>
          </w:rPr>
        </w:r>
        <w:r>
          <w:rPr>
            <w:noProof/>
            <w:webHidden/>
          </w:rPr>
          <w:fldChar w:fldCharType="separate"/>
        </w:r>
        <w:r>
          <w:rPr>
            <w:noProof/>
            <w:webHidden/>
          </w:rPr>
          <w:t>9</w:t>
        </w:r>
        <w:r>
          <w:rPr>
            <w:noProof/>
            <w:webHidden/>
          </w:rPr>
          <w:fldChar w:fldCharType="end"/>
        </w:r>
      </w:hyperlink>
    </w:p>
    <w:p w14:paraId="6E8A1FA4" w14:textId="62BFE08C" w:rsidR="00B876E3" w:rsidRDefault="00B876E3">
      <w:pPr>
        <w:pStyle w:val="TM4"/>
        <w:tabs>
          <w:tab w:val="right" w:leader="dot" w:pos="9062"/>
        </w:tabs>
        <w:rPr>
          <w:rFonts w:eastAsiaTheme="minorEastAsia"/>
          <w:noProof/>
          <w:lang w:eastAsia="fr-FR"/>
        </w:rPr>
      </w:pPr>
      <w:hyperlink w:anchor="_Toc133137879" w:history="1">
        <w:r w:rsidRPr="00331A57">
          <w:rPr>
            <w:rStyle w:val="Lienhypertexte"/>
            <w:b/>
            <w:bCs/>
            <w:noProof/>
          </w:rPr>
          <w:t>Configuration Catamaran</w:t>
        </w:r>
        <w:r>
          <w:rPr>
            <w:noProof/>
            <w:webHidden/>
          </w:rPr>
          <w:tab/>
        </w:r>
        <w:r>
          <w:rPr>
            <w:noProof/>
            <w:webHidden/>
          </w:rPr>
          <w:fldChar w:fldCharType="begin"/>
        </w:r>
        <w:r>
          <w:rPr>
            <w:noProof/>
            <w:webHidden/>
          </w:rPr>
          <w:instrText xml:space="preserve"> PAGEREF _Toc133137879 \h </w:instrText>
        </w:r>
        <w:r>
          <w:rPr>
            <w:noProof/>
            <w:webHidden/>
          </w:rPr>
        </w:r>
        <w:r>
          <w:rPr>
            <w:noProof/>
            <w:webHidden/>
          </w:rPr>
          <w:fldChar w:fldCharType="separate"/>
        </w:r>
        <w:r>
          <w:rPr>
            <w:noProof/>
            <w:webHidden/>
          </w:rPr>
          <w:t>10</w:t>
        </w:r>
        <w:r>
          <w:rPr>
            <w:noProof/>
            <w:webHidden/>
          </w:rPr>
          <w:fldChar w:fldCharType="end"/>
        </w:r>
      </w:hyperlink>
    </w:p>
    <w:p w14:paraId="43ECD50F" w14:textId="67395906" w:rsidR="00B876E3" w:rsidRDefault="00B876E3">
      <w:pPr>
        <w:pStyle w:val="TM4"/>
        <w:tabs>
          <w:tab w:val="right" w:leader="dot" w:pos="9062"/>
        </w:tabs>
        <w:rPr>
          <w:rFonts w:eastAsiaTheme="minorEastAsia"/>
          <w:noProof/>
          <w:lang w:eastAsia="fr-FR"/>
        </w:rPr>
      </w:pPr>
      <w:hyperlink w:anchor="_Toc133137880" w:history="1">
        <w:r w:rsidRPr="00331A57">
          <w:rPr>
            <w:rStyle w:val="Lienhypertexte"/>
            <w:b/>
            <w:bCs/>
            <w:noProof/>
          </w:rPr>
          <w:t>Aménagement intérieur</w:t>
        </w:r>
        <w:r>
          <w:rPr>
            <w:noProof/>
            <w:webHidden/>
          </w:rPr>
          <w:tab/>
        </w:r>
        <w:r>
          <w:rPr>
            <w:noProof/>
            <w:webHidden/>
          </w:rPr>
          <w:fldChar w:fldCharType="begin"/>
        </w:r>
        <w:r>
          <w:rPr>
            <w:noProof/>
            <w:webHidden/>
          </w:rPr>
          <w:instrText xml:space="preserve"> PAGEREF _Toc133137880 \h </w:instrText>
        </w:r>
        <w:r>
          <w:rPr>
            <w:noProof/>
            <w:webHidden/>
          </w:rPr>
        </w:r>
        <w:r>
          <w:rPr>
            <w:noProof/>
            <w:webHidden/>
          </w:rPr>
          <w:fldChar w:fldCharType="separate"/>
        </w:r>
        <w:r>
          <w:rPr>
            <w:noProof/>
            <w:webHidden/>
          </w:rPr>
          <w:t>10</w:t>
        </w:r>
        <w:r>
          <w:rPr>
            <w:noProof/>
            <w:webHidden/>
          </w:rPr>
          <w:fldChar w:fldCharType="end"/>
        </w:r>
      </w:hyperlink>
    </w:p>
    <w:p w14:paraId="6FB679B0" w14:textId="11EA502D" w:rsidR="00B876E3" w:rsidRDefault="00B876E3">
      <w:pPr>
        <w:pStyle w:val="TM4"/>
        <w:tabs>
          <w:tab w:val="right" w:leader="dot" w:pos="9062"/>
        </w:tabs>
        <w:rPr>
          <w:rFonts w:eastAsiaTheme="minorEastAsia"/>
          <w:noProof/>
          <w:lang w:eastAsia="fr-FR"/>
        </w:rPr>
      </w:pPr>
      <w:hyperlink w:anchor="_Toc133137881" w:history="1">
        <w:r w:rsidRPr="00331A57">
          <w:rPr>
            <w:rStyle w:val="Lienhypertexte"/>
            <w:b/>
            <w:bCs/>
            <w:noProof/>
          </w:rPr>
          <w:t>Du module universel au module spécialisé</w:t>
        </w:r>
        <w:r>
          <w:rPr>
            <w:noProof/>
            <w:webHidden/>
          </w:rPr>
          <w:tab/>
        </w:r>
        <w:r>
          <w:rPr>
            <w:noProof/>
            <w:webHidden/>
          </w:rPr>
          <w:fldChar w:fldCharType="begin"/>
        </w:r>
        <w:r>
          <w:rPr>
            <w:noProof/>
            <w:webHidden/>
          </w:rPr>
          <w:instrText xml:space="preserve"> PAGEREF _Toc133137881 \h </w:instrText>
        </w:r>
        <w:r>
          <w:rPr>
            <w:noProof/>
            <w:webHidden/>
          </w:rPr>
        </w:r>
        <w:r>
          <w:rPr>
            <w:noProof/>
            <w:webHidden/>
          </w:rPr>
          <w:fldChar w:fldCharType="separate"/>
        </w:r>
        <w:r>
          <w:rPr>
            <w:noProof/>
            <w:webHidden/>
          </w:rPr>
          <w:t>11</w:t>
        </w:r>
        <w:r>
          <w:rPr>
            <w:noProof/>
            <w:webHidden/>
          </w:rPr>
          <w:fldChar w:fldCharType="end"/>
        </w:r>
      </w:hyperlink>
    </w:p>
    <w:p w14:paraId="46673B97" w14:textId="723BA44A" w:rsidR="00B876E3" w:rsidRDefault="00B876E3">
      <w:pPr>
        <w:pStyle w:val="TM4"/>
        <w:tabs>
          <w:tab w:val="right" w:leader="dot" w:pos="9062"/>
        </w:tabs>
        <w:rPr>
          <w:rFonts w:eastAsiaTheme="minorEastAsia"/>
          <w:noProof/>
          <w:lang w:eastAsia="fr-FR"/>
        </w:rPr>
      </w:pPr>
      <w:hyperlink w:anchor="_Toc133137882" w:history="1">
        <w:r w:rsidRPr="00331A57">
          <w:rPr>
            <w:rStyle w:val="Lienhypertexte"/>
            <w:b/>
            <w:bCs/>
            <w:noProof/>
          </w:rPr>
          <w:t>Coupole d'observation</w:t>
        </w:r>
        <w:r>
          <w:rPr>
            <w:noProof/>
            <w:webHidden/>
          </w:rPr>
          <w:tab/>
        </w:r>
        <w:r>
          <w:rPr>
            <w:noProof/>
            <w:webHidden/>
          </w:rPr>
          <w:fldChar w:fldCharType="begin"/>
        </w:r>
        <w:r>
          <w:rPr>
            <w:noProof/>
            <w:webHidden/>
          </w:rPr>
          <w:instrText xml:space="preserve"> PAGEREF _Toc133137882 \h </w:instrText>
        </w:r>
        <w:r>
          <w:rPr>
            <w:noProof/>
            <w:webHidden/>
          </w:rPr>
        </w:r>
        <w:r>
          <w:rPr>
            <w:noProof/>
            <w:webHidden/>
          </w:rPr>
          <w:fldChar w:fldCharType="separate"/>
        </w:r>
        <w:r>
          <w:rPr>
            <w:noProof/>
            <w:webHidden/>
          </w:rPr>
          <w:t>11</w:t>
        </w:r>
        <w:r>
          <w:rPr>
            <w:noProof/>
            <w:webHidden/>
          </w:rPr>
          <w:fldChar w:fldCharType="end"/>
        </w:r>
      </w:hyperlink>
    </w:p>
    <w:p w14:paraId="0165E401" w14:textId="50DAEAEA" w:rsidR="00B876E3" w:rsidRDefault="00B876E3">
      <w:pPr>
        <w:pStyle w:val="TM3"/>
        <w:tabs>
          <w:tab w:val="right" w:leader="dot" w:pos="9062"/>
        </w:tabs>
        <w:rPr>
          <w:rFonts w:eastAsiaTheme="minorEastAsia"/>
          <w:noProof/>
          <w:lang w:eastAsia="fr-FR"/>
        </w:rPr>
      </w:pPr>
      <w:hyperlink w:anchor="_Toc133137883" w:history="1">
        <w:r w:rsidRPr="00331A57">
          <w:rPr>
            <w:rStyle w:val="Lienhypertexte"/>
            <w:b/>
            <w:bCs/>
            <w:noProof/>
          </w:rPr>
          <w:t>Sous-ensemble russe</w:t>
        </w:r>
        <w:r>
          <w:rPr>
            <w:noProof/>
            <w:webHidden/>
          </w:rPr>
          <w:tab/>
        </w:r>
        <w:r>
          <w:rPr>
            <w:noProof/>
            <w:webHidden/>
          </w:rPr>
          <w:fldChar w:fldCharType="begin"/>
        </w:r>
        <w:r>
          <w:rPr>
            <w:noProof/>
            <w:webHidden/>
          </w:rPr>
          <w:instrText xml:space="preserve"> PAGEREF _Toc133137883 \h </w:instrText>
        </w:r>
        <w:r>
          <w:rPr>
            <w:noProof/>
            <w:webHidden/>
          </w:rPr>
        </w:r>
        <w:r>
          <w:rPr>
            <w:noProof/>
            <w:webHidden/>
          </w:rPr>
          <w:fldChar w:fldCharType="separate"/>
        </w:r>
        <w:r>
          <w:rPr>
            <w:noProof/>
            <w:webHidden/>
          </w:rPr>
          <w:t>11</w:t>
        </w:r>
        <w:r>
          <w:rPr>
            <w:noProof/>
            <w:webHidden/>
          </w:rPr>
          <w:fldChar w:fldCharType="end"/>
        </w:r>
      </w:hyperlink>
    </w:p>
    <w:p w14:paraId="3CE8AD2A" w14:textId="491165A3" w:rsidR="00B876E3" w:rsidRDefault="00B876E3">
      <w:pPr>
        <w:pStyle w:val="TM3"/>
        <w:tabs>
          <w:tab w:val="right" w:leader="dot" w:pos="9062"/>
        </w:tabs>
        <w:rPr>
          <w:rFonts w:eastAsiaTheme="minorEastAsia"/>
          <w:noProof/>
          <w:lang w:eastAsia="fr-FR"/>
        </w:rPr>
      </w:pPr>
      <w:hyperlink w:anchor="_Toc133137884" w:history="1">
        <w:r w:rsidRPr="00331A57">
          <w:rPr>
            <w:rStyle w:val="Lienhypertexte"/>
            <w:b/>
            <w:bCs/>
            <w:noProof/>
          </w:rPr>
          <w:t>Configuration finale</w:t>
        </w:r>
        <w:r>
          <w:rPr>
            <w:noProof/>
            <w:webHidden/>
          </w:rPr>
          <w:tab/>
        </w:r>
        <w:r>
          <w:rPr>
            <w:noProof/>
            <w:webHidden/>
          </w:rPr>
          <w:fldChar w:fldCharType="begin"/>
        </w:r>
        <w:r>
          <w:rPr>
            <w:noProof/>
            <w:webHidden/>
          </w:rPr>
          <w:instrText xml:space="preserve"> PAGEREF _Toc133137884 \h </w:instrText>
        </w:r>
        <w:r>
          <w:rPr>
            <w:noProof/>
            <w:webHidden/>
          </w:rPr>
        </w:r>
        <w:r>
          <w:rPr>
            <w:noProof/>
            <w:webHidden/>
          </w:rPr>
          <w:fldChar w:fldCharType="separate"/>
        </w:r>
        <w:r>
          <w:rPr>
            <w:noProof/>
            <w:webHidden/>
          </w:rPr>
          <w:t>12</w:t>
        </w:r>
        <w:r>
          <w:rPr>
            <w:noProof/>
            <w:webHidden/>
          </w:rPr>
          <w:fldChar w:fldCharType="end"/>
        </w:r>
      </w:hyperlink>
    </w:p>
    <w:p w14:paraId="454803F1" w14:textId="59EB0B20" w:rsidR="00B876E3" w:rsidRDefault="00B876E3">
      <w:pPr>
        <w:pStyle w:val="TM3"/>
        <w:tabs>
          <w:tab w:val="right" w:leader="dot" w:pos="9062"/>
        </w:tabs>
        <w:rPr>
          <w:rFonts w:eastAsiaTheme="minorEastAsia"/>
          <w:noProof/>
          <w:lang w:eastAsia="fr-FR"/>
        </w:rPr>
      </w:pPr>
      <w:hyperlink w:anchor="_Toc133137885" w:history="1">
        <w:r w:rsidRPr="00331A57">
          <w:rPr>
            <w:rStyle w:val="Lienhypertexte"/>
            <w:b/>
            <w:bCs/>
            <w:noProof/>
          </w:rPr>
          <w:t>Modules pressurisés</w:t>
        </w:r>
        <w:r>
          <w:rPr>
            <w:noProof/>
            <w:webHidden/>
          </w:rPr>
          <w:tab/>
        </w:r>
        <w:r>
          <w:rPr>
            <w:noProof/>
            <w:webHidden/>
          </w:rPr>
          <w:fldChar w:fldCharType="begin"/>
        </w:r>
        <w:r>
          <w:rPr>
            <w:noProof/>
            <w:webHidden/>
          </w:rPr>
          <w:instrText xml:space="preserve"> PAGEREF _Toc133137885 \h </w:instrText>
        </w:r>
        <w:r>
          <w:rPr>
            <w:noProof/>
            <w:webHidden/>
          </w:rPr>
        </w:r>
        <w:r>
          <w:rPr>
            <w:noProof/>
            <w:webHidden/>
          </w:rPr>
          <w:fldChar w:fldCharType="separate"/>
        </w:r>
        <w:r>
          <w:rPr>
            <w:noProof/>
            <w:webHidden/>
          </w:rPr>
          <w:t>12</w:t>
        </w:r>
        <w:r>
          <w:rPr>
            <w:noProof/>
            <w:webHidden/>
          </w:rPr>
          <w:fldChar w:fldCharType="end"/>
        </w:r>
      </w:hyperlink>
    </w:p>
    <w:p w14:paraId="76CC1821" w14:textId="552EF69A" w:rsidR="00B876E3" w:rsidRDefault="00B876E3">
      <w:pPr>
        <w:pStyle w:val="TM4"/>
        <w:tabs>
          <w:tab w:val="right" w:leader="dot" w:pos="9062"/>
        </w:tabs>
        <w:rPr>
          <w:rFonts w:eastAsiaTheme="minorEastAsia"/>
          <w:noProof/>
          <w:lang w:eastAsia="fr-FR"/>
        </w:rPr>
      </w:pPr>
      <w:hyperlink w:anchor="_Toc133137886" w:history="1">
        <w:r w:rsidRPr="00331A57">
          <w:rPr>
            <w:rStyle w:val="Lienhypertexte"/>
            <w:b/>
            <w:bCs/>
            <w:noProof/>
          </w:rPr>
          <w:t>Aménagements intérieurs</w:t>
        </w:r>
        <w:r>
          <w:rPr>
            <w:noProof/>
            <w:webHidden/>
          </w:rPr>
          <w:tab/>
        </w:r>
        <w:r>
          <w:rPr>
            <w:noProof/>
            <w:webHidden/>
          </w:rPr>
          <w:fldChar w:fldCharType="begin"/>
        </w:r>
        <w:r>
          <w:rPr>
            <w:noProof/>
            <w:webHidden/>
          </w:rPr>
          <w:instrText xml:space="preserve"> PAGEREF _Toc133137886 \h </w:instrText>
        </w:r>
        <w:r>
          <w:rPr>
            <w:noProof/>
            <w:webHidden/>
          </w:rPr>
        </w:r>
        <w:r>
          <w:rPr>
            <w:noProof/>
            <w:webHidden/>
          </w:rPr>
          <w:fldChar w:fldCharType="separate"/>
        </w:r>
        <w:r>
          <w:rPr>
            <w:noProof/>
            <w:webHidden/>
          </w:rPr>
          <w:t>13</w:t>
        </w:r>
        <w:r>
          <w:rPr>
            <w:noProof/>
            <w:webHidden/>
          </w:rPr>
          <w:fldChar w:fldCharType="end"/>
        </w:r>
      </w:hyperlink>
    </w:p>
    <w:p w14:paraId="0EC69331" w14:textId="2564200E" w:rsidR="00B876E3" w:rsidRDefault="00B876E3">
      <w:pPr>
        <w:pStyle w:val="TM4"/>
        <w:tabs>
          <w:tab w:val="right" w:leader="dot" w:pos="9062"/>
        </w:tabs>
        <w:rPr>
          <w:rFonts w:eastAsiaTheme="minorEastAsia"/>
          <w:noProof/>
          <w:lang w:eastAsia="fr-FR"/>
        </w:rPr>
      </w:pPr>
      <w:hyperlink w:anchor="_Toc133137887" w:history="1">
        <w:r w:rsidRPr="00331A57">
          <w:rPr>
            <w:rStyle w:val="Lienhypertexte"/>
            <w:b/>
            <w:bCs/>
            <w:noProof/>
          </w:rPr>
          <w:t>Liaisons entre modules et systèmes d'amarrage des vaisseaux</w:t>
        </w:r>
        <w:r>
          <w:rPr>
            <w:noProof/>
            <w:webHidden/>
          </w:rPr>
          <w:tab/>
        </w:r>
        <w:r>
          <w:rPr>
            <w:noProof/>
            <w:webHidden/>
          </w:rPr>
          <w:fldChar w:fldCharType="begin"/>
        </w:r>
        <w:r>
          <w:rPr>
            <w:noProof/>
            <w:webHidden/>
          </w:rPr>
          <w:instrText xml:space="preserve"> PAGEREF _Toc133137887 \h </w:instrText>
        </w:r>
        <w:r>
          <w:rPr>
            <w:noProof/>
            <w:webHidden/>
          </w:rPr>
        </w:r>
        <w:r>
          <w:rPr>
            <w:noProof/>
            <w:webHidden/>
          </w:rPr>
          <w:fldChar w:fldCharType="separate"/>
        </w:r>
        <w:r>
          <w:rPr>
            <w:noProof/>
            <w:webHidden/>
          </w:rPr>
          <w:t>14</w:t>
        </w:r>
        <w:r>
          <w:rPr>
            <w:noProof/>
            <w:webHidden/>
          </w:rPr>
          <w:fldChar w:fldCharType="end"/>
        </w:r>
      </w:hyperlink>
    </w:p>
    <w:p w14:paraId="7309732C" w14:textId="26E15FB3" w:rsidR="00B876E3" w:rsidRDefault="00B876E3">
      <w:pPr>
        <w:pStyle w:val="TM4"/>
        <w:tabs>
          <w:tab w:val="right" w:leader="dot" w:pos="9062"/>
        </w:tabs>
        <w:rPr>
          <w:rFonts w:eastAsiaTheme="minorEastAsia"/>
          <w:noProof/>
          <w:lang w:eastAsia="fr-FR"/>
        </w:rPr>
      </w:pPr>
      <w:hyperlink w:anchor="_Toc133137888" w:history="1">
        <w:r w:rsidRPr="00331A57">
          <w:rPr>
            <w:rStyle w:val="Lienhypertexte"/>
            <w:b/>
            <w:bCs/>
            <w:noProof/>
          </w:rPr>
          <w:t>Modules russes Zvezda et Zarya</w:t>
        </w:r>
        <w:r>
          <w:rPr>
            <w:noProof/>
            <w:webHidden/>
          </w:rPr>
          <w:tab/>
        </w:r>
        <w:r>
          <w:rPr>
            <w:noProof/>
            <w:webHidden/>
          </w:rPr>
          <w:fldChar w:fldCharType="begin"/>
        </w:r>
        <w:r>
          <w:rPr>
            <w:noProof/>
            <w:webHidden/>
          </w:rPr>
          <w:instrText xml:space="preserve"> PAGEREF _Toc133137888 \h </w:instrText>
        </w:r>
        <w:r>
          <w:rPr>
            <w:noProof/>
            <w:webHidden/>
          </w:rPr>
        </w:r>
        <w:r>
          <w:rPr>
            <w:noProof/>
            <w:webHidden/>
          </w:rPr>
          <w:fldChar w:fldCharType="separate"/>
        </w:r>
        <w:r>
          <w:rPr>
            <w:noProof/>
            <w:webHidden/>
          </w:rPr>
          <w:t>14</w:t>
        </w:r>
        <w:r>
          <w:rPr>
            <w:noProof/>
            <w:webHidden/>
          </w:rPr>
          <w:fldChar w:fldCharType="end"/>
        </w:r>
      </w:hyperlink>
    </w:p>
    <w:p w14:paraId="4C945DEA" w14:textId="62CEEFDC" w:rsidR="00B876E3" w:rsidRDefault="00B876E3">
      <w:pPr>
        <w:pStyle w:val="TM4"/>
        <w:tabs>
          <w:tab w:val="right" w:leader="dot" w:pos="9062"/>
        </w:tabs>
        <w:rPr>
          <w:rFonts w:eastAsiaTheme="minorEastAsia"/>
          <w:noProof/>
          <w:lang w:eastAsia="fr-FR"/>
        </w:rPr>
      </w:pPr>
      <w:hyperlink w:anchor="_Toc133137889" w:history="1">
        <w:r w:rsidRPr="00331A57">
          <w:rPr>
            <w:rStyle w:val="Lienhypertexte"/>
            <w:b/>
            <w:bCs/>
            <w:noProof/>
          </w:rPr>
          <w:t>Modules de type nœud</w:t>
        </w:r>
        <w:r>
          <w:rPr>
            <w:noProof/>
            <w:webHidden/>
          </w:rPr>
          <w:tab/>
        </w:r>
        <w:r>
          <w:rPr>
            <w:noProof/>
            <w:webHidden/>
          </w:rPr>
          <w:fldChar w:fldCharType="begin"/>
        </w:r>
        <w:r>
          <w:rPr>
            <w:noProof/>
            <w:webHidden/>
          </w:rPr>
          <w:instrText xml:space="preserve"> PAGEREF _Toc133137889 \h </w:instrText>
        </w:r>
        <w:r>
          <w:rPr>
            <w:noProof/>
            <w:webHidden/>
          </w:rPr>
        </w:r>
        <w:r>
          <w:rPr>
            <w:noProof/>
            <w:webHidden/>
          </w:rPr>
          <w:fldChar w:fldCharType="separate"/>
        </w:r>
        <w:r>
          <w:rPr>
            <w:noProof/>
            <w:webHidden/>
          </w:rPr>
          <w:t>15</w:t>
        </w:r>
        <w:r>
          <w:rPr>
            <w:noProof/>
            <w:webHidden/>
          </w:rPr>
          <w:fldChar w:fldCharType="end"/>
        </w:r>
      </w:hyperlink>
    </w:p>
    <w:p w14:paraId="72E3A874" w14:textId="68FDFA77" w:rsidR="00B876E3" w:rsidRDefault="00B876E3">
      <w:pPr>
        <w:pStyle w:val="TM4"/>
        <w:tabs>
          <w:tab w:val="right" w:leader="dot" w:pos="9062"/>
        </w:tabs>
        <w:rPr>
          <w:rFonts w:eastAsiaTheme="minorEastAsia"/>
          <w:noProof/>
          <w:lang w:eastAsia="fr-FR"/>
        </w:rPr>
      </w:pPr>
      <w:hyperlink w:anchor="_Toc133137890" w:history="1">
        <w:r w:rsidRPr="00331A57">
          <w:rPr>
            <w:rStyle w:val="Lienhypertexte"/>
            <w:b/>
            <w:bCs/>
            <w:noProof/>
          </w:rPr>
          <w:t>Modules laboratoires</w:t>
        </w:r>
        <w:r>
          <w:rPr>
            <w:noProof/>
            <w:webHidden/>
          </w:rPr>
          <w:tab/>
        </w:r>
        <w:r>
          <w:rPr>
            <w:noProof/>
            <w:webHidden/>
          </w:rPr>
          <w:fldChar w:fldCharType="begin"/>
        </w:r>
        <w:r>
          <w:rPr>
            <w:noProof/>
            <w:webHidden/>
          </w:rPr>
          <w:instrText xml:space="preserve"> PAGEREF _Toc133137890 \h </w:instrText>
        </w:r>
        <w:r>
          <w:rPr>
            <w:noProof/>
            <w:webHidden/>
          </w:rPr>
        </w:r>
        <w:r>
          <w:rPr>
            <w:noProof/>
            <w:webHidden/>
          </w:rPr>
          <w:fldChar w:fldCharType="separate"/>
        </w:r>
        <w:r>
          <w:rPr>
            <w:noProof/>
            <w:webHidden/>
          </w:rPr>
          <w:t>16</w:t>
        </w:r>
        <w:r>
          <w:rPr>
            <w:noProof/>
            <w:webHidden/>
          </w:rPr>
          <w:fldChar w:fldCharType="end"/>
        </w:r>
      </w:hyperlink>
    </w:p>
    <w:p w14:paraId="22C2712A" w14:textId="4C94DA59" w:rsidR="00B876E3" w:rsidRDefault="00B876E3">
      <w:pPr>
        <w:pStyle w:val="TM4"/>
        <w:tabs>
          <w:tab w:val="right" w:leader="dot" w:pos="9062"/>
        </w:tabs>
        <w:rPr>
          <w:rFonts w:eastAsiaTheme="minorEastAsia"/>
          <w:noProof/>
          <w:lang w:eastAsia="fr-FR"/>
        </w:rPr>
      </w:pPr>
      <w:hyperlink w:anchor="_Toc133137891" w:history="1">
        <w:r w:rsidRPr="00331A57">
          <w:rPr>
            <w:rStyle w:val="Lienhypertexte"/>
            <w:b/>
            <w:bCs/>
            <w:noProof/>
          </w:rPr>
          <w:t>Compartiments d'amarrage russes</w:t>
        </w:r>
        <w:r>
          <w:rPr>
            <w:noProof/>
            <w:webHidden/>
          </w:rPr>
          <w:tab/>
        </w:r>
        <w:r>
          <w:rPr>
            <w:noProof/>
            <w:webHidden/>
          </w:rPr>
          <w:fldChar w:fldCharType="begin"/>
        </w:r>
        <w:r>
          <w:rPr>
            <w:noProof/>
            <w:webHidden/>
          </w:rPr>
          <w:instrText xml:space="preserve"> PAGEREF _Toc133137891 \h </w:instrText>
        </w:r>
        <w:r>
          <w:rPr>
            <w:noProof/>
            <w:webHidden/>
          </w:rPr>
        </w:r>
        <w:r>
          <w:rPr>
            <w:noProof/>
            <w:webHidden/>
          </w:rPr>
          <w:fldChar w:fldCharType="separate"/>
        </w:r>
        <w:r>
          <w:rPr>
            <w:noProof/>
            <w:webHidden/>
          </w:rPr>
          <w:t>16</w:t>
        </w:r>
        <w:r>
          <w:rPr>
            <w:noProof/>
            <w:webHidden/>
          </w:rPr>
          <w:fldChar w:fldCharType="end"/>
        </w:r>
      </w:hyperlink>
    </w:p>
    <w:p w14:paraId="187C1806" w14:textId="0F81EEDD" w:rsidR="00B876E3" w:rsidRDefault="00B876E3">
      <w:pPr>
        <w:pStyle w:val="TM4"/>
        <w:tabs>
          <w:tab w:val="right" w:leader="dot" w:pos="9062"/>
        </w:tabs>
        <w:rPr>
          <w:rFonts w:eastAsiaTheme="minorEastAsia"/>
          <w:noProof/>
          <w:lang w:eastAsia="fr-FR"/>
        </w:rPr>
      </w:pPr>
      <w:hyperlink w:anchor="_Toc133137892" w:history="1">
        <w:r w:rsidRPr="00331A57">
          <w:rPr>
            <w:rStyle w:val="Lienhypertexte"/>
            <w:b/>
            <w:bCs/>
            <w:noProof/>
          </w:rPr>
          <w:t>Sas américain Quest</w:t>
        </w:r>
        <w:r>
          <w:rPr>
            <w:noProof/>
            <w:webHidden/>
          </w:rPr>
          <w:tab/>
        </w:r>
        <w:r>
          <w:rPr>
            <w:noProof/>
            <w:webHidden/>
          </w:rPr>
          <w:fldChar w:fldCharType="begin"/>
        </w:r>
        <w:r>
          <w:rPr>
            <w:noProof/>
            <w:webHidden/>
          </w:rPr>
          <w:instrText xml:space="preserve"> PAGEREF _Toc133137892 \h </w:instrText>
        </w:r>
        <w:r>
          <w:rPr>
            <w:noProof/>
            <w:webHidden/>
          </w:rPr>
        </w:r>
        <w:r>
          <w:rPr>
            <w:noProof/>
            <w:webHidden/>
          </w:rPr>
          <w:fldChar w:fldCharType="separate"/>
        </w:r>
        <w:r>
          <w:rPr>
            <w:noProof/>
            <w:webHidden/>
          </w:rPr>
          <w:t>16</w:t>
        </w:r>
        <w:r>
          <w:rPr>
            <w:noProof/>
            <w:webHidden/>
          </w:rPr>
          <w:fldChar w:fldCharType="end"/>
        </w:r>
      </w:hyperlink>
    </w:p>
    <w:p w14:paraId="6BB267C2" w14:textId="42F64E6C" w:rsidR="00B876E3" w:rsidRDefault="00B876E3">
      <w:pPr>
        <w:pStyle w:val="TM4"/>
        <w:tabs>
          <w:tab w:val="right" w:leader="dot" w:pos="9062"/>
        </w:tabs>
        <w:rPr>
          <w:rFonts w:eastAsiaTheme="minorEastAsia"/>
          <w:noProof/>
          <w:lang w:eastAsia="fr-FR"/>
        </w:rPr>
      </w:pPr>
      <w:hyperlink w:anchor="_Toc133137893" w:history="1">
        <w:r w:rsidRPr="00331A57">
          <w:rPr>
            <w:rStyle w:val="Lienhypertexte"/>
            <w:b/>
            <w:bCs/>
            <w:noProof/>
          </w:rPr>
          <w:t>Module Logistique Multi-Usages Leonardo</w:t>
        </w:r>
        <w:r>
          <w:rPr>
            <w:noProof/>
            <w:webHidden/>
          </w:rPr>
          <w:tab/>
        </w:r>
        <w:r>
          <w:rPr>
            <w:noProof/>
            <w:webHidden/>
          </w:rPr>
          <w:fldChar w:fldCharType="begin"/>
        </w:r>
        <w:r>
          <w:rPr>
            <w:noProof/>
            <w:webHidden/>
          </w:rPr>
          <w:instrText xml:space="preserve"> PAGEREF _Toc133137893 \h </w:instrText>
        </w:r>
        <w:r>
          <w:rPr>
            <w:noProof/>
            <w:webHidden/>
          </w:rPr>
        </w:r>
        <w:r>
          <w:rPr>
            <w:noProof/>
            <w:webHidden/>
          </w:rPr>
          <w:fldChar w:fldCharType="separate"/>
        </w:r>
        <w:r>
          <w:rPr>
            <w:noProof/>
            <w:webHidden/>
          </w:rPr>
          <w:t>17</w:t>
        </w:r>
        <w:r>
          <w:rPr>
            <w:noProof/>
            <w:webHidden/>
          </w:rPr>
          <w:fldChar w:fldCharType="end"/>
        </w:r>
      </w:hyperlink>
    </w:p>
    <w:p w14:paraId="3643658E" w14:textId="60812E23" w:rsidR="00B876E3" w:rsidRDefault="00B876E3">
      <w:pPr>
        <w:pStyle w:val="TM3"/>
        <w:tabs>
          <w:tab w:val="right" w:leader="dot" w:pos="9062"/>
        </w:tabs>
        <w:rPr>
          <w:rFonts w:eastAsiaTheme="minorEastAsia"/>
          <w:noProof/>
          <w:lang w:eastAsia="fr-FR"/>
        </w:rPr>
      </w:pPr>
      <w:hyperlink w:anchor="_Toc133137894" w:history="1">
        <w:r w:rsidRPr="00331A57">
          <w:rPr>
            <w:rStyle w:val="Lienhypertexte"/>
            <w:b/>
            <w:bCs/>
            <w:noProof/>
          </w:rPr>
          <w:t>Parties non pressurisées</w:t>
        </w:r>
        <w:r>
          <w:rPr>
            <w:noProof/>
            <w:webHidden/>
          </w:rPr>
          <w:tab/>
        </w:r>
        <w:r>
          <w:rPr>
            <w:noProof/>
            <w:webHidden/>
          </w:rPr>
          <w:fldChar w:fldCharType="begin"/>
        </w:r>
        <w:r>
          <w:rPr>
            <w:noProof/>
            <w:webHidden/>
          </w:rPr>
          <w:instrText xml:space="preserve"> PAGEREF _Toc133137894 \h </w:instrText>
        </w:r>
        <w:r>
          <w:rPr>
            <w:noProof/>
            <w:webHidden/>
          </w:rPr>
        </w:r>
        <w:r>
          <w:rPr>
            <w:noProof/>
            <w:webHidden/>
          </w:rPr>
          <w:fldChar w:fldCharType="separate"/>
        </w:r>
        <w:r>
          <w:rPr>
            <w:noProof/>
            <w:webHidden/>
          </w:rPr>
          <w:t>17</w:t>
        </w:r>
        <w:r>
          <w:rPr>
            <w:noProof/>
            <w:webHidden/>
          </w:rPr>
          <w:fldChar w:fldCharType="end"/>
        </w:r>
      </w:hyperlink>
    </w:p>
    <w:p w14:paraId="529BB79A" w14:textId="4335390C" w:rsidR="00B876E3" w:rsidRDefault="00B876E3">
      <w:pPr>
        <w:pStyle w:val="TM4"/>
        <w:tabs>
          <w:tab w:val="right" w:leader="dot" w:pos="9062"/>
        </w:tabs>
        <w:rPr>
          <w:rFonts w:eastAsiaTheme="minorEastAsia"/>
          <w:noProof/>
          <w:lang w:eastAsia="fr-FR"/>
        </w:rPr>
      </w:pPr>
      <w:hyperlink w:anchor="_Toc133137895" w:history="1">
        <w:r w:rsidRPr="00331A57">
          <w:rPr>
            <w:rStyle w:val="Lienhypertexte"/>
            <w:b/>
            <w:bCs/>
            <w:noProof/>
          </w:rPr>
          <w:t>Poutre</w:t>
        </w:r>
        <w:r>
          <w:rPr>
            <w:noProof/>
            <w:webHidden/>
          </w:rPr>
          <w:tab/>
        </w:r>
        <w:r>
          <w:rPr>
            <w:noProof/>
            <w:webHidden/>
          </w:rPr>
          <w:fldChar w:fldCharType="begin"/>
        </w:r>
        <w:r>
          <w:rPr>
            <w:noProof/>
            <w:webHidden/>
          </w:rPr>
          <w:instrText xml:space="preserve"> PAGEREF _Toc133137895 \h </w:instrText>
        </w:r>
        <w:r>
          <w:rPr>
            <w:noProof/>
            <w:webHidden/>
          </w:rPr>
        </w:r>
        <w:r>
          <w:rPr>
            <w:noProof/>
            <w:webHidden/>
          </w:rPr>
          <w:fldChar w:fldCharType="separate"/>
        </w:r>
        <w:r>
          <w:rPr>
            <w:noProof/>
            <w:webHidden/>
          </w:rPr>
          <w:t>17</w:t>
        </w:r>
        <w:r>
          <w:rPr>
            <w:noProof/>
            <w:webHidden/>
          </w:rPr>
          <w:fldChar w:fldCharType="end"/>
        </w:r>
      </w:hyperlink>
    </w:p>
    <w:p w14:paraId="3ADF5F92" w14:textId="638B6D5F" w:rsidR="00B876E3" w:rsidRDefault="00B876E3">
      <w:pPr>
        <w:pStyle w:val="TM4"/>
        <w:tabs>
          <w:tab w:val="right" w:leader="dot" w:pos="9062"/>
        </w:tabs>
        <w:rPr>
          <w:rFonts w:eastAsiaTheme="minorEastAsia"/>
          <w:noProof/>
          <w:lang w:eastAsia="fr-FR"/>
        </w:rPr>
      </w:pPr>
      <w:hyperlink w:anchor="_Toc133137896" w:history="1">
        <w:r w:rsidRPr="00331A57">
          <w:rPr>
            <w:rStyle w:val="Lienhypertexte"/>
            <w:b/>
            <w:bCs/>
            <w:noProof/>
          </w:rPr>
          <w:t>Bras et robots télémanipulateurs</w:t>
        </w:r>
        <w:r>
          <w:rPr>
            <w:noProof/>
            <w:webHidden/>
          </w:rPr>
          <w:tab/>
        </w:r>
        <w:r>
          <w:rPr>
            <w:noProof/>
            <w:webHidden/>
          </w:rPr>
          <w:fldChar w:fldCharType="begin"/>
        </w:r>
        <w:r>
          <w:rPr>
            <w:noProof/>
            <w:webHidden/>
          </w:rPr>
          <w:instrText xml:space="preserve"> PAGEREF _Toc133137896 \h </w:instrText>
        </w:r>
        <w:r>
          <w:rPr>
            <w:noProof/>
            <w:webHidden/>
          </w:rPr>
        </w:r>
        <w:r>
          <w:rPr>
            <w:noProof/>
            <w:webHidden/>
          </w:rPr>
          <w:fldChar w:fldCharType="separate"/>
        </w:r>
        <w:r>
          <w:rPr>
            <w:noProof/>
            <w:webHidden/>
          </w:rPr>
          <w:t>17</w:t>
        </w:r>
        <w:r>
          <w:rPr>
            <w:noProof/>
            <w:webHidden/>
          </w:rPr>
          <w:fldChar w:fldCharType="end"/>
        </w:r>
      </w:hyperlink>
    </w:p>
    <w:p w14:paraId="2662289A" w14:textId="564126C9" w:rsidR="00B876E3" w:rsidRDefault="00B876E3">
      <w:pPr>
        <w:pStyle w:val="TM2"/>
        <w:tabs>
          <w:tab w:val="right" w:leader="dot" w:pos="9062"/>
        </w:tabs>
        <w:rPr>
          <w:rFonts w:eastAsiaTheme="minorEastAsia"/>
          <w:noProof/>
          <w:lang w:eastAsia="fr-FR"/>
        </w:rPr>
      </w:pPr>
      <w:hyperlink w:anchor="_Toc133137897" w:history="1">
        <w:r w:rsidRPr="00331A57">
          <w:rPr>
            <w:rStyle w:val="Lienhypertexte"/>
            <w:b/>
            <w:bCs/>
            <w:noProof/>
          </w:rPr>
          <w:t>Énergie</w:t>
        </w:r>
        <w:r>
          <w:rPr>
            <w:noProof/>
            <w:webHidden/>
          </w:rPr>
          <w:tab/>
        </w:r>
        <w:r>
          <w:rPr>
            <w:noProof/>
            <w:webHidden/>
          </w:rPr>
          <w:fldChar w:fldCharType="begin"/>
        </w:r>
        <w:r>
          <w:rPr>
            <w:noProof/>
            <w:webHidden/>
          </w:rPr>
          <w:instrText xml:space="preserve"> PAGEREF _Toc133137897 \h </w:instrText>
        </w:r>
        <w:r>
          <w:rPr>
            <w:noProof/>
            <w:webHidden/>
          </w:rPr>
        </w:r>
        <w:r>
          <w:rPr>
            <w:noProof/>
            <w:webHidden/>
          </w:rPr>
          <w:fldChar w:fldCharType="separate"/>
        </w:r>
        <w:r>
          <w:rPr>
            <w:noProof/>
            <w:webHidden/>
          </w:rPr>
          <w:t>18</w:t>
        </w:r>
        <w:r>
          <w:rPr>
            <w:noProof/>
            <w:webHidden/>
          </w:rPr>
          <w:fldChar w:fldCharType="end"/>
        </w:r>
      </w:hyperlink>
    </w:p>
    <w:p w14:paraId="1EBC5724" w14:textId="707AD940" w:rsidR="00B876E3" w:rsidRDefault="00B876E3">
      <w:pPr>
        <w:pStyle w:val="TM2"/>
        <w:tabs>
          <w:tab w:val="right" w:leader="dot" w:pos="9062"/>
        </w:tabs>
        <w:rPr>
          <w:rFonts w:eastAsiaTheme="minorEastAsia"/>
          <w:noProof/>
          <w:lang w:eastAsia="fr-FR"/>
        </w:rPr>
      </w:pPr>
      <w:hyperlink w:anchor="_Toc133137898" w:history="1">
        <w:r w:rsidRPr="00331A57">
          <w:rPr>
            <w:rStyle w:val="Lienhypertexte"/>
            <w:b/>
            <w:bCs/>
            <w:noProof/>
          </w:rPr>
          <w:t>Contrôle thermique</w:t>
        </w:r>
        <w:r>
          <w:rPr>
            <w:noProof/>
            <w:webHidden/>
          </w:rPr>
          <w:tab/>
        </w:r>
        <w:r>
          <w:rPr>
            <w:noProof/>
            <w:webHidden/>
          </w:rPr>
          <w:fldChar w:fldCharType="begin"/>
        </w:r>
        <w:r>
          <w:rPr>
            <w:noProof/>
            <w:webHidden/>
          </w:rPr>
          <w:instrText xml:space="preserve"> PAGEREF _Toc133137898 \h </w:instrText>
        </w:r>
        <w:r>
          <w:rPr>
            <w:noProof/>
            <w:webHidden/>
          </w:rPr>
        </w:r>
        <w:r>
          <w:rPr>
            <w:noProof/>
            <w:webHidden/>
          </w:rPr>
          <w:fldChar w:fldCharType="separate"/>
        </w:r>
        <w:r>
          <w:rPr>
            <w:noProof/>
            <w:webHidden/>
          </w:rPr>
          <w:t>19</w:t>
        </w:r>
        <w:r>
          <w:rPr>
            <w:noProof/>
            <w:webHidden/>
          </w:rPr>
          <w:fldChar w:fldCharType="end"/>
        </w:r>
      </w:hyperlink>
    </w:p>
    <w:p w14:paraId="3A67C696" w14:textId="22D106FA" w:rsidR="00B876E3" w:rsidRDefault="00B876E3">
      <w:pPr>
        <w:pStyle w:val="TM2"/>
        <w:tabs>
          <w:tab w:val="right" w:leader="dot" w:pos="9062"/>
        </w:tabs>
        <w:rPr>
          <w:rFonts w:eastAsiaTheme="minorEastAsia"/>
          <w:noProof/>
          <w:lang w:eastAsia="fr-FR"/>
        </w:rPr>
      </w:pPr>
      <w:hyperlink w:anchor="_Toc133137899" w:history="1">
        <w:r w:rsidRPr="00331A57">
          <w:rPr>
            <w:rStyle w:val="Lienhypertexte"/>
            <w:b/>
            <w:bCs/>
            <w:noProof/>
          </w:rPr>
          <w:t>Télécommunications</w:t>
        </w:r>
        <w:r>
          <w:rPr>
            <w:noProof/>
            <w:webHidden/>
          </w:rPr>
          <w:tab/>
        </w:r>
        <w:r>
          <w:rPr>
            <w:noProof/>
            <w:webHidden/>
          </w:rPr>
          <w:fldChar w:fldCharType="begin"/>
        </w:r>
        <w:r>
          <w:rPr>
            <w:noProof/>
            <w:webHidden/>
          </w:rPr>
          <w:instrText xml:space="preserve"> PAGEREF _Toc133137899 \h </w:instrText>
        </w:r>
        <w:r>
          <w:rPr>
            <w:noProof/>
            <w:webHidden/>
          </w:rPr>
        </w:r>
        <w:r>
          <w:rPr>
            <w:noProof/>
            <w:webHidden/>
          </w:rPr>
          <w:fldChar w:fldCharType="separate"/>
        </w:r>
        <w:r>
          <w:rPr>
            <w:noProof/>
            <w:webHidden/>
          </w:rPr>
          <w:t>20</w:t>
        </w:r>
        <w:r>
          <w:rPr>
            <w:noProof/>
            <w:webHidden/>
          </w:rPr>
          <w:fldChar w:fldCharType="end"/>
        </w:r>
      </w:hyperlink>
    </w:p>
    <w:p w14:paraId="3A3A3F69" w14:textId="2488BB4F" w:rsidR="00B876E3" w:rsidRDefault="00B876E3">
      <w:pPr>
        <w:pStyle w:val="TM2"/>
        <w:tabs>
          <w:tab w:val="right" w:leader="dot" w:pos="9062"/>
        </w:tabs>
        <w:rPr>
          <w:rFonts w:eastAsiaTheme="minorEastAsia"/>
          <w:noProof/>
          <w:lang w:eastAsia="fr-FR"/>
        </w:rPr>
      </w:pPr>
      <w:hyperlink w:anchor="_Toc133137900" w:history="1">
        <w:r w:rsidRPr="00331A57">
          <w:rPr>
            <w:rStyle w:val="Lienhypertexte"/>
            <w:b/>
            <w:bCs/>
            <w:noProof/>
          </w:rPr>
          <w:t>Informatique embarquée</w:t>
        </w:r>
        <w:r>
          <w:rPr>
            <w:noProof/>
            <w:webHidden/>
          </w:rPr>
          <w:tab/>
        </w:r>
        <w:r>
          <w:rPr>
            <w:noProof/>
            <w:webHidden/>
          </w:rPr>
          <w:fldChar w:fldCharType="begin"/>
        </w:r>
        <w:r>
          <w:rPr>
            <w:noProof/>
            <w:webHidden/>
          </w:rPr>
          <w:instrText xml:space="preserve"> PAGEREF _Toc133137900 \h </w:instrText>
        </w:r>
        <w:r>
          <w:rPr>
            <w:noProof/>
            <w:webHidden/>
          </w:rPr>
        </w:r>
        <w:r>
          <w:rPr>
            <w:noProof/>
            <w:webHidden/>
          </w:rPr>
          <w:fldChar w:fldCharType="separate"/>
        </w:r>
        <w:r>
          <w:rPr>
            <w:noProof/>
            <w:webHidden/>
          </w:rPr>
          <w:t>21</w:t>
        </w:r>
        <w:r>
          <w:rPr>
            <w:noProof/>
            <w:webHidden/>
          </w:rPr>
          <w:fldChar w:fldCharType="end"/>
        </w:r>
      </w:hyperlink>
    </w:p>
    <w:p w14:paraId="679F6D98" w14:textId="403DF6EC" w:rsidR="00B876E3" w:rsidRDefault="00B876E3">
      <w:pPr>
        <w:pStyle w:val="TM2"/>
        <w:tabs>
          <w:tab w:val="right" w:leader="dot" w:pos="9062"/>
        </w:tabs>
        <w:rPr>
          <w:rFonts w:eastAsiaTheme="minorEastAsia"/>
          <w:noProof/>
          <w:lang w:eastAsia="fr-FR"/>
        </w:rPr>
      </w:pPr>
      <w:hyperlink w:anchor="_Toc133137901" w:history="1">
        <w:r w:rsidRPr="00331A57">
          <w:rPr>
            <w:rStyle w:val="Lienhypertexte"/>
            <w:b/>
            <w:bCs/>
            <w:noProof/>
          </w:rPr>
          <w:t>Système de support de vie</w:t>
        </w:r>
        <w:r>
          <w:rPr>
            <w:noProof/>
            <w:webHidden/>
          </w:rPr>
          <w:tab/>
        </w:r>
        <w:r>
          <w:rPr>
            <w:noProof/>
            <w:webHidden/>
          </w:rPr>
          <w:fldChar w:fldCharType="begin"/>
        </w:r>
        <w:r>
          <w:rPr>
            <w:noProof/>
            <w:webHidden/>
          </w:rPr>
          <w:instrText xml:space="preserve"> PAGEREF _Toc133137901 \h </w:instrText>
        </w:r>
        <w:r>
          <w:rPr>
            <w:noProof/>
            <w:webHidden/>
          </w:rPr>
        </w:r>
        <w:r>
          <w:rPr>
            <w:noProof/>
            <w:webHidden/>
          </w:rPr>
          <w:fldChar w:fldCharType="separate"/>
        </w:r>
        <w:r>
          <w:rPr>
            <w:noProof/>
            <w:webHidden/>
          </w:rPr>
          <w:t>21</w:t>
        </w:r>
        <w:r>
          <w:rPr>
            <w:noProof/>
            <w:webHidden/>
          </w:rPr>
          <w:fldChar w:fldCharType="end"/>
        </w:r>
      </w:hyperlink>
    </w:p>
    <w:p w14:paraId="6A3C40E0" w14:textId="10A44EC4" w:rsidR="00B876E3" w:rsidRDefault="00B876E3">
      <w:pPr>
        <w:pStyle w:val="TM3"/>
        <w:tabs>
          <w:tab w:val="right" w:leader="dot" w:pos="9062"/>
        </w:tabs>
        <w:rPr>
          <w:rFonts w:eastAsiaTheme="minorEastAsia"/>
          <w:noProof/>
          <w:lang w:eastAsia="fr-FR"/>
        </w:rPr>
      </w:pPr>
      <w:hyperlink w:anchor="_Toc133137902" w:history="1">
        <w:r w:rsidRPr="00331A57">
          <w:rPr>
            <w:rStyle w:val="Lienhypertexte"/>
            <w:b/>
            <w:bCs/>
            <w:noProof/>
          </w:rPr>
          <w:t>Opérations de maintenance et d'entretien</w:t>
        </w:r>
        <w:r>
          <w:rPr>
            <w:noProof/>
            <w:webHidden/>
          </w:rPr>
          <w:tab/>
        </w:r>
        <w:r>
          <w:rPr>
            <w:noProof/>
            <w:webHidden/>
          </w:rPr>
          <w:fldChar w:fldCharType="begin"/>
        </w:r>
        <w:r>
          <w:rPr>
            <w:noProof/>
            <w:webHidden/>
          </w:rPr>
          <w:instrText xml:space="preserve"> PAGEREF _Toc133137902 \h </w:instrText>
        </w:r>
        <w:r>
          <w:rPr>
            <w:noProof/>
            <w:webHidden/>
          </w:rPr>
        </w:r>
        <w:r>
          <w:rPr>
            <w:noProof/>
            <w:webHidden/>
          </w:rPr>
          <w:fldChar w:fldCharType="separate"/>
        </w:r>
        <w:r>
          <w:rPr>
            <w:noProof/>
            <w:webHidden/>
          </w:rPr>
          <w:t>22</w:t>
        </w:r>
        <w:r>
          <w:rPr>
            <w:noProof/>
            <w:webHidden/>
          </w:rPr>
          <w:fldChar w:fldCharType="end"/>
        </w:r>
      </w:hyperlink>
    </w:p>
    <w:p w14:paraId="2491B75B" w14:textId="6C3E0AC8" w:rsidR="00B876E3" w:rsidRDefault="00B876E3">
      <w:pPr>
        <w:pStyle w:val="TM2"/>
        <w:tabs>
          <w:tab w:val="right" w:leader="dot" w:pos="9062"/>
        </w:tabs>
        <w:rPr>
          <w:rFonts w:eastAsiaTheme="minorEastAsia"/>
          <w:noProof/>
          <w:lang w:eastAsia="fr-FR"/>
        </w:rPr>
      </w:pPr>
      <w:hyperlink w:anchor="_Toc133137903" w:history="1">
        <w:r w:rsidRPr="00331A57">
          <w:rPr>
            <w:rStyle w:val="Lienhypertexte"/>
            <w:b/>
            <w:bCs/>
            <w:noProof/>
          </w:rPr>
          <w:t>Risques et gestion des risques</w:t>
        </w:r>
        <w:r>
          <w:rPr>
            <w:noProof/>
            <w:webHidden/>
          </w:rPr>
          <w:tab/>
        </w:r>
        <w:r>
          <w:rPr>
            <w:noProof/>
            <w:webHidden/>
          </w:rPr>
          <w:fldChar w:fldCharType="begin"/>
        </w:r>
        <w:r>
          <w:rPr>
            <w:noProof/>
            <w:webHidden/>
          </w:rPr>
          <w:instrText xml:space="preserve"> PAGEREF _Toc133137903 \h </w:instrText>
        </w:r>
        <w:r>
          <w:rPr>
            <w:noProof/>
            <w:webHidden/>
          </w:rPr>
        </w:r>
        <w:r>
          <w:rPr>
            <w:noProof/>
            <w:webHidden/>
          </w:rPr>
          <w:fldChar w:fldCharType="separate"/>
        </w:r>
        <w:r>
          <w:rPr>
            <w:noProof/>
            <w:webHidden/>
          </w:rPr>
          <w:t>23</w:t>
        </w:r>
        <w:r>
          <w:rPr>
            <w:noProof/>
            <w:webHidden/>
          </w:rPr>
          <w:fldChar w:fldCharType="end"/>
        </w:r>
      </w:hyperlink>
    </w:p>
    <w:p w14:paraId="0533D9B5" w14:textId="64C54EE9" w:rsidR="00B876E3" w:rsidRDefault="00B876E3">
      <w:pPr>
        <w:pStyle w:val="TM3"/>
        <w:tabs>
          <w:tab w:val="right" w:leader="dot" w:pos="9062"/>
        </w:tabs>
        <w:rPr>
          <w:rFonts w:eastAsiaTheme="minorEastAsia"/>
          <w:noProof/>
          <w:lang w:eastAsia="fr-FR"/>
        </w:rPr>
      </w:pPr>
      <w:hyperlink w:anchor="_Toc133137904" w:history="1">
        <w:r w:rsidRPr="00331A57">
          <w:rPr>
            <w:rStyle w:val="Lienhypertexte"/>
            <w:b/>
            <w:bCs/>
            <w:noProof/>
          </w:rPr>
          <w:t>Menace des débris spatiaux et des micrométéorites</w:t>
        </w:r>
        <w:r>
          <w:rPr>
            <w:noProof/>
            <w:webHidden/>
          </w:rPr>
          <w:tab/>
        </w:r>
        <w:r>
          <w:rPr>
            <w:noProof/>
            <w:webHidden/>
          </w:rPr>
          <w:fldChar w:fldCharType="begin"/>
        </w:r>
        <w:r>
          <w:rPr>
            <w:noProof/>
            <w:webHidden/>
          </w:rPr>
          <w:instrText xml:space="preserve"> PAGEREF _Toc133137904 \h </w:instrText>
        </w:r>
        <w:r>
          <w:rPr>
            <w:noProof/>
            <w:webHidden/>
          </w:rPr>
        </w:r>
        <w:r>
          <w:rPr>
            <w:noProof/>
            <w:webHidden/>
          </w:rPr>
          <w:fldChar w:fldCharType="separate"/>
        </w:r>
        <w:r>
          <w:rPr>
            <w:noProof/>
            <w:webHidden/>
          </w:rPr>
          <w:t>23</w:t>
        </w:r>
        <w:r>
          <w:rPr>
            <w:noProof/>
            <w:webHidden/>
          </w:rPr>
          <w:fldChar w:fldCharType="end"/>
        </w:r>
      </w:hyperlink>
    </w:p>
    <w:p w14:paraId="31339859" w14:textId="0C13F46A" w:rsidR="00B876E3" w:rsidRDefault="00B876E3">
      <w:pPr>
        <w:pStyle w:val="TM3"/>
        <w:tabs>
          <w:tab w:val="right" w:leader="dot" w:pos="9062"/>
        </w:tabs>
        <w:rPr>
          <w:rFonts w:eastAsiaTheme="minorEastAsia"/>
          <w:noProof/>
          <w:lang w:eastAsia="fr-FR"/>
        </w:rPr>
      </w:pPr>
      <w:hyperlink w:anchor="_Toc133137905" w:history="1">
        <w:r w:rsidRPr="00331A57">
          <w:rPr>
            <w:rStyle w:val="Lienhypertexte"/>
            <w:b/>
            <w:bCs/>
            <w:noProof/>
          </w:rPr>
          <w:t>Autres risques</w:t>
        </w:r>
        <w:r>
          <w:rPr>
            <w:noProof/>
            <w:webHidden/>
          </w:rPr>
          <w:tab/>
        </w:r>
        <w:r>
          <w:rPr>
            <w:noProof/>
            <w:webHidden/>
          </w:rPr>
          <w:fldChar w:fldCharType="begin"/>
        </w:r>
        <w:r>
          <w:rPr>
            <w:noProof/>
            <w:webHidden/>
          </w:rPr>
          <w:instrText xml:space="preserve"> PAGEREF _Toc133137905 \h </w:instrText>
        </w:r>
        <w:r>
          <w:rPr>
            <w:noProof/>
            <w:webHidden/>
          </w:rPr>
        </w:r>
        <w:r>
          <w:rPr>
            <w:noProof/>
            <w:webHidden/>
          </w:rPr>
          <w:fldChar w:fldCharType="separate"/>
        </w:r>
        <w:r>
          <w:rPr>
            <w:noProof/>
            <w:webHidden/>
          </w:rPr>
          <w:t>24</w:t>
        </w:r>
        <w:r>
          <w:rPr>
            <w:noProof/>
            <w:webHidden/>
          </w:rPr>
          <w:fldChar w:fldCharType="end"/>
        </w:r>
      </w:hyperlink>
    </w:p>
    <w:p w14:paraId="25775141" w14:textId="23684C86" w:rsidR="00A27E26" w:rsidRDefault="00B876E3" w:rsidP="00B876E3">
      <w:pPr>
        <w:pStyle w:val="En-ttedetabledesmatires"/>
        <w:rPr>
          <w:b/>
          <w:bCs/>
          <w:sz w:val="26"/>
          <w:szCs w:val="26"/>
        </w:rPr>
      </w:pPr>
      <w:r>
        <w:rPr>
          <w:b/>
          <w:bCs/>
          <w:sz w:val="26"/>
          <w:szCs w:val="26"/>
        </w:rPr>
        <w:fldChar w:fldCharType="end"/>
      </w:r>
    </w:p>
    <w:p w14:paraId="735AD2FB" w14:textId="77777777" w:rsidR="00B876E3" w:rsidRDefault="00B876E3" w:rsidP="00B876E3">
      <w:pPr>
        <w:rPr>
          <w:lang w:eastAsia="fr-FR"/>
        </w:rPr>
      </w:pPr>
    </w:p>
    <w:p w14:paraId="4D818E93" w14:textId="77777777" w:rsidR="00B876E3" w:rsidRDefault="00B876E3" w:rsidP="00B876E3">
      <w:pPr>
        <w:rPr>
          <w:lang w:eastAsia="fr-FR"/>
        </w:rPr>
      </w:pPr>
    </w:p>
    <w:p w14:paraId="125023FB" w14:textId="77777777" w:rsidR="00B876E3" w:rsidRDefault="00B876E3" w:rsidP="00B876E3">
      <w:pPr>
        <w:rPr>
          <w:lang w:eastAsia="fr-FR"/>
        </w:rPr>
      </w:pPr>
    </w:p>
    <w:p w14:paraId="0111BFC4" w14:textId="77777777" w:rsidR="00B876E3" w:rsidRDefault="00B876E3" w:rsidP="00B876E3">
      <w:pPr>
        <w:rPr>
          <w:lang w:eastAsia="fr-FR"/>
        </w:rPr>
      </w:pPr>
    </w:p>
    <w:p w14:paraId="270C6B44" w14:textId="77777777" w:rsidR="00B876E3" w:rsidRDefault="00B876E3" w:rsidP="00B876E3">
      <w:pPr>
        <w:rPr>
          <w:lang w:eastAsia="fr-FR"/>
        </w:rPr>
      </w:pPr>
    </w:p>
    <w:p w14:paraId="696ACE27" w14:textId="77777777" w:rsidR="00B876E3" w:rsidRDefault="00B876E3" w:rsidP="00B876E3">
      <w:pPr>
        <w:rPr>
          <w:lang w:eastAsia="fr-FR"/>
        </w:rPr>
      </w:pPr>
    </w:p>
    <w:p w14:paraId="45C5058F" w14:textId="77777777" w:rsidR="00B876E3" w:rsidRDefault="00B876E3" w:rsidP="00B876E3">
      <w:pPr>
        <w:rPr>
          <w:lang w:eastAsia="fr-FR"/>
        </w:rPr>
      </w:pPr>
    </w:p>
    <w:p w14:paraId="271FD882" w14:textId="77777777" w:rsidR="00B876E3" w:rsidRDefault="00B876E3" w:rsidP="00B876E3">
      <w:pPr>
        <w:rPr>
          <w:lang w:eastAsia="fr-FR"/>
        </w:rPr>
      </w:pPr>
    </w:p>
    <w:p w14:paraId="32A35445" w14:textId="77777777" w:rsidR="00B876E3" w:rsidRDefault="00B876E3" w:rsidP="00B876E3">
      <w:pPr>
        <w:rPr>
          <w:lang w:eastAsia="fr-FR"/>
        </w:rPr>
      </w:pPr>
    </w:p>
    <w:p w14:paraId="01EC2142" w14:textId="77777777" w:rsidR="00B876E3" w:rsidRDefault="00B876E3" w:rsidP="00B876E3">
      <w:pPr>
        <w:rPr>
          <w:lang w:eastAsia="fr-FR"/>
        </w:rPr>
      </w:pPr>
    </w:p>
    <w:p w14:paraId="4770E5F6" w14:textId="77777777" w:rsidR="00B876E3" w:rsidRDefault="00B876E3" w:rsidP="00B876E3">
      <w:pPr>
        <w:rPr>
          <w:lang w:eastAsia="fr-FR"/>
        </w:rPr>
      </w:pPr>
    </w:p>
    <w:p w14:paraId="6BBC4A96" w14:textId="77777777" w:rsidR="00B876E3" w:rsidRDefault="00B876E3" w:rsidP="00B876E3">
      <w:pPr>
        <w:rPr>
          <w:lang w:eastAsia="fr-FR"/>
        </w:rPr>
      </w:pPr>
    </w:p>
    <w:p w14:paraId="145F4A62" w14:textId="77777777" w:rsidR="00B876E3" w:rsidRDefault="00B876E3" w:rsidP="00B876E3">
      <w:pPr>
        <w:rPr>
          <w:lang w:eastAsia="fr-FR"/>
        </w:rPr>
      </w:pPr>
    </w:p>
    <w:p w14:paraId="148AFD16" w14:textId="77777777" w:rsidR="00B876E3" w:rsidRDefault="00B876E3" w:rsidP="00B876E3">
      <w:pPr>
        <w:rPr>
          <w:lang w:eastAsia="fr-FR"/>
        </w:rPr>
      </w:pPr>
    </w:p>
    <w:p w14:paraId="45BCAC0C" w14:textId="77777777" w:rsidR="00B876E3" w:rsidRDefault="00B876E3" w:rsidP="00B876E3">
      <w:pPr>
        <w:rPr>
          <w:lang w:eastAsia="fr-FR"/>
        </w:rPr>
      </w:pPr>
    </w:p>
    <w:p w14:paraId="11A6C7D1" w14:textId="77777777" w:rsidR="00B876E3" w:rsidRPr="00B876E3" w:rsidRDefault="00B876E3" w:rsidP="00B876E3">
      <w:pPr>
        <w:rPr>
          <w:lang w:eastAsia="fr-FR"/>
        </w:rPr>
      </w:pPr>
    </w:p>
    <w:p w14:paraId="23ECA171" w14:textId="5CBBD813" w:rsidR="002D54BA" w:rsidRPr="001C111B" w:rsidRDefault="00027791" w:rsidP="003D5A98">
      <w:pPr>
        <w:pStyle w:val="Titre2"/>
        <w:rPr>
          <w:b/>
          <w:bCs/>
        </w:rPr>
      </w:pPr>
      <w:bookmarkStart w:id="4" w:name="_Toc133137823"/>
      <w:bookmarkStart w:id="5" w:name="_Toc133137865"/>
      <w:r>
        <w:rPr>
          <w:noProof/>
        </w:rPr>
        <w:lastRenderedPageBreak/>
        <w:drawing>
          <wp:anchor distT="0" distB="0" distL="114300" distR="114300" simplePos="0" relativeHeight="251661312" behindDoc="0" locked="0" layoutInCell="1" allowOverlap="1" wp14:anchorId="47A5F21E" wp14:editId="3253AB32">
            <wp:simplePos x="0" y="0"/>
            <wp:positionH relativeFrom="column">
              <wp:posOffset>4236085</wp:posOffset>
            </wp:positionH>
            <wp:positionV relativeFrom="paragraph">
              <wp:posOffset>0</wp:posOffset>
            </wp:positionV>
            <wp:extent cx="1741170" cy="2156460"/>
            <wp:effectExtent l="0" t="0" r="0" b="0"/>
            <wp:wrapSquare wrapText="bothSides"/>
            <wp:docPr id="228685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1170"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A98" w:rsidRPr="001C111B">
        <w:rPr>
          <w:b/>
          <w:bCs/>
        </w:rPr>
        <w:t>Introduction</w:t>
      </w:r>
      <w:bookmarkEnd w:id="3"/>
      <w:bookmarkEnd w:id="4"/>
      <w:bookmarkEnd w:id="5"/>
    </w:p>
    <w:p w14:paraId="2494A2C9" w14:textId="1456F108" w:rsidR="00027791" w:rsidRDefault="00027791" w:rsidP="00027791">
      <w:pPr>
        <w:jc w:val="both"/>
      </w:pPr>
      <w:r>
        <w:t>La </w:t>
      </w:r>
      <w:r w:rsidRPr="00027791">
        <w:t>Station spatiale internationale</w:t>
      </w:r>
      <w:r>
        <w:t>, en abrégé </w:t>
      </w:r>
      <w:r w:rsidRPr="00027791">
        <w:t>SSI</w:t>
      </w:r>
      <w:r>
        <w:t> (surtout au </w:t>
      </w:r>
      <w:r w:rsidRPr="00027791">
        <w:t>Canada francophone</w:t>
      </w:r>
      <w:r>
        <w:t>) ou </w:t>
      </w:r>
      <w:r w:rsidRPr="00027791">
        <w:t>ISS</w:t>
      </w:r>
      <w:r>
        <w:t> (d'après le nom </w:t>
      </w:r>
      <w:r w:rsidRPr="00027791">
        <w:t>anglais</w:t>
      </w:r>
      <w:r>
        <w:t> : </w:t>
      </w:r>
      <w:r w:rsidRPr="00027791">
        <w:t xml:space="preserve">International </w:t>
      </w:r>
      <w:proofErr w:type="spellStart"/>
      <w:r w:rsidRPr="00027791">
        <w:t>Space</w:t>
      </w:r>
      <w:proofErr w:type="spellEnd"/>
      <w:r w:rsidRPr="00027791">
        <w:t xml:space="preserve"> Station</w:t>
      </w:r>
      <w:r>
        <w:t>), est une </w:t>
      </w:r>
      <w:r w:rsidRPr="00027791">
        <w:t>station spatiale</w:t>
      </w:r>
      <w:r>
        <w:t> placée en </w:t>
      </w:r>
      <w:r w:rsidRPr="00027791">
        <w:t>orbite terrestre basse</w:t>
      </w:r>
      <w:r>
        <w:t>, occupée en permanence par un équipage international qui se consacre à la </w:t>
      </w:r>
      <w:r w:rsidRPr="00027791">
        <w:t>recherche scientifique</w:t>
      </w:r>
      <w:r>
        <w:t> dans l'</w:t>
      </w:r>
      <w:r w:rsidRPr="00027791">
        <w:t>environnement spatial</w:t>
      </w:r>
      <w:r>
        <w:t>. Ce programme, lancé et piloté par la </w:t>
      </w:r>
      <w:r w:rsidRPr="00027791">
        <w:t>NASA</w:t>
      </w:r>
      <w:r>
        <w:t>, est développé conjointement avec l'</w:t>
      </w:r>
      <w:r w:rsidRPr="00027791">
        <w:t>agence spatiale fédérale russe</w:t>
      </w:r>
      <w:r>
        <w:t>, avec la participation des agences spatiales </w:t>
      </w:r>
      <w:r w:rsidRPr="00027791">
        <w:t>européenne</w:t>
      </w:r>
      <w:r>
        <w:t>, </w:t>
      </w:r>
      <w:r w:rsidRPr="00027791">
        <w:t>japonaise</w:t>
      </w:r>
      <w:r>
        <w:t> et </w:t>
      </w:r>
      <w:r w:rsidRPr="00027791">
        <w:t>canadienne</w:t>
      </w:r>
      <w:r>
        <w:t>.</w:t>
      </w:r>
    </w:p>
    <w:p w14:paraId="7535C91D" w14:textId="2E11C800" w:rsidR="00027791" w:rsidRPr="00027791" w:rsidRDefault="00027791" w:rsidP="0002779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87164">
        <w:rPr>
          <w:rFonts w:asciiTheme="minorHAnsi" w:eastAsiaTheme="minorHAnsi" w:hAnsiTheme="minorHAnsi" w:cstheme="minorBidi"/>
          <w:sz w:val="22"/>
          <w:szCs w:val="22"/>
          <w:lang w:eastAsia="en-US"/>
        </w:rPr>
        <mc:AlternateContent>
          <mc:Choice Requires="wps">
            <w:drawing>
              <wp:anchor distT="0" distB="0" distL="114300" distR="114300" simplePos="0" relativeHeight="251659264" behindDoc="0" locked="0" layoutInCell="1" allowOverlap="1" wp14:anchorId="1428A3BC" wp14:editId="4FD8DD92">
                <wp:simplePos x="0" y="0"/>
                <wp:positionH relativeFrom="column">
                  <wp:posOffset>3359785</wp:posOffset>
                </wp:positionH>
                <wp:positionV relativeFrom="paragraph">
                  <wp:posOffset>411480</wp:posOffset>
                </wp:positionV>
                <wp:extent cx="3223260" cy="6667500"/>
                <wp:effectExtent l="0" t="0" r="15240" b="19050"/>
                <wp:wrapSquare wrapText="bothSides"/>
                <wp:docPr id="781819763" name="Zone de texte 3"/>
                <wp:cNvGraphicFramePr/>
                <a:graphic xmlns:a="http://schemas.openxmlformats.org/drawingml/2006/main">
                  <a:graphicData uri="http://schemas.microsoft.com/office/word/2010/wordprocessingShape">
                    <wps:wsp>
                      <wps:cNvSpPr txBox="1"/>
                      <wps:spPr>
                        <a:xfrm>
                          <a:off x="0" y="0"/>
                          <a:ext cx="3223260" cy="6667500"/>
                        </a:xfrm>
                        <a:prstGeom prst="rect">
                          <a:avLst/>
                        </a:prstGeom>
                        <a:solidFill>
                          <a:schemeClr val="lt1"/>
                        </a:solidFill>
                        <a:ln w="6350">
                          <a:solidFill>
                            <a:prstClr val="black"/>
                          </a:solidFill>
                        </a:ln>
                      </wps:spPr>
                      <wps:txbx>
                        <w:txbxContent>
                          <w:tbl>
                            <w:tblPr>
                              <w:tblW w:w="4725" w:type="dxa"/>
                              <w:tblCellMar>
                                <w:top w:w="15" w:type="dxa"/>
                                <w:left w:w="15" w:type="dxa"/>
                                <w:bottom w:w="15" w:type="dxa"/>
                                <w:right w:w="15" w:type="dxa"/>
                              </w:tblCellMar>
                              <w:tblLook w:val="04A0" w:firstRow="1" w:lastRow="0" w:firstColumn="1" w:lastColumn="0" w:noHBand="0" w:noVBand="1"/>
                            </w:tblPr>
                            <w:tblGrid>
                              <w:gridCol w:w="1820"/>
                              <w:gridCol w:w="2905"/>
                            </w:tblGrid>
                            <w:tr w:rsidR="00027791" w14:paraId="1401C32A" w14:textId="77777777" w:rsidTr="00027791">
                              <w:tc>
                                <w:tcPr>
                                  <w:tcW w:w="0" w:type="auto"/>
                                  <w:gridSpan w:val="2"/>
                                  <w:tcBorders>
                                    <w:top w:val="nil"/>
                                    <w:left w:val="nil"/>
                                    <w:bottom w:val="nil"/>
                                    <w:right w:val="nil"/>
                                  </w:tcBorders>
                                  <w:tcMar>
                                    <w:top w:w="60" w:type="dxa"/>
                                    <w:left w:w="15" w:type="dxa"/>
                                    <w:bottom w:w="15" w:type="dxa"/>
                                    <w:right w:w="150" w:type="dxa"/>
                                  </w:tcMar>
                                  <w:vAlign w:val="center"/>
                                  <w:hideMark/>
                                </w:tcPr>
                                <w:p w14:paraId="0D91233E" w14:textId="77777777" w:rsidR="00027791" w:rsidRDefault="00027791" w:rsidP="00027791">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Données générales</w:t>
                                  </w:r>
                                </w:p>
                              </w:tc>
                            </w:tr>
                            <w:tr w:rsidR="00027791" w14:paraId="2DF4FAED" w14:textId="77777777" w:rsidTr="00027791">
                              <w:tc>
                                <w:tcPr>
                                  <w:tcW w:w="2400" w:type="dxa"/>
                                  <w:tcMar>
                                    <w:top w:w="60" w:type="dxa"/>
                                    <w:left w:w="15" w:type="dxa"/>
                                    <w:bottom w:w="15" w:type="dxa"/>
                                    <w:right w:w="150" w:type="dxa"/>
                                  </w:tcMar>
                                  <w:vAlign w:val="center"/>
                                  <w:hideMark/>
                                </w:tcPr>
                                <w:p w14:paraId="22A8DA3B" w14:textId="77777777" w:rsidR="00027791" w:rsidRDefault="00027791" w:rsidP="00027791">
                                  <w:pPr>
                                    <w:spacing w:after="0"/>
                                    <w:rPr>
                                      <w:rFonts w:ascii="Arial" w:hAnsi="Arial" w:cs="Arial"/>
                                      <w:b/>
                                      <w:bCs/>
                                      <w:color w:val="202122"/>
                                      <w:sz w:val="19"/>
                                      <w:szCs w:val="19"/>
                                      <w:vertAlign w:val="superscript"/>
                                    </w:rPr>
                                  </w:pPr>
                                  <w:hyperlink r:id="rId9" w:tooltip="Agence spatiale" w:history="1">
                                    <w:r>
                                      <w:rPr>
                                        <w:rStyle w:val="Lienhypertexte"/>
                                        <w:rFonts w:ascii="Arial" w:hAnsi="Arial" w:cs="Arial"/>
                                        <w:b/>
                                        <w:bCs/>
                                        <w:color w:val="3366CC"/>
                                        <w:sz w:val="19"/>
                                        <w:szCs w:val="19"/>
                                        <w:vertAlign w:val="superscript"/>
                                      </w:rPr>
                                      <w:t>Organisation</w:t>
                                    </w:r>
                                  </w:hyperlink>
                                </w:p>
                              </w:tc>
                              <w:tc>
                                <w:tcPr>
                                  <w:tcW w:w="0" w:type="auto"/>
                                  <w:tcMar>
                                    <w:top w:w="60" w:type="dxa"/>
                                    <w:left w:w="15" w:type="dxa"/>
                                    <w:bottom w:w="15" w:type="dxa"/>
                                    <w:right w:w="15" w:type="dxa"/>
                                  </w:tcMar>
                                  <w:vAlign w:val="center"/>
                                  <w:hideMark/>
                                </w:tcPr>
                                <w:p w14:paraId="42C8D736" w14:textId="59EAC5BF" w:rsidR="00027791" w:rsidRDefault="00027791" w:rsidP="00027791">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44C42156" wp14:editId="59101B0E">
                                        <wp:extent cx="190500" cy="106680"/>
                                        <wp:effectExtent l="0" t="0" r="0" b="7620"/>
                                        <wp:docPr id="781675098" name="Image 6" descr="Drapeau des États-Unis">
                                          <a:hlinkClick xmlns:a="http://schemas.openxmlformats.org/drawingml/2006/main" r:id="rId10"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apeau des États-Unis">
                                                  <a:hlinkClick r:id="rId10" tooltip="&quot;Drapeau des États-Unis&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Fonts w:ascii="Arial" w:hAnsi="Arial" w:cs="Arial"/>
                                      <w:color w:val="202122"/>
                                      <w:sz w:val="19"/>
                                      <w:szCs w:val="19"/>
                                      <w:vertAlign w:val="superscript"/>
                                    </w:rPr>
                                    <w:t> </w:t>
                                  </w:r>
                                  <w:hyperlink r:id="rId12" w:tooltip="National Aeronautics and Space Administration" w:history="1">
                                    <w:r>
                                      <w:rPr>
                                        <w:rStyle w:val="Lienhypertexte"/>
                                        <w:rFonts w:ascii="Arial" w:hAnsi="Arial" w:cs="Arial"/>
                                        <w:color w:val="3366CC"/>
                                        <w:sz w:val="19"/>
                                        <w:szCs w:val="19"/>
                                        <w:vertAlign w:val="superscript"/>
                                      </w:rPr>
                                      <w:t>NASA</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333FC4B9" wp14:editId="3DDD5546">
                                        <wp:extent cx="190500" cy="121920"/>
                                        <wp:effectExtent l="0" t="0" r="0" b="0"/>
                                        <wp:docPr id="371472654" name="Image 5" descr="Drapeau de la Russie">
                                          <a:hlinkClick xmlns:a="http://schemas.openxmlformats.org/drawingml/2006/main" r:id="rId13" tooltip="&quot;Drapeau de la Russ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apeau de la Russie">
                                                  <a:hlinkClick r:id="rId13" tooltip="&quot;Drapeau de la Russie&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proofErr w:type="spellStart"/>
                                  <w:r>
                                    <w:rPr>
                                      <w:rFonts w:ascii="Arial" w:hAnsi="Arial" w:cs="Arial"/>
                                      <w:color w:val="202122"/>
                                      <w:sz w:val="19"/>
                                      <w:szCs w:val="19"/>
                                      <w:vertAlign w:val="superscript"/>
                                    </w:rPr>
                                    <w:fldChar w:fldCharType="begin"/>
                                  </w:r>
                                  <w:r>
                                    <w:rPr>
                                      <w:rFonts w:ascii="Arial" w:hAnsi="Arial" w:cs="Arial"/>
                                      <w:color w:val="202122"/>
                                      <w:sz w:val="19"/>
                                      <w:szCs w:val="19"/>
                                      <w:vertAlign w:val="superscript"/>
                                    </w:rPr>
                                    <w:instrText xml:space="preserve"> HYPERLINK "https://fr.wikipedia.org/wiki/Roscosmos" \o "Roscosmos" </w:instrText>
                                  </w:r>
                                  <w:r>
                                    <w:rPr>
                                      <w:rFonts w:ascii="Arial" w:hAnsi="Arial" w:cs="Arial"/>
                                      <w:color w:val="202122"/>
                                      <w:sz w:val="19"/>
                                      <w:szCs w:val="19"/>
                                      <w:vertAlign w:val="superscript"/>
                                    </w:rPr>
                                    <w:fldChar w:fldCharType="separate"/>
                                  </w:r>
                                  <w:r>
                                    <w:rPr>
                                      <w:rStyle w:val="Lienhypertexte"/>
                                      <w:rFonts w:ascii="Arial" w:hAnsi="Arial" w:cs="Arial"/>
                                      <w:color w:val="3366CC"/>
                                      <w:sz w:val="19"/>
                                      <w:szCs w:val="19"/>
                                      <w:vertAlign w:val="superscript"/>
                                    </w:rPr>
                                    <w:t>Roscosmos</w:t>
                                  </w:r>
                                  <w:proofErr w:type="spellEnd"/>
                                  <w:r>
                                    <w:rPr>
                                      <w:rFonts w:ascii="Arial" w:hAnsi="Arial" w:cs="Arial"/>
                                      <w:color w:val="202122"/>
                                      <w:sz w:val="19"/>
                                      <w:szCs w:val="19"/>
                                      <w:vertAlign w:val="superscript"/>
                                    </w:rPr>
                                    <w:fldChar w:fldCharType="end"/>
                                  </w:r>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306AB6F0" wp14:editId="66FD4D2B">
                                        <wp:extent cx="190500" cy="121920"/>
                                        <wp:effectExtent l="0" t="0" r="0" b="0"/>
                                        <wp:docPr id="646796154" name="Image 4" descr="Drapeau de l’Union européenne">
                                          <a:hlinkClick xmlns:a="http://schemas.openxmlformats.org/drawingml/2006/main" r:id="rId15" tooltip="&quot;Drapeau de l’Union européenn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apeau de l’Union européenne">
                                                  <a:hlinkClick r:id="rId15" tooltip="&quot;Drapeau de l’Union européenne&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hyperlink r:id="rId17" w:tooltip="Agence spatiale européenne" w:history="1">
                                    <w:r>
                                      <w:rPr>
                                        <w:rStyle w:val="Lienhypertexte"/>
                                        <w:rFonts w:ascii="Arial" w:hAnsi="Arial" w:cs="Arial"/>
                                        <w:color w:val="3366CC"/>
                                        <w:sz w:val="19"/>
                                        <w:szCs w:val="19"/>
                                        <w:vertAlign w:val="superscript"/>
                                      </w:rPr>
                                      <w:t>ESA</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08F8E4D7" wp14:editId="6BADC89D">
                                        <wp:extent cx="190500" cy="121920"/>
                                        <wp:effectExtent l="0" t="0" r="0" b="0"/>
                                        <wp:docPr id="659034368" name="Image 3" descr="Drapeau du Japon">
                                          <a:hlinkClick xmlns:a="http://schemas.openxmlformats.org/drawingml/2006/main" r:id="rId18" tooltip="&quot;Drapeau du Jap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apeau du Japon">
                                                  <a:hlinkClick r:id="rId18" tooltip="&quot;Drapeau du Japon&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hyperlink r:id="rId20" w:tooltip="Agence d'exploration aérospatiale japonaise" w:history="1">
                                    <w:r>
                                      <w:rPr>
                                        <w:rStyle w:val="Lienhypertexte"/>
                                        <w:rFonts w:ascii="Arial" w:hAnsi="Arial" w:cs="Arial"/>
                                        <w:color w:val="3366CC"/>
                                        <w:sz w:val="19"/>
                                        <w:szCs w:val="19"/>
                                        <w:vertAlign w:val="superscript"/>
                                      </w:rPr>
                                      <w:t>JAXA</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4F6FC2CD" wp14:editId="5F3BBF2A">
                                        <wp:extent cx="190500" cy="99060"/>
                                        <wp:effectExtent l="0" t="0" r="0" b="0"/>
                                        <wp:docPr id="330507868" name="Image 2" descr="Drapeau du Canada">
                                          <a:hlinkClick xmlns:a="http://schemas.openxmlformats.org/drawingml/2006/main" r:id="rId21" tooltip="&quot;Drapeau du Canad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apeau du Canada">
                                                  <a:hlinkClick r:id="rId21" tooltip="&quot;Drapeau du Canada&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Pr>
                                      <w:rFonts w:ascii="Arial" w:hAnsi="Arial" w:cs="Arial"/>
                                      <w:color w:val="202122"/>
                                      <w:sz w:val="19"/>
                                      <w:szCs w:val="19"/>
                                      <w:vertAlign w:val="superscript"/>
                                    </w:rPr>
                                    <w:t> </w:t>
                                  </w:r>
                                  <w:hyperlink r:id="rId23" w:tooltip="Agence spatiale canadienne" w:history="1">
                                    <w:r>
                                      <w:rPr>
                                        <w:rStyle w:val="Lienhypertexte"/>
                                        <w:rFonts w:ascii="Arial" w:hAnsi="Arial" w:cs="Arial"/>
                                        <w:color w:val="3366CC"/>
                                        <w:sz w:val="19"/>
                                        <w:szCs w:val="19"/>
                                        <w:vertAlign w:val="superscript"/>
                                      </w:rPr>
                                      <w:t>ASC</w:t>
                                    </w:r>
                                  </w:hyperlink>
                                </w:p>
                              </w:tc>
                            </w:tr>
                            <w:tr w:rsidR="00027791" w14:paraId="6A5F9270" w14:textId="77777777" w:rsidTr="00027791">
                              <w:tc>
                                <w:tcPr>
                                  <w:tcW w:w="2400" w:type="dxa"/>
                                  <w:tcMar>
                                    <w:top w:w="60" w:type="dxa"/>
                                    <w:left w:w="15" w:type="dxa"/>
                                    <w:bottom w:w="15" w:type="dxa"/>
                                    <w:right w:w="150" w:type="dxa"/>
                                  </w:tcMar>
                                  <w:vAlign w:val="center"/>
                                  <w:hideMark/>
                                </w:tcPr>
                                <w:p w14:paraId="2A4B1471" w14:textId="77777777" w:rsidR="00027791" w:rsidRDefault="00027791" w:rsidP="00027791">
                                  <w:pPr>
                                    <w:rPr>
                                      <w:rFonts w:ascii="Arial" w:hAnsi="Arial" w:cs="Arial"/>
                                      <w:b/>
                                      <w:bCs/>
                                      <w:color w:val="202122"/>
                                      <w:sz w:val="19"/>
                                      <w:szCs w:val="19"/>
                                      <w:vertAlign w:val="superscript"/>
                                    </w:rPr>
                                  </w:pPr>
                                  <w:r>
                                    <w:rPr>
                                      <w:rFonts w:ascii="Arial" w:hAnsi="Arial" w:cs="Arial"/>
                                      <w:b/>
                                      <w:bCs/>
                                      <w:color w:val="202122"/>
                                      <w:sz w:val="19"/>
                                      <w:szCs w:val="19"/>
                                      <w:vertAlign w:val="superscript"/>
                                    </w:rPr>
                                    <w:t>Domaine</w:t>
                                  </w:r>
                                </w:p>
                              </w:tc>
                              <w:tc>
                                <w:tcPr>
                                  <w:tcW w:w="0" w:type="auto"/>
                                  <w:tcMar>
                                    <w:top w:w="60" w:type="dxa"/>
                                    <w:left w:w="15" w:type="dxa"/>
                                    <w:bottom w:w="15" w:type="dxa"/>
                                    <w:right w:w="15" w:type="dxa"/>
                                  </w:tcMar>
                                  <w:vAlign w:val="center"/>
                                  <w:hideMark/>
                                </w:tcPr>
                                <w:p w14:paraId="1D5BEB53" w14:textId="77777777" w:rsidR="00027791" w:rsidRDefault="00027791" w:rsidP="00027791">
                                  <w:pPr>
                                    <w:rPr>
                                      <w:rFonts w:ascii="Arial" w:hAnsi="Arial" w:cs="Arial"/>
                                      <w:color w:val="202122"/>
                                      <w:sz w:val="19"/>
                                      <w:szCs w:val="19"/>
                                      <w:vertAlign w:val="superscript"/>
                                    </w:rPr>
                                  </w:pPr>
                                  <w:hyperlink r:id="rId24" w:tooltip="Physiologie" w:history="1">
                                    <w:r>
                                      <w:rPr>
                                        <w:rStyle w:val="Lienhypertexte"/>
                                        <w:rFonts w:ascii="Arial" w:hAnsi="Arial" w:cs="Arial"/>
                                        <w:color w:val="3366CC"/>
                                        <w:sz w:val="19"/>
                                        <w:szCs w:val="19"/>
                                        <w:vertAlign w:val="superscript"/>
                                      </w:rPr>
                                      <w:t>Physiologie</w:t>
                                    </w:r>
                                  </w:hyperlink>
                                  <w:r>
                                    <w:rPr>
                                      <w:rFonts w:ascii="Arial" w:hAnsi="Arial" w:cs="Arial"/>
                                      <w:color w:val="202122"/>
                                      <w:sz w:val="19"/>
                                      <w:szCs w:val="19"/>
                                      <w:vertAlign w:val="superscript"/>
                                    </w:rPr>
                                    <w:t>, </w:t>
                                  </w:r>
                                  <w:hyperlink r:id="rId25" w:tooltip="Biologie" w:history="1">
                                    <w:r>
                                      <w:rPr>
                                        <w:rStyle w:val="Lienhypertexte"/>
                                        <w:rFonts w:ascii="Arial" w:hAnsi="Arial" w:cs="Arial"/>
                                        <w:color w:val="3366CC"/>
                                        <w:sz w:val="19"/>
                                        <w:szCs w:val="19"/>
                                        <w:vertAlign w:val="superscript"/>
                                      </w:rPr>
                                      <w:t>biologie</w:t>
                                    </w:r>
                                  </w:hyperlink>
                                  <w:r>
                                    <w:rPr>
                                      <w:rFonts w:ascii="Arial" w:hAnsi="Arial" w:cs="Arial"/>
                                      <w:color w:val="202122"/>
                                      <w:sz w:val="19"/>
                                      <w:szCs w:val="19"/>
                                      <w:vertAlign w:val="superscript"/>
                                    </w:rPr>
                                    <w:t>, </w:t>
                                  </w:r>
                                  <w:hyperlink r:id="rId26" w:tooltip="Cosmologie" w:history="1">
                                    <w:r>
                                      <w:rPr>
                                        <w:rStyle w:val="Lienhypertexte"/>
                                        <w:rFonts w:ascii="Arial" w:hAnsi="Arial" w:cs="Arial"/>
                                        <w:color w:val="3366CC"/>
                                        <w:sz w:val="19"/>
                                        <w:szCs w:val="19"/>
                                        <w:vertAlign w:val="superscript"/>
                                      </w:rPr>
                                      <w:t>cosmologie</w:t>
                                    </w:r>
                                  </w:hyperlink>
                                  <w:r>
                                    <w:rPr>
                                      <w:rFonts w:ascii="Arial" w:hAnsi="Arial" w:cs="Arial"/>
                                      <w:color w:val="202122"/>
                                      <w:sz w:val="19"/>
                                      <w:szCs w:val="19"/>
                                      <w:vertAlign w:val="superscript"/>
                                    </w:rPr>
                                    <w:t>, </w:t>
                                  </w:r>
                                  <w:hyperlink r:id="rId27" w:tooltip="Astronomie" w:history="1">
                                    <w:r>
                                      <w:rPr>
                                        <w:rStyle w:val="Lienhypertexte"/>
                                        <w:rFonts w:ascii="Arial" w:hAnsi="Arial" w:cs="Arial"/>
                                        <w:color w:val="3366CC"/>
                                        <w:sz w:val="19"/>
                                        <w:szCs w:val="19"/>
                                        <w:vertAlign w:val="superscript"/>
                                      </w:rPr>
                                      <w:t>astronomie</w:t>
                                    </w:r>
                                  </w:hyperlink>
                                  <w:r>
                                    <w:rPr>
                                      <w:rFonts w:ascii="Arial" w:hAnsi="Arial" w:cs="Arial"/>
                                      <w:color w:val="202122"/>
                                      <w:sz w:val="19"/>
                                      <w:szCs w:val="19"/>
                                      <w:vertAlign w:val="superscript"/>
                                    </w:rPr>
                                    <w:t>…</w:t>
                                  </w:r>
                                </w:p>
                              </w:tc>
                            </w:tr>
                            <w:tr w:rsidR="00027791" w14:paraId="76B1AB86" w14:textId="77777777" w:rsidTr="00027791">
                              <w:tc>
                                <w:tcPr>
                                  <w:tcW w:w="2400" w:type="dxa"/>
                                  <w:tcMar>
                                    <w:top w:w="60" w:type="dxa"/>
                                    <w:left w:w="15" w:type="dxa"/>
                                    <w:bottom w:w="15" w:type="dxa"/>
                                    <w:right w:w="150" w:type="dxa"/>
                                  </w:tcMar>
                                  <w:vAlign w:val="center"/>
                                  <w:hideMark/>
                                </w:tcPr>
                                <w:p w14:paraId="6F81B0DF" w14:textId="77777777" w:rsidR="00027791" w:rsidRDefault="00027791" w:rsidP="00027791">
                                  <w:pPr>
                                    <w:rPr>
                                      <w:rFonts w:ascii="Arial" w:hAnsi="Arial" w:cs="Arial"/>
                                      <w:b/>
                                      <w:bCs/>
                                      <w:color w:val="202122"/>
                                      <w:sz w:val="19"/>
                                      <w:szCs w:val="19"/>
                                      <w:vertAlign w:val="superscript"/>
                                    </w:rPr>
                                  </w:pPr>
                                  <w:r>
                                    <w:rPr>
                                      <w:rFonts w:ascii="Arial" w:hAnsi="Arial" w:cs="Arial"/>
                                      <w:b/>
                                      <w:bCs/>
                                      <w:color w:val="202122"/>
                                      <w:sz w:val="19"/>
                                      <w:szCs w:val="19"/>
                                      <w:vertAlign w:val="superscript"/>
                                    </w:rPr>
                                    <w:t>Type de </w:t>
                                  </w:r>
                                  <w:hyperlink r:id="rId28" w:tooltip="Histoire du vol spatial" w:history="1">
                                    <w:r>
                                      <w:rPr>
                                        <w:rStyle w:val="Lienhypertexte"/>
                                        <w:rFonts w:ascii="Arial" w:hAnsi="Arial" w:cs="Arial"/>
                                        <w:b/>
                                        <w:bCs/>
                                        <w:color w:val="3366CC"/>
                                        <w:sz w:val="19"/>
                                        <w:szCs w:val="19"/>
                                        <w:vertAlign w:val="superscript"/>
                                      </w:rPr>
                                      <w:t>mission</w:t>
                                    </w:r>
                                  </w:hyperlink>
                                </w:p>
                              </w:tc>
                              <w:tc>
                                <w:tcPr>
                                  <w:tcW w:w="0" w:type="auto"/>
                                  <w:tcMar>
                                    <w:top w:w="60" w:type="dxa"/>
                                    <w:left w:w="15" w:type="dxa"/>
                                    <w:bottom w:w="15" w:type="dxa"/>
                                    <w:right w:w="15" w:type="dxa"/>
                                  </w:tcMar>
                                  <w:vAlign w:val="center"/>
                                  <w:hideMark/>
                                </w:tcPr>
                                <w:p w14:paraId="5D6B4136"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Station spatiale</w:t>
                                  </w:r>
                                </w:p>
                              </w:tc>
                            </w:tr>
                            <w:tr w:rsidR="00027791" w14:paraId="450EBA4D" w14:textId="77777777" w:rsidTr="00027791">
                              <w:tc>
                                <w:tcPr>
                                  <w:tcW w:w="2400" w:type="dxa"/>
                                  <w:tcMar>
                                    <w:top w:w="60" w:type="dxa"/>
                                    <w:left w:w="15" w:type="dxa"/>
                                    <w:bottom w:w="15" w:type="dxa"/>
                                    <w:right w:w="150" w:type="dxa"/>
                                  </w:tcMar>
                                  <w:vAlign w:val="center"/>
                                  <w:hideMark/>
                                </w:tcPr>
                                <w:p w14:paraId="190E3E00" w14:textId="77777777" w:rsidR="00027791" w:rsidRDefault="00027791" w:rsidP="00027791">
                                  <w:pPr>
                                    <w:rPr>
                                      <w:rFonts w:ascii="Arial" w:hAnsi="Arial" w:cs="Arial"/>
                                      <w:b/>
                                      <w:bCs/>
                                      <w:color w:val="202122"/>
                                      <w:sz w:val="19"/>
                                      <w:szCs w:val="19"/>
                                      <w:vertAlign w:val="superscript"/>
                                    </w:rPr>
                                  </w:pPr>
                                  <w:r>
                                    <w:rPr>
                                      <w:rFonts w:ascii="Arial" w:hAnsi="Arial" w:cs="Arial"/>
                                      <w:b/>
                                      <w:bCs/>
                                      <w:color w:val="202122"/>
                                      <w:sz w:val="19"/>
                                      <w:szCs w:val="19"/>
                                      <w:vertAlign w:val="superscript"/>
                                    </w:rPr>
                                    <w:t>Statut</w:t>
                                  </w:r>
                                </w:p>
                              </w:tc>
                              <w:tc>
                                <w:tcPr>
                                  <w:tcW w:w="0" w:type="auto"/>
                                  <w:tcMar>
                                    <w:top w:w="60" w:type="dxa"/>
                                    <w:left w:w="15" w:type="dxa"/>
                                    <w:bottom w:w="15" w:type="dxa"/>
                                    <w:right w:w="15" w:type="dxa"/>
                                  </w:tcMar>
                                  <w:vAlign w:val="center"/>
                                  <w:hideMark/>
                                </w:tcPr>
                                <w:p w14:paraId="526D4577"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Opérationnelle</w:t>
                                  </w:r>
                                </w:p>
                              </w:tc>
                            </w:tr>
                            <w:tr w:rsidR="00027791" w14:paraId="5E66EC56" w14:textId="77777777" w:rsidTr="00027791">
                              <w:tc>
                                <w:tcPr>
                                  <w:tcW w:w="2400" w:type="dxa"/>
                                  <w:tcMar>
                                    <w:top w:w="60" w:type="dxa"/>
                                    <w:left w:w="15" w:type="dxa"/>
                                    <w:bottom w:w="15" w:type="dxa"/>
                                    <w:right w:w="150" w:type="dxa"/>
                                  </w:tcMar>
                                  <w:vAlign w:val="center"/>
                                  <w:hideMark/>
                                </w:tcPr>
                                <w:p w14:paraId="610DEE2B" w14:textId="77777777" w:rsidR="00027791" w:rsidRDefault="00027791" w:rsidP="00027791">
                                  <w:pPr>
                                    <w:rPr>
                                      <w:rFonts w:ascii="Arial" w:hAnsi="Arial" w:cs="Arial"/>
                                      <w:b/>
                                      <w:bCs/>
                                      <w:color w:val="202122"/>
                                      <w:sz w:val="19"/>
                                      <w:szCs w:val="19"/>
                                      <w:vertAlign w:val="superscript"/>
                                    </w:rPr>
                                  </w:pPr>
                                  <w:hyperlink r:id="rId29" w:tooltip="Lancement (astronautique)" w:history="1">
                                    <w:r>
                                      <w:rPr>
                                        <w:rStyle w:val="Lienhypertexte"/>
                                        <w:rFonts w:ascii="Arial" w:hAnsi="Arial" w:cs="Arial"/>
                                        <w:b/>
                                        <w:bCs/>
                                        <w:color w:val="3366CC"/>
                                        <w:sz w:val="19"/>
                                        <w:szCs w:val="19"/>
                                        <w:vertAlign w:val="superscript"/>
                                      </w:rPr>
                                      <w:t>Lancement</w:t>
                                    </w:r>
                                  </w:hyperlink>
                                </w:p>
                              </w:tc>
                              <w:tc>
                                <w:tcPr>
                                  <w:tcW w:w="0" w:type="auto"/>
                                  <w:tcMar>
                                    <w:top w:w="60" w:type="dxa"/>
                                    <w:left w:w="15" w:type="dxa"/>
                                    <w:bottom w:w="15" w:type="dxa"/>
                                    <w:right w:w="15" w:type="dxa"/>
                                  </w:tcMar>
                                  <w:vAlign w:val="center"/>
                                  <w:hideMark/>
                                </w:tcPr>
                                <w:p w14:paraId="6E76CB6C"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1998-2021</w:t>
                                  </w:r>
                                </w:p>
                              </w:tc>
                            </w:tr>
                            <w:tr w:rsidR="00027791" w14:paraId="755558A0" w14:textId="77777777" w:rsidTr="00027791">
                              <w:tc>
                                <w:tcPr>
                                  <w:tcW w:w="2400" w:type="dxa"/>
                                  <w:tcMar>
                                    <w:top w:w="60" w:type="dxa"/>
                                    <w:left w:w="15" w:type="dxa"/>
                                    <w:bottom w:w="15" w:type="dxa"/>
                                    <w:right w:w="150" w:type="dxa"/>
                                  </w:tcMar>
                                  <w:vAlign w:val="center"/>
                                  <w:hideMark/>
                                </w:tcPr>
                                <w:p w14:paraId="2D85940F" w14:textId="77777777" w:rsidR="00027791" w:rsidRDefault="00027791" w:rsidP="00027791">
                                  <w:pPr>
                                    <w:rPr>
                                      <w:rFonts w:ascii="Arial" w:hAnsi="Arial" w:cs="Arial"/>
                                      <w:b/>
                                      <w:bCs/>
                                      <w:color w:val="202122"/>
                                      <w:sz w:val="19"/>
                                      <w:szCs w:val="19"/>
                                      <w:vertAlign w:val="superscript"/>
                                    </w:rPr>
                                  </w:pPr>
                                  <w:hyperlink r:id="rId30" w:tooltip="Lanceur (astronautique)" w:history="1">
                                    <w:r>
                                      <w:rPr>
                                        <w:rStyle w:val="Lienhypertexte"/>
                                        <w:rFonts w:ascii="Arial" w:hAnsi="Arial" w:cs="Arial"/>
                                        <w:b/>
                                        <w:bCs/>
                                        <w:color w:val="3366CC"/>
                                        <w:sz w:val="19"/>
                                        <w:szCs w:val="19"/>
                                        <w:vertAlign w:val="superscript"/>
                                      </w:rPr>
                                      <w:t>Lanceur</w:t>
                                    </w:r>
                                  </w:hyperlink>
                                </w:p>
                              </w:tc>
                              <w:tc>
                                <w:tcPr>
                                  <w:tcW w:w="0" w:type="auto"/>
                                  <w:tcMar>
                                    <w:top w:w="60" w:type="dxa"/>
                                    <w:left w:w="15" w:type="dxa"/>
                                    <w:bottom w:w="15" w:type="dxa"/>
                                    <w:right w:w="15" w:type="dxa"/>
                                  </w:tcMar>
                                  <w:vAlign w:val="center"/>
                                  <w:hideMark/>
                                </w:tcPr>
                                <w:p w14:paraId="788DBDBE" w14:textId="77777777" w:rsidR="00027791" w:rsidRDefault="00027791" w:rsidP="00027791">
                                  <w:pPr>
                                    <w:numPr>
                                      <w:ilvl w:val="0"/>
                                      <w:numId w:val="22"/>
                                    </w:numPr>
                                    <w:spacing w:before="100" w:beforeAutospacing="1" w:after="24" w:line="240" w:lineRule="auto"/>
                                    <w:ind w:left="1104"/>
                                    <w:rPr>
                                      <w:rFonts w:ascii="Arial" w:hAnsi="Arial" w:cs="Arial"/>
                                      <w:color w:val="202122"/>
                                      <w:sz w:val="19"/>
                                      <w:szCs w:val="19"/>
                                      <w:vertAlign w:val="superscript"/>
                                    </w:rPr>
                                  </w:pPr>
                                  <w:hyperlink r:id="rId31" w:tooltip="Proton (fusée)" w:history="1">
                                    <w:r>
                                      <w:rPr>
                                        <w:rStyle w:val="Lienhypertexte"/>
                                        <w:rFonts w:ascii="Arial" w:hAnsi="Arial" w:cs="Arial"/>
                                        <w:color w:val="3366CC"/>
                                        <w:sz w:val="19"/>
                                        <w:szCs w:val="19"/>
                                        <w:vertAlign w:val="superscript"/>
                                      </w:rPr>
                                      <w:t>Proton</w:t>
                                    </w:r>
                                  </w:hyperlink>
                                  <w:r>
                                    <w:rPr>
                                      <w:rFonts w:ascii="Arial" w:hAnsi="Arial" w:cs="Arial"/>
                                      <w:color w:val="202122"/>
                                      <w:sz w:val="19"/>
                                      <w:szCs w:val="19"/>
                                      <w:vertAlign w:val="superscript"/>
                                    </w:rPr>
                                    <w:t> (pour les modules majeurs du </w:t>
                                  </w:r>
                                  <w:hyperlink r:id="rId32" w:tooltip="Segment orbital russe" w:history="1">
                                    <w:r>
                                      <w:rPr>
                                        <w:rStyle w:val="Lienhypertexte"/>
                                        <w:rFonts w:ascii="Arial" w:hAnsi="Arial" w:cs="Arial"/>
                                        <w:color w:val="3366CC"/>
                                        <w:sz w:val="19"/>
                                        <w:szCs w:val="19"/>
                                        <w:vertAlign w:val="superscript"/>
                                      </w:rPr>
                                      <w:t>segment russe</w:t>
                                    </w:r>
                                  </w:hyperlink>
                                  <w:r>
                                    <w:rPr>
                                      <w:rFonts w:ascii="Arial" w:hAnsi="Arial" w:cs="Arial"/>
                                      <w:color w:val="202122"/>
                                      <w:sz w:val="19"/>
                                      <w:szCs w:val="19"/>
                                      <w:vertAlign w:val="superscript"/>
                                    </w:rPr>
                                    <w:t>)</w:t>
                                  </w:r>
                                </w:p>
                                <w:p w14:paraId="70B50800" w14:textId="77777777" w:rsidR="00027791" w:rsidRDefault="00027791" w:rsidP="00027791">
                                  <w:pPr>
                                    <w:numPr>
                                      <w:ilvl w:val="0"/>
                                      <w:numId w:val="22"/>
                                    </w:numPr>
                                    <w:spacing w:before="100" w:beforeAutospacing="1" w:after="24" w:line="240" w:lineRule="auto"/>
                                    <w:ind w:left="1104"/>
                                    <w:rPr>
                                      <w:rFonts w:ascii="Arial" w:hAnsi="Arial" w:cs="Arial"/>
                                      <w:color w:val="202122"/>
                                      <w:sz w:val="19"/>
                                      <w:szCs w:val="19"/>
                                      <w:vertAlign w:val="superscript"/>
                                    </w:rPr>
                                  </w:pPr>
                                  <w:hyperlink r:id="rId33" w:tooltip="Navette spatiale américaine" w:history="1">
                                    <w:r>
                                      <w:rPr>
                                        <w:rStyle w:val="Lienhypertexte"/>
                                        <w:rFonts w:ascii="Arial" w:hAnsi="Arial" w:cs="Arial"/>
                                        <w:color w:val="3366CC"/>
                                        <w:sz w:val="19"/>
                                        <w:szCs w:val="19"/>
                                        <w:vertAlign w:val="superscript"/>
                                      </w:rPr>
                                      <w:t>Navette spatiale américaine</w:t>
                                    </w:r>
                                  </w:hyperlink>
                                  <w:r>
                                    <w:rPr>
                                      <w:rFonts w:ascii="Arial" w:hAnsi="Arial" w:cs="Arial"/>
                                      <w:color w:val="202122"/>
                                      <w:sz w:val="19"/>
                                      <w:szCs w:val="19"/>
                                      <w:vertAlign w:val="superscript"/>
                                    </w:rPr>
                                    <w:t> (pour les modules du </w:t>
                                  </w:r>
                                  <w:hyperlink r:id="rId34" w:tooltip="Segment orbital américain" w:history="1">
                                    <w:r>
                                      <w:rPr>
                                        <w:rStyle w:val="Lienhypertexte"/>
                                        <w:rFonts w:ascii="Arial" w:hAnsi="Arial" w:cs="Arial"/>
                                        <w:color w:val="3366CC"/>
                                        <w:sz w:val="19"/>
                                        <w:szCs w:val="19"/>
                                        <w:vertAlign w:val="superscript"/>
                                      </w:rPr>
                                      <w:t>segment américain</w:t>
                                    </w:r>
                                  </w:hyperlink>
                                  <w:r>
                                    <w:rPr>
                                      <w:rFonts w:ascii="Arial" w:hAnsi="Arial" w:cs="Arial"/>
                                      <w:color w:val="202122"/>
                                      <w:sz w:val="19"/>
                                      <w:szCs w:val="19"/>
                                      <w:vertAlign w:val="superscript"/>
                                    </w:rPr>
                                    <w:t>)</w:t>
                                  </w:r>
                                </w:p>
                                <w:p w14:paraId="6C00CA14" w14:textId="77777777" w:rsidR="00027791" w:rsidRDefault="00027791" w:rsidP="00027791">
                                  <w:pPr>
                                    <w:numPr>
                                      <w:ilvl w:val="0"/>
                                      <w:numId w:val="22"/>
                                    </w:numPr>
                                    <w:spacing w:before="100" w:beforeAutospacing="1" w:after="24" w:line="240" w:lineRule="auto"/>
                                    <w:ind w:left="1104"/>
                                    <w:rPr>
                                      <w:rFonts w:ascii="Arial" w:hAnsi="Arial" w:cs="Arial"/>
                                      <w:color w:val="202122"/>
                                      <w:sz w:val="19"/>
                                      <w:szCs w:val="19"/>
                                      <w:vertAlign w:val="superscript"/>
                                    </w:rPr>
                                  </w:pPr>
                                  <w:hyperlink r:id="rId35" w:tooltip="Soyouz (fusée)" w:history="1">
                                    <w:r>
                                      <w:rPr>
                                        <w:rStyle w:val="Lienhypertexte"/>
                                        <w:rFonts w:ascii="Arial" w:hAnsi="Arial" w:cs="Arial"/>
                                        <w:color w:val="3366CC"/>
                                        <w:sz w:val="19"/>
                                        <w:szCs w:val="19"/>
                                        <w:vertAlign w:val="superscript"/>
                                      </w:rPr>
                                      <w:t>Soyouz</w:t>
                                    </w:r>
                                  </w:hyperlink>
                                  <w:r>
                                    <w:rPr>
                                      <w:rFonts w:ascii="Arial" w:hAnsi="Arial" w:cs="Arial"/>
                                      <w:color w:val="202122"/>
                                      <w:sz w:val="19"/>
                                      <w:szCs w:val="19"/>
                                      <w:vertAlign w:val="superscript"/>
                                    </w:rPr>
                                    <w:t> (pour les modules mineurs du </w:t>
                                  </w:r>
                                  <w:hyperlink r:id="rId36" w:tooltip="Segment orbital russe" w:history="1">
                                    <w:r>
                                      <w:rPr>
                                        <w:rStyle w:val="Lienhypertexte"/>
                                        <w:rFonts w:ascii="Arial" w:hAnsi="Arial" w:cs="Arial"/>
                                        <w:color w:val="3366CC"/>
                                        <w:sz w:val="19"/>
                                        <w:szCs w:val="19"/>
                                        <w:vertAlign w:val="superscript"/>
                                      </w:rPr>
                                      <w:t>segment russe</w:t>
                                    </w:r>
                                  </w:hyperlink>
                                  <w:r>
                                    <w:rPr>
                                      <w:rFonts w:ascii="Arial" w:hAnsi="Arial" w:cs="Arial"/>
                                      <w:color w:val="202122"/>
                                      <w:sz w:val="19"/>
                                      <w:szCs w:val="19"/>
                                      <w:vertAlign w:val="superscript"/>
                                    </w:rPr>
                                    <w:t>)</w:t>
                                  </w:r>
                                </w:p>
                              </w:tc>
                            </w:tr>
                            <w:tr w:rsidR="00027791" w14:paraId="340234C8" w14:textId="77777777" w:rsidTr="00027791">
                              <w:tc>
                                <w:tcPr>
                                  <w:tcW w:w="2400" w:type="dxa"/>
                                  <w:tcMar>
                                    <w:top w:w="60" w:type="dxa"/>
                                    <w:left w:w="15" w:type="dxa"/>
                                    <w:bottom w:w="15" w:type="dxa"/>
                                    <w:right w:w="150" w:type="dxa"/>
                                  </w:tcMar>
                                  <w:vAlign w:val="center"/>
                                  <w:hideMark/>
                                </w:tcPr>
                                <w:p w14:paraId="6635D999" w14:textId="77777777" w:rsidR="00027791" w:rsidRDefault="00027791" w:rsidP="00027791">
                                  <w:pPr>
                                    <w:spacing w:after="0"/>
                                    <w:rPr>
                                      <w:rFonts w:ascii="Arial" w:hAnsi="Arial" w:cs="Arial"/>
                                      <w:b/>
                                      <w:bCs/>
                                      <w:color w:val="202122"/>
                                      <w:sz w:val="19"/>
                                      <w:szCs w:val="19"/>
                                      <w:vertAlign w:val="superscript"/>
                                    </w:rPr>
                                  </w:pPr>
                                  <w:hyperlink r:id="rId37" w:tooltip="Numéro d'immatriculation international des objets spatiaux" w:history="1">
                                    <w:r>
                                      <w:rPr>
                                        <w:rStyle w:val="Lienhypertexte"/>
                                        <w:rFonts w:ascii="Arial" w:hAnsi="Arial" w:cs="Arial"/>
                                        <w:b/>
                                        <w:bCs/>
                                        <w:color w:val="3366CC"/>
                                        <w:sz w:val="19"/>
                                        <w:szCs w:val="19"/>
                                        <w:vertAlign w:val="superscript"/>
                                      </w:rPr>
                                      <w:t>Identifiant COSPAR</w:t>
                                    </w:r>
                                  </w:hyperlink>
                                </w:p>
                              </w:tc>
                              <w:tc>
                                <w:tcPr>
                                  <w:tcW w:w="0" w:type="auto"/>
                                  <w:tcMar>
                                    <w:top w:w="60" w:type="dxa"/>
                                    <w:left w:w="15" w:type="dxa"/>
                                    <w:bottom w:w="15" w:type="dxa"/>
                                    <w:right w:w="15" w:type="dxa"/>
                                  </w:tcMar>
                                  <w:vAlign w:val="center"/>
                                  <w:hideMark/>
                                </w:tcPr>
                                <w:p w14:paraId="3AE9BCF1" w14:textId="77777777" w:rsidR="00027791" w:rsidRDefault="00027791" w:rsidP="00027791">
                                  <w:pPr>
                                    <w:rPr>
                                      <w:rFonts w:ascii="Arial" w:hAnsi="Arial" w:cs="Arial"/>
                                      <w:color w:val="202122"/>
                                      <w:sz w:val="19"/>
                                      <w:szCs w:val="19"/>
                                      <w:vertAlign w:val="superscript"/>
                                    </w:rPr>
                                  </w:pPr>
                                  <w:hyperlink r:id="rId38" w:history="1">
                                    <w:r>
                                      <w:rPr>
                                        <w:rStyle w:val="Lienhypertexte"/>
                                        <w:rFonts w:ascii="Arial" w:hAnsi="Arial" w:cs="Arial"/>
                                        <w:color w:val="3366CC"/>
                                        <w:sz w:val="19"/>
                                        <w:szCs w:val="19"/>
                                        <w:vertAlign w:val="superscript"/>
                                      </w:rPr>
                                      <w:t>1998-067A</w:t>
                                    </w:r>
                                  </w:hyperlink>
                                </w:p>
                              </w:tc>
                            </w:tr>
                            <w:tr w:rsidR="00027791" w14:paraId="57299503" w14:textId="77777777" w:rsidTr="00027791">
                              <w:tc>
                                <w:tcPr>
                                  <w:tcW w:w="2400" w:type="dxa"/>
                                  <w:tcMar>
                                    <w:top w:w="60" w:type="dxa"/>
                                    <w:left w:w="15" w:type="dxa"/>
                                    <w:bottom w:w="15" w:type="dxa"/>
                                    <w:right w:w="150" w:type="dxa"/>
                                  </w:tcMar>
                                  <w:vAlign w:val="center"/>
                                  <w:hideMark/>
                                </w:tcPr>
                                <w:p w14:paraId="53AF9E38" w14:textId="77777777" w:rsidR="00027791" w:rsidRDefault="00027791" w:rsidP="00027791">
                                  <w:pPr>
                                    <w:rPr>
                                      <w:rFonts w:ascii="Arial" w:hAnsi="Arial" w:cs="Arial"/>
                                      <w:b/>
                                      <w:bCs/>
                                      <w:color w:val="202122"/>
                                      <w:sz w:val="19"/>
                                      <w:szCs w:val="19"/>
                                      <w:vertAlign w:val="superscript"/>
                                    </w:rPr>
                                  </w:pPr>
                                  <w:hyperlink r:id="rId39" w:tooltip="Site web" w:history="1">
                                    <w:r>
                                      <w:rPr>
                                        <w:rStyle w:val="Lienhypertexte"/>
                                        <w:rFonts w:ascii="Arial" w:hAnsi="Arial" w:cs="Arial"/>
                                        <w:b/>
                                        <w:bCs/>
                                        <w:color w:val="3366CC"/>
                                        <w:sz w:val="19"/>
                                        <w:szCs w:val="19"/>
                                        <w:vertAlign w:val="superscript"/>
                                      </w:rPr>
                                      <w:t>Site</w:t>
                                    </w:r>
                                  </w:hyperlink>
                                </w:p>
                              </w:tc>
                              <w:tc>
                                <w:tcPr>
                                  <w:tcW w:w="0" w:type="auto"/>
                                  <w:tcMar>
                                    <w:top w:w="60" w:type="dxa"/>
                                    <w:left w:w="15" w:type="dxa"/>
                                    <w:bottom w:w="15" w:type="dxa"/>
                                    <w:right w:w="15" w:type="dxa"/>
                                  </w:tcMar>
                                  <w:vAlign w:val="center"/>
                                  <w:hideMark/>
                                </w:tcPr>
                                <w:p w14:paraId="1355A1B7" w14:textId="77777777" w:rsidR="00027791" w:rsidRDefault="00027791" w:rsidP="00027791">
                                  <w:pPr>
                                    <w:rPr>
                                      <w:rFonts w:ascii="Arial" w:hAnsi="Arial" w:cs="Arial"/>
                                      <w:color w:val="202122"/>
                                      <w:sz w:val="19"/>
                                      <w:szCs w:val="19"/>
                                      <w:vertAlign w:val="superscript"/>
                                    </w:rPr>
                                  </w:pPr>
                                  <w:hyperlink r:id="rId40" w:history="1">
                                    <w:r>
                                      <w:rPr>
                                        <w:rStyle w:val="Lienhypertexte"/>
                                        <w:rFonts w:ascii="Arial" w:hAnsi="Arial" w:cs="Arial"/>
                                        <w:color w:val="3366CC"/>
                                        <w:sz w:val="19"/>
                                        <w:szCs w:val="19"/>
                                        <w:vertAlign w:val="superscript"/>
                                      </w:rPr>
                                      <w:t>www.nasa.gov/mission_pages/station/main/index.html</w:t>
                                    </w:r>
                                  </w:hyperlink>
                                </w:p>
                              </w:tc>
                            </w:tr>
                          </w:tbl>
                          <w:p w14:paraId="71468262" w14:textId="77777777" w:rsidR="00027791" w:rsidRDefault="00027791" w:rsidP="00027791">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2400"/>
                              <w:gridCol w:w="2325"/>
                            </w:tblGrid>
                            <w:tr w:rsidR="00027791" w14:paraId="08F27EF8" w14:textId="77777777" w:rsidTr="00027791">
                              <w:tc>
                                <w:tcPr>
                                  <w:tcW w:w="0" w:type="auto"/>
                                  <w:gridSpan w:val="2"/>
                                  <w:tcBorders>
                                    <w:top w:val="nil"/>
                                    <w:left w:val="nil"/>
                                    <w:bottom w:val="nil"/>
                                    <w:right w:val="nil"/>
                                  </w:tcBorders>
                                  <w:tcMar>
                                    <w:top w:w="60" w:type="dxa"/>
                                    <w:left w:w="15" w:type="dxa"/>
                                    <w:bottom w:w="15" w:type="dxa"/>
                                    <w:right w:w="150" w:type="dxa"/>
                                  </w:tcMar>
                                  <w:vAlign w:val="center"/>
                                  <w:hideMark/>
                                </w:tcPr>
                                <w:p w14:paraId="3904D1D4" w14:textId="77777777" w:rsidR="00027791" w:rsidRDefault="00027791" w:rsidP="00027791">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Caractéristiques techniques</w:t>
                                  </w:r>
                                </w:p>
                              </w:tc>
                            </w:tr>
                            <w:tr w:rsidR="00027791" w14:paraId="52682C00" w14:textId="77777777" w:rsidTr="00027791">
                              <w:tc>
                                <w:tcPr>
                                  <w:tcW w:w="2400" w:type="dxa"/>
                                  <w:tcMar>
                                    <w:top w:w="60" w:type="dxa"/>
                                    <w:left w:w="15" w:type="dxa"/>
                                    <w:bottom w:w="15" w:type="dxa"/>
                                    <w:right w:w="150" w:type="dxa"/>
                                  </w:tcMar>
                                  <w:vAlign w:val="center"/>
                                  <w:hideMark/>
                                </w:tcPr>
                                <w:p w14:paraId="59FDB879" w14:textId="77777777" w:rsidR="00027791" w:rsidRDefault="00027791" w:rsidP="00027791">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Masse en orbite</w:t>
                                  </w:r>
                                </w:p>
                              </w:tc>
                              <w:tc>
                                <w:tcPr>
                                  <w:tcW w:w="0" w:type="auto"/>
                                  <w:tcMar>
                                    <w:top w:w="60" w:type="dxa"/>
                                    <w:left w:w="15" w:type="dxa"/>
                                    <w:bottom w:w="15" w:type="dxa"/>
                                    <w:right w:w="15" w:type="dxa"/>
                                  </w:tcMar>
                                  <w:vAlign w:val="center"/>
                                  <w:hideMark/>
                                </w:tcPr>
                                <w:p w14:paraId="759AE5A0"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Environ 450 tonnes</w:t>
                                  </w:r>
                                </w:p>
                              </w:tc>
                            </w:tr>
                          </w:tbl>
                          <w:p w14:paraId="016CE607" w14:textId="77777777" w:rsidR="00027791" w:rsidRDefault="00027791" w:rsidP="00027791">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2400"/>
                              <w:gridCol w:w="2325"/>
                            </w:tblGrid>
                            <w:tr w:rsidR="00027791" w14:paraId="17FA8612" w14:textId="77777777" w:rsidTr="00027791">
                              <w:tc>
                                <w:tcPr>
                                  <w:tcW w:w="0" w:type="auto"/>
                                  <w:gridSpan w:val="2"/>
                                  <w:tcBorders>
                                    <w:top w:val="nil"/>
                                    <w:left w:val="nil"/>
                                    <w:bottom w:val="nil"/>
                                    <w:right w:val="nil"/>
                                  </w:tcBorders>
                                  <w:tcMar>
                                    <w:top w:w="60" w:type="dxa"/>
                                    <w:left w:w="15" w:type="dxa"/>
                                    <w:bottom w:w="15" w:type="dxa"/>
                                    <w:right w:w="150" w:type="dxa"/>
                                  </w:tcMar>
                                  <w:vAlign w:val="center"/>
                                  <w:hideMark/>
                                </w:tcPr>
                                <w:p w14:paraId="49C14ED8" w14:textId="77777777" w:rsidR="00027791" w:rsidRDefault="00027791" w:rsidP="00027791">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Orbite</w:t>
                                  </w:r>
                                </w:p>
                              </w:tc>
                            </w:tr>
                            <w:tr w:rsidR="00027791" w14:paraId="09A78E1D" w14:textId="77777777" w:rsidTr="00027791">
                              <w:tc>
                                <w:tcPr>
                                  <w:tcW w:w="2400" w:type="dxa"/>
                                  <w:tcMar>
                                    <w:top w:w="60" w:type="dxa"/>
                                    <w:left w:w="15" w:type="dxa"/>
                                    <w:bottom w:w="15" w:type="dxa"/>
                                    <w:right w:w="150" w:type="dxa"/>
                                  </w:tcMar>
                                  <w:vAlign w:val="center"/>
                                  <w:hideMark/>
                                </w:tcPr>
                                <w:p w14:paraId="00F61811" w14:textId="77777777" w:rsidR="00027791" w:rsidRDefault="00027791" w:rsidP="00027791">
                                  <w:pPr>
                                    <w:spacing w:after="0"/>
                                    <w:rPr>
                                      <w:rFonts w:ascii="Arial" w:hAnsi="Arial" w:cs="Arial"/>
                                      <w:b/>
                                      <w:bCs/>
                                      <w:color w:val="202122"/>
                                      <w:sz w:val="19"/>
                                      <w:szCs w:val="19"/>
                                      <w:vertAlign w:val="superscript"/>
                                    </w:rPr>
                                  </w:pPr>
                                  <w:hyperlink r:id="rId41" w:tooltip="Orbite" w:history="1">
                                    <w:r>
                                      <w:rPr>
                                        <w:rStyle w:val="Lienhypertexte"/>
                                        <w:rFonts w:ascii="Arial" w:hAnsi="Arial" w:cs="Arial"/>
                                        <w:b/>
                                        <w:bCs/>
                                        <w:color w:val="3366CC"/>
                                        <w:sz w:val="19"/>
                                        <w:szCs w:val="19"/>
                                        <w:vertAlign w:val="superscript"/>
                                      </w:rPr>
                                      <w:t>Orbite</w:t>
                                    </w:r>
                                  </w:hyperlink>
                                </w:p>
                              </w:tc>
                              <w:tc>
                                <w:tcPr>
                                  <w:tcW w:w="0" w:type="auto"/>
                                  <w:tcMar>
                                    <w:top w:w="60" w:type="dxa"/>
                                    <w:left w:w="15" w:type="dxa"/>
                                    <w:bottom w:w="15" w:type="dxa"/>
                                    <w:right w:w="15" w:type="dxa"/>
                                  </w:tcMar>
                                  <w:vAlign w:val="center"/>
                                  <w:hideMark/>
                                </w:tcPr>
                                <w:p w14:paraId="7C05E823" w14:textId="77777777" w:rsidR="00027791" w:rsidRDefault="00027791" w:rsidP="00027791">
                                  <w:pPr>
                                    <w:rPr>
                                      <w:rFonts w:ascii="Arial" w:hAnsi="Arial" w:cs="Arial"/>
                                      <w:color w:val="202122"/>
                                      <w:sz w:val="19"/>
                                      <w:szCs w:val="19"/>
                                      <w:vertAlign w:val="superscript"/>
                                    </w:rPr>
                                  </w:pPr>
                                  <w:hyperlink r:id="rId42" w:tooltip="Orbite terrestre basse" w:history="1">
                                    <w:r>
                                      <w:rPr>
                                        <w:rStyle w:val="Lienhypertexte"/>
                                        <w:rFonts w:ascii="Arial" w:hAnsi="Arial" w:cs="Arial"/>
                                        <w:color w:val="3366CC"/>
                                        <w:sz w:val="19"/>
                                        <w:szCs w:val="19"/>
                                        <w:vertAlign w:val="superscript"/>
                                      </w:rPr>
                                      <w:t>Orbite terrestre basse</w:t>
                                    </w:r>
                                  </w:hyperlink>
                                </w:p>
                              </w:tc>
                            </w:tr>
                            <w:tr w:rsidR="00027791" w14:paraId="20CBA6B6" w14:textId="77777777" w:rsidTr="00027791">
                              <w:tc>
                                <w:tcPr>
                                  <w:tcW w:w="2400" w:type="dxa"/>
                                  <w:tcMar>
                                    <w:top w:w="60" w:type="dxa"/>
                                    <w:left w:w="15" w:type="dxa"/>
                                    <w:bottom w:w="15" w:type="dxa"/>
                                    <w:right w:w="150" w:type="dxa"/>
                                  </w:tcMar>
                                  <w:vAlign w:val="center"/>
                                  <w:hideMark/>
                                </w:tcPr>
                                <w:p w14:paraId="7C03B63D" w14:textId="77777777" w:rsidR="00027791" w:rsidRDefault="00027791" w:rsidP="00027791">
                                  <w:pPr>
                                    <w:rPr>
                                      <w:rFonts w:ascii="Arial" w:hAnsi="Arial" w:cs="Arial"/>
                                      <w:b/>
                                      <w:bCs/>
                                      <w:color w:val="202122"/>
                                      <w:sz w:val="19"/>
                                      <w:szCs w:val="19"/>
                                      <w:vertAlign w:val="superscript"/>
                                    </w:rPr>
                                  </w:pPr>
                                  <w:hyperlink r:id="rId43" w:tooltip="Périgée" w:history="1">
                                    <w:r>
                                      <w:rPr>
                                        <w:rStyle w:val="Lienhypertexte"/>
                                        <w:rFonts w:ascii="Arial" w:hAnsi="Arial" w:cs="Arial"/>
                                        <w:b/>
                                        <w:bCs/>
                                        <w:color w:val="3366CC"/>
                                        <w:sz w:val="19"/>
                                        <w:szCs w:val="19"/>
                                        <w:vertAlign w:val="superscript"/>
                                      </w:rPr>
                                      <w:t>Périgée</w:t>
                                    </w:r>
                                  </w:hyperlink>
                                </w:p>
                              </w:tc>
                              <w:tc>
                                <w:tcPr>
                                  <w:tcW w:w="0" w:type="auto"/>
                                  <w:tcMar>
                                    <w:top w:w="60" w:type="dxa"/>
                                    <w:left w:w="15" w:type="dxa"/>
                                    <w:bottom w:w="15" w:type="dxa"/>
                                    <w:right w:w="15" w:type="dxa"/>
                                  </w:tcMar>
                                  <w:vAlign w:val="center"/>
                                  <w:hideMark/>
                                </w:tcPr>
                                <w:p w14:paraId="35733BD8"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414 km d'altitude (21 décembre 2022)</w:t>
                                  </w:r>
                                  <w:hyperlink r:id="rId44" w:anchor="cite_note-HeavensAbove-1" w:history="1">
                                    <w:r>
                                      <w:rPr>
                                        <w:rStyle w:val="Lienhypertexte"/>
                                        <w:rFonts w:ascii="Arial" w:hAnsi="Arial" w:cs="Arial"/>
                                        <w:color w:val="3366CC"/>
                                        <w:sz w:val="15"/>
                                        <w:szCs w:val="15"/>
                                        <w:vertAlign w:val="superscript"/>
                                      </w:rPr>
                                      <w:t>1</w:t>
                                    </w:r>
                                  </w:hyperlink>
                                </w:p>
                              </w:tc>
                            </w:tr>
                            <w:tr w:rsidR="00027791" w14:paraId="1497B686" w14:textId="77777777" w:rsidTr="00027791">
                              <w:tc>
                                <w:tcPr>
                                  <w:tcW w:w="2400" w:type="dxa"/>
                                  <w:tcMar>
                                    <w:top w:w="60" w:type="dxa"/>
                                    <w:left w:w="15" w:type="dxa"/>
                                    <w:bottom w:w="15" w:type="dxa"/>
                                    <w:right w:w="150" w:type="dxa"/>
                                  </w:tcMar>
                                  <w:vAlign w:val="center"/>
                                  <w:hideMark/>
                                </w:tcPr>
                                <w:p w14:paraId="3FC75468" w14:textId="77777777" w:rsidR="00027791" w:rsidRDefault="00027791" w:rsidP="00027791">
                                  <w:pPr>
                                    <w:rPr>
                                      <w:rFonts w:ascii="Arial" w:hAnsi="Arial" w:cs="Arial"/>
                                      <w:b/>
                                      <w:bCs/>
                                      <w:color w:val="202122"/>
                                      <w:sz w:val="19"/>
                                      <w:szCs w:val="19"/>
                                      <w:vertAlign w:val="superscript"/>
                                    </w:rPr>
                                  </w:pPr>
                                  <w:hyperlink r:id="rId45" w:tooltip="Apogée" w:history="1">
                                    <w:r>
                                      <w:rPr>
                                        <w:rStyle w:val="Lienhypertexte"/>
                                        <w:rFonts w:ascii="Arial" w:hAnsi="Arial" w:cs="Arial"/>
                                        <w:b/>
                                        <w:bCs/>
                                        <w:color w:val="3366CC"/>
                                        <w:sz w:val="19"/>
                                        <w:szCs w:val="19"/>
                                        <w:vertAlign w:val="superscript"/>
                                      </w:rPr>
                                      <w:t>Apogée</w:t>
                                    </w:r>
                                  </w:hyperlink>
                                </w:p>
                              </w:tc>
                              <w:tc>
                                <w:tcPr>
                                  <w:tcW w:w="0" w:type="auto"/>
                                  <w:tcMar>
                                    <w:top w:w="60" w:type="dxa"/>
                                    <w:left w:w="15" w:type="dxa"/>
                                    <w:bottom w:w="15" w:type="dxa"/>
                                    <w:right w:w="15" w:type="dxa"/>
                                  </w:tcMar>
                                  <w:vAlign w:val="center"/>
                                  <w:hideMark/>
                                </w:tcPr>
                                <w:p w14:paraId="5CFDEDC6"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419 km d'altitude (21 décembre 2022)</w:t>
                                  </w:r>
                                  <w:hyperlink r:id="rId46" w:anchor="cite_note-HeavensAbove-1" w:history="1">
                                    <w:r>
                                      <w:rPr>
                                        <w:rStyle w:val="Lienhypertexte"/>
                                        <w:rFonts w:ascii="Arial" w:hAnsi="Arial" w:cs="Arial"/>
                                        <w:color w:val="3366CC"/>
                                        <w:sz w:val="15"/>
                                        <w:szCs w:val="15"/>
                                        <w:vertAlign w:val="superscript"/>
                                      </w:rPr>
                                      <w:t>1</w:t>
                                    </w:r>
                                  </w:hyperlink>
                                </w:p>
                              </w:tc>
                            </w:tr>
                            <w:tr w:rsidR="00027791" w14:paraId="5F0B8DB9" w14:textId="77777777" w:rsidTr="00027791">
                              <w:tc>
                                <w:tcPr>
                                  <w:tcW w:w="2400" w:type="dxa"/>
                                  <w:tcMar>
                                    <w:top w:w="60" w:type="dxa"/>
                                    <w:left w:w="15" w:type="dxa"/>
                                    <w:bottom w:w="15" w:type="dxa"/>
                                    <w:right w:w="150" w:type="dxa"/>
                                  </w:tcMar>
                                  <w:vAlign w:val="center"/>
                                  <w:hideMark/>
                                </w:tcPr>
                                <w:p w14:paraId="1B41F43F" w14:textId="77777777" w:rsidR="00027791" w:rsidRDefault="00027791" w:rsidP="00027791">
                                  <w:pPr>
                                    <w:rPr>
                                      <w:rFonts w:ascii="Arial" w:hAnsi="Arial" w:cs="Arial"/>
                                      <w:b/>
                                      <w:bCs/>
                                      <w:color w:val="202122"/>
                                      <w:sz w:val="19"/>
                                      <w:szCs w:val="19"/>
                                      <w:vertAlign w:val="superscript"/>
                                    </w:rPr>
                                  </w:pPr>
                                  <w:hyperlink r:id="rId47" w:tooltip="Période de révolution" w:history="1">
                                    <w:r>
                                      <w:rPr>
                                        <w:rStyle w:val="Lienhypertexte"/>
                                        <w:rFonts w:ascii="Arial" w:hAnsi="Arial" w:cs="Arial"/>
                                        <w:b/>
                                        <w:bCs/>
                                        <w:color w:val="3366CC"/>
                                        <w:sz w:val="19"/>
                                        <w:szCs w:val="19"/>
                                        <w:vertAlign w:val="superscript"/>
                                      </w:rPr>
                                      <w:t>Période</w:t>
                                    </w:r>
                                  </w:hyperlink>
                                </w:p>
                              </w:tc>
                              <w:tc>
                                <w:tcPr>
                                  <w:tcW w:w="0" w:type="auto"/>
                                  <w:tcMar>
                                    <w:top w:w="60" w:type="dxa"/>
                                    <w:left w:w="15" w:type="dxa"/>
                                    <w:bottom w:w="15" w:type="dxa"/>
                                    <w:right w:w="15" w:type="dxa"/>
                                  </w:tcMar>
                                  <w:vAlign w:val="center"/>
                                  <w:hideMark/>
                                </w:tcPr>
                                <w:p w14:paraId="4C43C5E4"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92,69 min</w:t>
                                  </w:r>
                                </w:p>
                              </w:tc>
                            </w:tr>
                            <w:tr w:rsidR="00027791" w14:paraId="40AC8A72" w14:textId="77777777" w:rsidTr="00027791">
                              <w:tc>
                                <w:tcPr>
                                  <w:tcW w:w="2400" w:type="dxa"/>
                                  <w:tcMar>
                                    <w:top w:w="60" w:type="dxa"/>
                                    <w:left w:w="15" w:type="dxa"/>
                                    <w:bottom w:w="15" w:type="dxa"/>
                                    <w:right w:w="150" w:type="dxa"/>
                                  </w:tcMar>
                                  <w:vAlign w:val="center"/>
                                  <w:hideMark/>
                                </w:tcPr>
                                <w:p w14:paraId="5948E080" w14:textId="77777777" w:rsidR="00027791" w:rsidRDefault="00027791" w:rsidP="00027791">
                                  <w:pPr>
                                    <w:rPr>
                                      <w:rFonts w:ascii="Arial" w:hAnsi="Arial" w:cs="Arial"/>
                                      <w:b/>
                                      <w:bCs/>
                                      <w:color w:val="202122"/>
                                      <w:sz w:val="19"/>
                                      <w:szCs w:val="19"/>
                                      <w:vertAlign w:val="superscript"/>
                                    </w:rPr>
                                  </w:pPr>
                                  <w:hyperlink r:id="rId48" w:tooltip="Inclinaison orbitale" w:history="1">
                                    <w:r>
                                      <w:rPr>
                                        <w:rStyle w:val="Lienhypertexte"/>
                                        <w:rFonts w:ascii="Arial" w:hAnsi="Arial" w:cs="Arial"/>
                                        <w:b/>
                                        <w:bCs/>
                                        <w:color w:val="3366CC"/>
                                        <w:sz w:val="19"/>
                                        <w:szCs w:val="19"/>
                                        <w:vertAlign w:val="superscript"/>
                                      </w:rPr>
                                      <w:t>Inclinaison</w:t>
                                    </w:r>
                                  </w:hyperlink>
                                </w:p>
                              </w:tc>
                              <w:tc>
                                <w:tcPr>
                                  <w:tcW w:w="0" w:type="auto"/>
                                  <w:tcMar>
                                    <w:top w:w="60" w:type="dxa"/>
                                    <w:left w:w="15" w:type="dxa"/>
                                    <w:bottom w:w="15" w:type="dxa"/>
                                    <w:right w:w="15" w:type="dxa"/>
                                  </w:tcMar>
                                  <w:vAlign w:val="center"/>
                                  <w:hideMark/>
                                </w:tcPr>
                                <w:p w14:paraId="5BD976B9"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51,65°</w:t>
                                  </w:r>
                                </w:p>
                              </w:tc>
                            </w:tr>
                            <w:tr w:rsidR="00027791" w14:paraId="6CCF0592" w14:textId="77777777" w:rsidTr="00027791">
                              <w:tc>
                                <w:tcPr>
                                  <w:tcW w:w="2400" w:type="dxa"/>
                                  <w:tcMar>
                                    <w:top w:w="60" w:type="dxa"/>
                                    <w:left w:w="15" w:type="dxa"/>
                                    <w:bottom w:w="15" w:type="dxa"/>
                                    <w:right w:w="150" w:type="dxa"/>
                                  </w:tcMar>
                                  <w:vAlign w:val="center"/>
                                  <w:hideMark/>
                                </w:tcPr>
                                <w:p w14:paraId="36481F31" w14:textId="77777777" w:rsidR="00027791" w:rsidRDefault="00027791" w:rsidP="00027791">
                                  <w:pPr>
                                    <w:rPr>
                                      <w:rFonts w:ascii="Arial" w:hAnsi="Arial" w:cs="Arial"/>
                                      <w:b/>
                                      <w:bCs/>
                                      <w:color w:val="202122"/>
                                      <w:sz w:val="19"/>
                                      <w:szCs w:val="19"/>
                                      <w:vertAlign w:val="superscript"/>
                                    </w:rPr>
                                  </w:pPr>
                                  <w:r>
                                    <w:rPr>
                                      <w:rFonts w:ascii="Arial" w:hAnsi="Arial" w:cs="Arial"/>
                                      <w:b/>
                                      <w:bCs/>
                                      <w:color w:val="202122"/>
                                      <w:sz w:val="19"/>
                                      <w:szCs w:val="19"/>
                                      <w:vertAlign w:val="superscript"/>
                                    </w:rPr>
                                    <w:t>Orbites</w:t>
                                  </w:r>
                                </w:p>
                              </w:tc>
                              <w:tc>
                                <w:tcPr>
                                  <w:tcW w:w="0" w:type="auto"/>
                                  <w:tcMar>
                                    <w:top w:w="60" w:type="dxa"/>
                                    <w:left w:w="15" w:type="dxa"/>
                                    <w:bottom w:w="15" w:type="dxa"/>
                                    <w:right w:w="15" w:type="dxa"/>
                                  </w:tcMar>
                                  <w:vAlign w:val="center"/>
                                  <w:hideMark/>
                                </w:tcPr>
                                <w:p w14:paraId="07E1643C"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 133 312 en juin 2022</w:t>
                                  </w:r>
                                </w:p>
                              </w:tc>
                            </w:tr>
                          </w:tbl>
                          <w:p w14:paraId="1754DB68" w14:textId="77777777" w:rsidR="00387164" w:rsidRDefault="003871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28A3BC" id="_x0000_t202" coordsize="21600,21600" o:spt="202" path="m,l,21600r21600,l21600,xe">
                <v:stroke joinstyle="miter"/>
                <v:path gradientshapeok="t" o:connecttype="rect"/>
              </v:shapetype>
              <v:shape id="Zone de texte 3" o:spid="_x0000_s1026" type="#_x0000_t202" style="position:absolute;left:0;text-align:left;margin-left:264.55pt;margin-top:32.4pt;width:253.8pt;height:5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" fillcolor="white [3201]" strokeweight=".5pt">
                <v:textbox>
                  <w:txbxContent>
                    <w:tbl>
                      <w:tblPr>
                        <w:tblW w:w="4725" w:type="dxa"/>
                        <w:tblCellMar>
                          <w:top w:w="15" w:type="dxa"/>
                          <w:left w:w="15" w:type="dxa"/>
                          <w:bottom w:w="15" w:type="dxa"/>
                          <w:right w:w="15" w:type="dxa"/>
                        </w:tblCellMar>
                        <w:tblLook w:val="04A0" w:firstRow="1" w:lastRow="0" w:firstColumn="1" w:lastColumn="0" w:noHBand="0" w:noVBand="1"/>
                      </w:tblPr>
                      <w:tblGrid>
                        <w:gridCol w:w="1820"/>
                        <w:gridCol w:w="2905"/>
                      </w:tblGrid>
                      <w:tr w:rsidR="00027791" w14:paraId="1401C32A" w14:textId="77777777" w:rsidTr="00027791">
                        <w:tc>
                          <w:tcPr>
                            <w:tcW w:w="0" w:type="auto"/>
                            <w:gridSpan w:val="2"/>
                            <w:tcBorders>
                              <w:top w:val="nil"/>
                              <w:left w:val="nil"/>
                              <w:bottom w:val="nil"/>
                              <w:right w:val="nil"/>
                            </w:tcBorders>
                            <w:tcMar>
                              <w:top w:w="60" w:type="dxa"/>
                              <w:left w:w="15" w:type="dxa"/>
                              <w:bottom w:w="15" w:type="dxa"/>
                              <w:right w:w="150" w:type="dxa"/>
                            </w:tcMar>
                            <w:vAlign w:val="center"/>
                            <w:hideMark/>
                          </w:tcPr>
                          <w:p w14:paraId="0D91233E" w14:textId="77777777" w:rsidR="00027791" w:rsidRDefault="00027791" w:rsidP="00027791">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Données générales</w:t>
                            </w:r>
                          </w:p>
                        </w:tc>
                      </w:tr>
                      <w:tr w:rsidR="00027791" w14:paraId="2DF4FAED" w14:textId="77777777" w:rsidTr="00027791">
                        <w:tc>
                          <w:tcPr>
                            <w:tcW w:w="2400" w:type="dxa"/>
                            <w:tcMar>
                              <w:top w:w="60" w:type="dxa"/>
                              <w:left w:w="15" w:type="dxa"/>
                              <w:bottom w:w="15" w:type="dxa"/>
                              <w:right w:w="150" w:type="dxa"/>
                            </w:tcMar>
                            <w:vAlign w:val="center"/>
                            <w:hideMark/>
                          </w:tcPr>
                          <w:p w14:paraId="22A8DA3B" w14:textId="77777777" w:rsidR="00027791" w:rsidRDefault="00027791" w:rsidP="00027791">
                            <w:pPr>
                              <w:spacing w:after="0"/>
                              <w:rPr>
                                <w:rFonts w:ascii="Arial" w:hAnsi="Arial" w:cs="Arial"/>
                                <w:b/>
                                <w:bCs/>
                                <w:color w:val="202122"/>
                                <w:sz w:val="19"/>
                                <w:szCs w:val="19"/>
                                <w:vertAlign w:val="superscript"/>
                              </w:rPr>
                            </w:pPr>
                            <w:hyperlink r:id="rId49" w:tooltip="Agence spatiale" w:history="1">
                              <w:r>
                                <w:rPr>
                                  <w:rStyle w:val="Lienhypertexte"/>
                                  <w:rFonts w:ascii="Arial" w:hAnsi="Arial" w:cs="Arial"/>
                                  <w:b/>
                                  <w:bCs/>
                                  <w:color w:val="3366CC"/>
                                  <w:sz w:val="19"/>
                                  <w:szCs w:val="19"/>
                                  <w:vertAlign w:val="superscript"/>
                                </w:rPr>
                                <w:t>Organisation</w:t>
                              </w:r>
                            </w:hyperlink>
                          </w:p>
                        </w:tc>
                        <w:tc>
                          <w:tcPr>
                            <w:tcW w:w="0" w:type="auto"/>
                            <w:tcMar>
                              <w:top w:w="60" w:type="dxa"/>
                              <w:left w:w="15" w:type="dxa"/>
                              <w:bottom w:w="15" w:type="dxa"/>
                              <w:right w:w="15" w:type="dxa"/>
                            </w:tcMar>
                            <w:vAlign w:val="center"/>
                            <w:hideMark/>
                          </w:tcPr>
                          <w:p w14:paraId="42C8D736" w14:textId="59EAC5BF" w:rsidR="00027791" w:rsidRDefault="00027791" w:rsidP="00027791">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44C42156" wp14:editId="59101B0E">
                                  <wp:extent cx="190500" cy="106680"/>
                                  <wp:effectExtent l="0" t="0" r="0" b="7620"/>
                                  <wp:docPr id="781675098" name="Image 6" descr="Drapeau des États-Unis">
                                    <a:hlinkClick xmlns:a="http://schemas.openxmlformats.org/drawingml/2006/main" r:id="rId10"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apeau des États-Unis">
                                            <a:hlinkClick r:id="rId10" tooltip="&quot;Drapeau des États-Unis&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Fonts w:ascii="Arial" w:hAnsi="Arial" w:cs="Arial"/>
                                <w:color w:val="202122"/>
                                <w:sz w:val="19"/>
                                <w:szCs w:val="19"/>
                                <w:vertAlign w:val="superscript"/>
                              </w:rPr>
                              <w:t> </w:t>
                            </w:r>
                            <w:hyperlink r:id="rId50" w:tooltip="National Aeronautics and Space Administration" w:history="1">
                              <w:r>
                                <w:rPr>
                                  <w:rStyle w:val="Lienhypertexte"/>
                                  <w:rFonts w:ascii="Arial" w:hAnsi="Arial" w:cs="Arial"/>
                                  <w:color w:val="3366CC"/>
                                  <w:sz w:val="19"/>
                                  <w:szCs w:val="19"/>
                                  <w:vertAlign w:val="superscript"/>
                                </w:rPr>
                                <w:t>NASA</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333FC4B9" wp14:editId="3DDD5546">
                                  <wp:extent cx="190500" cy="121920"/>
                                  <wp:effectExtent l="0" t="0" r="0" b="0"/>
                                  <wp:docPr id="371472654" name="Image 5" descr="Drapeau de la Russie">
                                    <a:hlinkClick xmlns:a="http://schemas.openxmlformats.org/drawingml/2006/main" r:id="rId13" tooltip="&quot;Drapeau de la Russ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apeau de la Russie">
                                            <a:hlinkClick r:id="rId13" tooltip="&quot;Drapeau de la Russie&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proofErr w:type="spellStart"/>
                            <w:r>
                              <w:rPr>
                                <w:rFonts w:ascii="Arial" w:hAnsi="Arial" w:cs="Arial"/>
                                <w:color w:val="202122"/>
                                <w:sz w:val="19"/>
                                <w:szCs w:val="19"/>
                                <w:vertAlign w:val="superscript"/>
                              </w:rPr>
                              <w:fldChar w:fldCharType="begin"/>
                            </w:r>
                            <w:r>
                              <w:rPr>
                                <w:rFonts w:ascii="Arial" w:hAnsi="Arial" w:cs="Arial"/>
                                <w:color w:val="202122"/>
                                <w:sz w:val="19"/>
                                <w:szCs w:val="19"/>
                                <w:vertAlign w:val="superscript"/>
                              </w:rPr>
                              <w:instrText xml:space="preserve"> HYPERLINK "https://fr.wikipedia.org/wiki/Roscosmos" \o "Roscosmos" </w:instrText>
                            </w:r>
                            <w:r>
                              <w:rPr>
                                <w:rFonts w:ascii="Arial" w:hAnsi="Arial" w:cs="Arial"/>
                                <w:color w:val="202122"/>
                                <w:sz w:val="19"/>
                                <w:szCs w:val="19"/>
                                <w:vertAlign w:val="superscript"/>
                              </w:rPr>
                              <w:fldChar w:fldCharType="separate"/>
                            </w:r>
                            <w:r>
                              <w:rPr>
                                <w:rStyle w:val="Lienhypertexte"/>
                                <w:rFonts w:ascii="Arial" w:hAnsi="Arial" w:cs="Arial"/>
                                <w:color w:val="3366CC"/>
                                <w:sz w:val="19"/>
                                <w:szCs w:val="19"/>
                                <w:vertAlign w:val="superscript"/>
                              </w:rPr>
                              <w:t>Roscosmos</w:t>
                            </w:r>
                            <w:proofErr w:type="spellEnd"/>
                            <w:r>
                              <w:rPr>
                                <w:rFonts w:ascii="Arial" w:hAnsi="Arial" w:cs="Arial"/>
                                <w:color w:val="202122"/>
                                <w:sz w:val="19"/>
                                <w:szCs w:val="19"/>
                                <w:vertAlign w:val="superscript"/>
                              </w:rPr>
                              <w:fldChar w:fldCharType="end"/>
                            </w:r>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306AB6F0" wp14:editId="66FD4D2B">
                                  <wp:extent cx="190500" cy="121920"/>
                                  <wp:effectExtent l="0" t="0" r="0" b="0"/>
                                  <wp:docPr id="646796154" name="Image 4" descr="Drapeau de l’Union européenne">
                                    <a:hlinkClick xmlns:a="http://schemas.openxmlformats.org/drawingml/2006/main" r:id="rId15" tooltip="&quot;Drapeau de l’Union européenn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apeau de l’Union européenne">
                                            <a:hlinkClick r:id="rId15" tooltip="&quot;Drapeau de l’Union européenne&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hyperlink r:id="rId51" w:tooltip="Agence spatiale européenne" w:history="1">
                              <w:r>
                                <w:rPr>
                                  <w:rStyle w:val="Lienhypertexte"/>
                                  <w:rFonts w:ascii="Arial" w:hAnsi="Arial" w:cs="Arial"/>
                                  <w:color w:val="3366CC"/>
                                  <w:sz w:val="19"/>
                                  <w:szCs w:val="19"/>
                                  <w:vertAlign w:val="superscript"/>
                                </w:rPr>
                                <w:t>ESA</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08F8E4D7" wp14:editId="6BADC89D">
                                  <wp:extent cx="190500" cy="121920"/>
                                  <wp:effectExtent l="0" t="0" r="0" b="0"/>
                                  <wp:docPr id="659034368" name="Image 3" descr="Drapeau du Japon">
                                    <a:hlinkClick xmlns:a="http://schemas.openxmlformats.org/drawingml/2006/main" r:id="rId18" tooltip="&quot;Drapeau du Jap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apeau du Japon">
                                            <a:hlinkClick r:id="rId18" tooltip="&quot;Drapeau du Japon&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hyperlink r:id="rId52" w:tooltip="Agence d'exploration aérospatiale japonaise" w:history="1">
                              <w:r>
                                <w:rPr>
                                  <w:rStyle w:val="Lienhypertexte"/>
                                  <w:rFonts w:ascii="Arial" w:hAnsi="Arial" w:cs="Arial"/>
                                  <w:color w:val="3366CC"/>
                                  <w:sz w:val="19"/>
                                  <w:szCs w:val="19"/>
                                  <w:vertAlign w:val="superscript"/>
                                </w:rPr>
                                <w:t>JAXA</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4F6FC2CD" wp14:editId="5F3BBF2A">
                                  <wp:extent cx="190500" cy="99060"/>
                                  <wp:effectExtent l="0" t="0" r="0" b="0"/>
                                  <wp:docPr id="330507868" name="Image 2" descr="Drapeau du Canada">
                                    <a:hlinkClick xmlns:a="http://schemas.openxmlformats.org/drawingml/2006/main" r:id="rId21" tooltip="&quot;Drapeau du Canad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apeau du Canada">
                                            <a:hlinkClick r:id="rId21" tooltip="&quot;Drapeau du Canada&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Pr>
                                <w:rFonts w:ascii="Arial" w:hAnsi="Arial" w:cs="Arial"/>
                                <w:color w:val="202122"/>
                                <w:sz w:val="19"/>
                                <w:szCs w:val="19"/>
                                <w:vertAlign w:val="superscript"/>
                              </w:rPr>
                              <w:t> </w:t>
                            </w:r>
                            <w:hyperlink r:id="rId53" w:tooltip="Agence spatiale canadienne" w:history="1">
                              <w:r>
                                <w:rPr>
                                  <w:rStyle w:val="Lienhypertexte"/>
                                  <w:rFonts w:ascii="Arial" w:hAnsi="Arial" w:cs="Arial"/>
                                  <w:color w:val="3366CC"/>
                                  <w:sz w:val="19"/>
                                  <w:szCs w:val="19"/>
                                  <w:vertAlign w:val="superscript"/>
                                </w:rPr>
                                <w:t>ASC</w:t>
                              </w:r>
                            </w:hyperlink>
                          </w:p>
                        </w:tc>
                      </w:tr>
                      <w:tr w:rsidR="00027791" w14:paraId="6A5F9270" w14:textId="77777777" w:rsidTr="00027791">
                        <w:tc>
                          <w:tcPr>
                            <w:tcW w:w="2400" w:type="dxa"/>
                            <w:tcMar>
                              <w:top w:w="60" w:type="dxa"/>
                              <w:left w:w="15" w:type="dxa"/>
                              <w:bottom w:w="15" w:type="dxa"/>
                              <w:right w:w="150" w:type="dxa"/>
                            </w:tcMar>
                            <w:vAlign w:val="center"/>
                            <w:hideMark/>
                          </w:tcPr>
                          <w:p w14:paraId="2A4B1471" w14:textId="77777777" w:rsidR="00027791" w:rsidRDefault="00027791" w:rsidP="00027791">
                            <w:pPr>
                              <w:rPr>
                                <w:rFonts w:ascii="Arial" w:hAnsi="Arial" w:cs="Arial"/>
                                <w:b/>
                                <w:bCs/>
                                <w:color w:val="202122"/>
                                <w:sz w:val="19"/>
                                <w:szCs w:val="19"/>
                                <w:vertAlign w:val="superscript"/>
                              </w:rPr>
                            </w:pPr>
                            <w:r>
                              <w:rPr>
                                <w:rFonts w:ascii="Arial" w:hAnsi="Arial" w:cs="Arial"/>
                                <w:b/>
                                <w:bCs/>
                                <w:color w:val="202122"/>
                                <w:sz w:val="19"/>
                                <w:szCs w:val="19"/>
                                <w:vertAlign w:val="superscript"/>
                              </w:rPr>
                              <w:t>Domaine</w:t>
                            </w:r>
                          </w:p>
                        </w:tc>
                        <w:tc>
                          <w:tcPr>
                            <w:tcW w:w="0" w:type="auto"/>
                            <w:tcMar>
                              <w:top w:w="60" w:type="dxa"/>
                              <w:left w:w="15" w:type="dxa"/>
                              <w:bottom w:w="15" w:type="dxa"/>
                              <w:right w:w="15" w:type="dxa"/>
                            </w:tcMar>
                            <w:vAlign w:val="center"/>
                            <w:hideMark/>
                          </w:tcPr>
                          <w:p w14:paraId="1D5BEB53" w14:textId="77777777" w:rsidR="00027791" w:rsidRDefault="00027791" w:rsidP="00027791">
                            <w:pPr>
                              <w:rPr>
                                <w:rFonts w:ascii="Arial" w:hAnsi="Arial" w:cs="Arial"/>
                                <w:color w:val="202122"/>
                                <w:sz w:val="19"/>
                                <w:szCs w:val="19"/>
                                <w:vertAlign w:val="superscript"/>
                              </w:rPr>
                            </w:pPr>
                            <w:hyperlink r:id="rId54" w:tooltip="Physiologie" w:history="1">
                              <w:r>
                                <w:rPr>
                                  <w:rStyle w:val="Lienhypertexte"/>
                                  <w:rFonts w:ascii="Arial" w:hAnsi="Arial" w:cs="Arial"/>
                                  <w:color w:val="3366CC"/>
                                  <w:sz w:val="19"/>
                                  <w:szCs w:val="19"/>
                                  <w:vertAlign w:val="superscript"/>
                                </w:rPr>
                                <w:t>Physiologie</w:t>
                              </w:r>
                            </w:hyperlink>
                            <w:r>
                              <w:rPr>
                                <w:rFonts w:ascii="Arial" w:hAnsi="Arial" w:cs="Arial"/>
                                <w:color w:val="202122"/>
                                <w:sz w:val="19"/>
                                <w:szCs w:val="19"/>
                                <w:vertAlign w:val="superscript"/>
                              </w:rPr>
                              <w:t>, </w:t>
                            </w:r>
                            <w:hyperlink r:id="rId55" w:tooltip="Biologie" w:history="1">
                              <w:r>
                                <w:rPr>
                                  <w:rStyle w:val="Lienhypertexte"/>
                                  <w:rFonts w:ascii="Arial" w:hAnsi="Arial" w:cs="Arial"/>
                                  <w:color w:val="3366CC"/>
                                  <w:sz w:val="19"/>
                                  <w:szCs w:val="19"/>
                                  <w:vertAlign w:val="superscript"/>
                                </w:rPr>
                                <w:t>biologie</w:t>
                              </w:r>
                            </w:hyperlink>
                            <w:r>
                              <w:rPr>
                                <w:rFonts w:ascii="Arial" w:hAnsi="Arial" w:cs="Arial"/>
                                <w:color w:val="202122"/>
                                <w:sz w:val="19"/>
                                <w:szCs w:val="19"/>
                                <w:vertAlign w:val="superscript"/>
                              </w:rPr>
                              <w:t>, </w:t>
                            </w:r>
                            <w:hyperlink r:id="rId56" w:tooltip="Cosmologie" w:history="1">
                              <w:r>
                                <w:rPr>
                                  <w:rStyle w:val="Lienhypertexte"/>
                                  <w:rFonts w:ascii="Arial" w:hAnsi="Arial" w:cs="Arial"/>
                                  <w:color w:val="3366CC"/>
                                  <w:sz w:val="19"/>
                                  <w:szCs w:val="19"/>
                                  <w:vertAlign w:val="superscript"/>
                                </w:rPr>
                                <w:t>cosmologie</w:t>
                              </w:r>
                            </w:hyperlink>
                            <w:r>
                              <w:rPr>
                                <w:rFonts w:ascii="Arial" w:hAnsi="Arial" w:cs="Arial"/>
                                <w:color w:val="202122"/>
                                <w:sz w:val="19"/>
                                <w:szCs w:val="19"/>
                                <w:vertAlign w:val="superscript"/>
                              </w:rPr>
                              <w:t>, </w:t>
                            </w:r>
                            <w:hyperlink r:id="rId57" w:tooltip="Astronomie" w:history="1">
                              <w:r>
                                <w:rPr>
                                  <w:rStyle w:val="Lienhypertexte"/>
                                  <w:rFonts w:ascii="Arial" w:hAnsi="Arial" w:cs="Arial"/>
                                  <w:color w:val="3366CC"/>
                                  <w:sz w:val="19"/>
                                  <w:szCs w:val="19"/>
                                  <w:vertAlign w:val="superscript"/>
                                </w:rPr>
                                <w:t>astronomie</w:t>
                              </w:r>
                            </w:hyperlink>
                            <w:r>
                              <w:rPr>
                                <w:rFonts w:ascii="Arial" w:hAnsi="Arial" w:cs="Arial"/>
                                <w:color w:val="202122"/>
                                <w:sz w:val="19"/>
                                <w:szCs w:val="19"/>
                                <w:vertAlign w:val="superscript"/>
                              </w:rPr>
                              <w:t>…</w:t>
                            </w:r>
                          </w:p>
                        </w:tc>
                      </w:tr>
                      <w:tr w:rsidR="00027791" w14:paraId="76B1AB86" w14:textId="77777777" w:rsidTr="00027791">
                        <w:tc>
                          <w:tcPr>
                            <w:tcW w:w="2400" w:type="dxa"/>
                            <w:tcMar>
                              <w:top w:w="60" w:type="dxa"/>
                              <w:left w:w="15" w:type="dxa"/>
                              <w:bottom w:w="15" w:type="dxa"/>
                              <w:right w:w="150" w:type="dxa"/>
                            </w:tcMar>
                            <w:vAlign w:val="center"/>
                            <w:hideMark/>
                          </w:tcPr>
                          <w:p w14:paraId="6F81B0DF" w14:textId="77777777" w:rsidR="00027791" w:rsidRDefault="00027791" w:rsidP="00027791">
                            <w:pPr>
                              <w:rPr>
                                <w:rFonts w:ascii="Arial" w:hAnsi="Arial" w:cs="Arial"/>
                                <w:b/>
                                <w:bCs/>
                                <w:color w:val="202122"/>
                                <w:sz w:val="19"/>
                                <w:szCs w:val="19"/>
                                <w:vertAlign w:val="superscript"/>
                              </w:rPr>
                            </w:pPr>
                            <w:r>
                              <w:rPr>
                                <w:rFonts w:ascii="Arial" w:hAnsi="Arial" w:cs="Arial"/>
                                <w:b/>
                                <w:bCs/>
                                <w:color w:val="202122"/>
                                <w:sz w:val="19"/>
                                <w:szCs w:val="19"/>
                                <w:vertAlign w:val="superscript"/>
                              </w:rPr>
                              <w:t>Type de </w:t>
                            </w:r>
                            <w:hyperlink r:id="rId58" w:tooltip="Histoire du vol spatial" w:history="1">
                              <w:r>
                                <w:rPr>
                                  <w:rStyle w:val="Lienhypertexte"/>
                                  <w:rFonts w:ascii="Arial" w:hAnsi="Arial" w:cs="Arial"/>
                                  <w:b/>
                                  <w:bCs/>
                                  <w:color w:val="3366CC"/>
                                  <w:sz w:val="19"/>
                                  <w:szCs w:val="19"/>
                                  <w:vertAlign w:val="superscript"/>
                                </w:rPr>
                                <w:t>mission</w:t>
                              </w:r>
                            </w:hyperlink>
                          </w:p>
                        </w:tc>
                        <w:tc>
                          <w:tcPr>
                            <w:tcW w:w="0" w:type="auto"/>
                            <w:tcMar>
                              <w:top w:w="60" w:type="dxa"/>
                              <w:left w:w="15" w:type="dxa"/>
                              <w:bottom w:w="15" w:type="dxa"/>
                              <w:right w:w="15" w:type="dxa"/>
                            </w:tcMar>
                            <w:vAlign w:val="center"/>
                            <w:hideMark/>
                          </w:tcPr>
                          <w:p w14:paraId="5D6B4136"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Station spatiale</w:t>
                            </w:r>
                          </w:p>
                        </w:tc>
                      </w:tr>
                      <w:tr w:rsidR="00027791" w14:paraId="450EBA4D" w14:textId="77777777" w:rsidTr="00027791">
                        <w:tc>
                          <w:tcPr>
                            <w:tcW w:w="2400" w:type="dxa"/>
                            <w:tcMar>
                              <w:top w:w="60" w:type="dxa"/>
                              <w:left w:w="15" w:type="dxa"/>
                              <w:bottom w:w="15" w:type="dxa"/>
                              <w:right w:w="150" w:type="dxa"/>
                            </w:tcMar>
                            <w:vAlign w:val="center"/>
                            <w:hideMark/>
                          </w:tcPr>
                          <w:p w14:paraId="190E3E00" w14:textId="77777777" w:rsidR="00027791" w:rsidRDefault="00027791" w:rsidP="00027791">
                            <w:pPr>
                              <w:rPr>
                                <w:rFonts w:ascii="Arial" w:hAnsi="Arial" w:cs="Arial"/>
                                <w:b/>
                                <w:bCs/>
                                <w:color w:val="202122"/>
                                <w:sz w:val="19"/>
                                <w:szCs w:val="19"/>
                                <w:vertAlign w:val="superscript"/>
                              </w:rPr>
                            </w:pPr>
                            <w:r>
                              <w:rPr>
                                <w:rFonts w:ascii="Arial" w:hAnsi="Arial" w:cs="Arial"/>
                                <w:b/>
                                <w:bCs/>
                                <w:color w:val="202122"/>
                                <w:sz w:val="19"/>
                                <w:szCs w:val="19"/>
                                <w:vertAlign w:val="superscript"/>
                              </w:rPr>
                              <w:t>Statut</w:t>
                            </w:r>
                          </w:p>
                        </w:tc>
                        <w:tc>
                          <w:tcPr>
                            <w:tcW w:w="0" w:type="auto"/>
                            <w:tcMar>
                              <w:top w:w="60" w:type="dxa"/>
                              <w:left w:w="15" w:type="dxa"/>
                              <w:bottom w:w="15" w:type="dxa"/>
                              <w:right w:w="15" w:type="dxa"/>
                            </w:tcMar>
                            <w:vAlign w:val="center"/>
                            <w:hideMark/>
                          </w:tcPr>
                          <w:p w14:paraId="526D4577"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Opérationnelle</w:t>
                            </w:r>
                          </w:p>
                        </w:tc>
                      </w:tr>
                      <w:tr w:rsidR="00027791" w14:paraId="5E66EC56" w14:textId="77777777" w:rsidTr="00027791">
                        <w:tc>
                          <w:tcPr>
                            <w:tcW w:w="2400" w:type="dxa"/>
                            <w:tcMar>
                              <w:top w:w="60" w:type="dxa"/>
                              <w:left w:w="15" w:type="dxa"/>
                              <w:bottom w:w="15" w:type="dxa"/>
                              <w:right w:w="150" w:type="dxa"/>
                            </w:tcMar>
                            <w:vAlign w:val="center"/>
                            <w:hideMark/>
                          </w:tcPr>
                          <w:p w14:paraId="610DEE2B" w14:textId="77777777" w:rsidR="00027791" w:rsidRDefault="00027791" w:rsidP="00027791">
                            <w:pPr>
                              <w:rPr>
                                <w:rFonts w:ascii="Arial" w:hAnsi="Arial" w:cs="Arial"/>
                                <w:b/>
                                <w:bCs/>
                                <w:color w:val="202122"/>
                                <w:sz w:val="19"/>
                                <w:szCs w:val="19"/>
                                <w:vertAlign w:val="superscript"/>
                              </w:rPr>
                            </w:pPr>
                            <w:hyperlink r:id="rId59" w:tooltip="Lancement (astronautique)" w:history="1">
                              <w:r>
                                <w:rPr>
                                  <w:rStyle w:val="Lienhypertexte"/>
                                  <w:rFonts w:ascii="Arial" w:hAnsi="Arial" w:cs="Arial"/>
                                  <w:b/>
                                  <w:bCs/>
                                  <w:color w:val="3366CC"/>
                                  <w:sz w:val="19"/>
                                  <w:szCs w:val="19"/>
                                  <w:vertAlign w:val="superscript"/>
                                </w:rPr>
                                <w:t>Lancement</w:t>
                              </w:r>
                            </w:hyperlink>
                          </w:p>
                        </w:tc>
                        <w:tc>
                          <w:tcPr>
                            <w:tcW w:w="0" w:type="auto"/>
                            <w:tcMar>
                              <w:top w:w="60" w:type="dxa"/>
                              <w:left w:w="15" w:type="dxa"/>
                              <w:bottom w:w="15" w:type="dxa"/>
                              <w:right w:w="15" w:type="dxa"/>
                            </w:tcMar>
                            <w:vAlign w:val="center"/>
                            <w:hideMark/>
                          </w:tcPr>
                          <w:p w14:paraId="6E76CB6C"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1998-2021</w:t>
                            </w:r>
                          </w:p>
                        </w:tc>
                      </w:tr>
                      <w:tr w:rsidR="00027791" w14:paraId="755558A0" w14:textId="77777777" w:rsidTr="00027791">
                        <w:tc>
                          <w:tcPr>
                            <w:tcW w:w="2400" w:type="dxa"/>
                            <w:tcMar>
                              <w:top w:w="60" w:type="dxa"/>
                              <w:left w:w="15" w:type="dxa"/>
                              <w:bottom w:w="15" w:type="dxa"/>
                              <w:right w:w="150" w:type="dxa"/>
                            </w:tcMar>
                            <w:vAlign w:val="center"/>
                            <w:hideMark/>
                          </w:tcPr>
                          <w:p w14:paraId="2D85940F" w14:textId="77777777" w:rsidR="00027791" w:rsidRDefault="00027791" w:rsidP="00027791">
                            <w:pPr>
                              <w:rPr>
                                <w:rFonts w:ascii="Arial" w:hAnsi="Arial" w:cs="Arial"/>
                                <w:b/>
                                <w:bCs/>
                                <w:color w:val="202122"/>
                                <w:sz w:val="19"/>
                                <w:szCs w:val="19"/>
                                <w:vertAlign w:val="superscript"/>
                              </w:rPr>
                            </w:pPr>
                            <w:hyperlink r:id="rId60" w:tooltip="Lanceur (astronautique)" w:history="1">
                              <w:r>
                                <w:rPr>
                                  <w:rStyle w:val="Lienhypertexte"/>
                                  <w:rFonts w:ascii="Arial" w:hAnsi="Arial" w:cs="Arial"/>
                                  <w:b/>
                                  <w:bCs/>
                                  <w:color w:val="3366CC"/>
                                  <w:sz w:val="19"/>
                                  <w:szCs w:val="19"/>
                                  <w:vertAlign w:val="superscript"/>
                                </w:rPr>
                                <w:t>Lanceur</w:t>
                              </w:r>
                            </w:hyperlink>
                          </w:p>
                        </w:tc>
                        <w:tc>
                          <w:tcPr>
                            <w:tcW w:w="0" w:type="auto"/>
                            <w:tcMar>
                              <w:top w:w="60" w:type="dxa"/>
                              <w:left w:w="15" w:type="dxa"/>
                              <w:bottom w:w="15" w:type="dxa"/>
                              <w:right w:w="15" w:type="dxa"/>
                            </w:tcMar>
                            <w:vAlign w:val="center"/>
                            <w:hideMark/>
                          </w:tcPr>
                          <w:p w14:paraId="788DBDBE" w14:textId="77777777" w:rsidR="00027791" w:rsidRDefault="00027791" w:rsidP="00027791">
                            <w:pPr>
                              <w:numPr>
                                <w:ilvl w:val="0"/>
                                <w:numId w:val="22"/>
                              </w:numPr>
                              <w:spacing w:before="100" w:beforeAutospacing="1" w:after="24" w:line="240" w:lineRule="auto"/>
                              <w:ind w:left="1104"/>
                              <w:rPr>
                                <w:rFonts w:ascii="Arial" w:hAnsi="Arial" w:cs="Arial"/>
                                <w:color w:val="202122"/>
                                <w:sz w:val="19"/>
                                <w:szCs w:val="19"/>
                                <w:vertAlign w:val="superscript"/>
                              </w:rPr>
                            </w:pPr>
                            <w:hyperlink r:id="rId61" w:tooltip="Proton (fusée)" w:history="1">
                              <w:r>
                                <w:rPr>
                                  <w:rStyle w:val="Lienhypertexte"/>
                                  <w:rFonts w:ascii="Arial" w:hAnsi="Arial" w:cs="Arial"/>
                                  <w:color w:val="3366CC"/>
                                  <w:sz w:val="19"/>
                                  <w:szCs w:val="19"/>
                                  <w:vertAlign w:val="superscript"/>
                                </w:rPr>
                                <w:t>Proton</w:t>
                              </w:r>
                            </w:hyperlink>
                            <w:r>
                              <w:rPr>
                                <w:rFonts w:ascii="Arial" w:hAnsi="Arial" w:cs="Arial"/>
                                <w:color w:val="202122"/>
                                <w:sz w:val="19"/>
                                <w:szCs w:val="19"/>
                                <w:vertAlign w:val="superscript"/>
                              </w:rPr>
                              <w:t> (pour les modules majeurs du </w:t>
                            </w:r>
                            <w:hyperlink r:id="rId62" w:tooltip="Segment orbital russe" w:history="1">
                              <w:r>
                                <w:rPr>
                                  <w:rStyle w:val="Lienhypertexte"/>
                                  <w:rFonts w:ascii="Arial" w:hAnsi="Arial" w:cs="Arial"/>
                                  <w:color w:val="3366CC"/>
                                  <w:sz w:val="19"/>
                                  <w:szCs w:val="19"/>
                                  <w:vertAlign w:val="superscript"/>
                                </w:rPr>
                                <w:t>segment russe</w:t>
                              </w:r>
                            </w:hyperlink>
                            <w:r>
                              <w:rPr>
                                <w:rFonts w:ascii="Arial" w:hAnsi="Arial" w:cs="Arial"/>
                                <w:color w:val="202122"/>
                                <w:sz w:val="19"/>
                                <w:szCs w:val="19"/>
                                <w:vertAlign w:val="superscript"/>
                              </w:rPr>
                              <w:t>)</w:t>
                            </w:r>
                          </w:p>
                          <w:p w14:paraId="70B50800" w14:textId="77777777" w:rsidR="00027791" w:rsidRDefault="00027791" w:rsidP="00027791">
                            <w:pPr>
                              <w:numPr>
                                <w:ilvl w:val="0"/>
                                <w:numId w:val="22"/>
                              </w:numPr>
                              <w:spacing w:before="100" w:beforeAutospacing="1" w:after="24" w:line="240" w:lineRule="auto"/>
                              <w:ind w:left="1104"/>
                              <w:rPr>
                                <w:rFonts w:ascii="Arial" w:hAnsi="Arial" w:cs="Arial"/>
                                <w:color w:val="202122"/>
                                <w:sz w:val="19"/>
                                <w:szCs w:val="19"/>
                                <w:vertAlign w:val="superscript"/>
                              </w:rPr>
                            </w:pPr>
                            <w:hyperlink r:id="rId63" w:tooltip="Navette spatiale américaine" w:history="1">
                              <w:r>
                                <w:rPr>
                                  <w:rStyle w:val="Lienhypertexte"/>
                                  <w:rFonts w:ascii="Arial" w:hAnsi="Arial" w:cs="Arial"/>
                                  <w:color w:val="3366CC"/>
                                  <w:sz w:val="19"/>
                                  <w:szCs w:val="19"/>
                                  <w:vertAlign w:val="superscript"/>
                                </w:rPr>
                                <w:t>Navette spatiale américaine</w:t>
                              </w:r>
                            </w:hyperlink>
                            <w:r>
                              <w:rPr>
                                <w:rFonts w:ascii="Arial" w:hAnsi="Arial" w:cs="Arial"/>
                                <w:color w:val="202122"/>
                                <w:sz w:val="19"/>
                                <w:szCs w:val="19"/>
                                <w:vertAlign w:val="superscript"/>
                              </w:rPr>
                              <w:t> (pour les modules du </w:t>
                            </w:r>
                            <w:hyperlink r:id="rId64" w:tooltip="Segment orbital américain" w:history="1">
                              <w:r>
                                <w:rPr>
                                  <w:rStyle w:val="Lienhypertexte"/>
                                  <w:rFonts w:ascii="Arial" w:hAnsi="Arial" w:cs="Arial"/>
                                  <w:color w:val="3366CC"/>
                                  <w:sz w:val="19"/>
                                  <w:szCs w:val="19"/>
                                  <w:vertAlign w:val="superscript"/>
                                </w:rPr>
                                <w:t>segment américain</w:t>
                              </w:r>
                            </w:hyperlink>
                            <w:r>
                              <w:rPr>
                                <w:rFonts w:ascii="Arial" w:hAnsi="Arial" w:cs="Arial"/>
                                <w:color w:val="202122"/>
                                <w:sz w:val="19"/>
                                <w:szCs w:val="19"/>
                                <w:vertAlign w:val="superscript"/>
                              </w:rPr>
                              <w:t>)</w:t>
                            </w:r>
                          </w:p>
                          <w:p w14:paraId="6C00CA14" w14:textId="77777777" w:rsidR="00027791" w:rsidRDefault="00027791" w:rsidP="00027791">
                            <w:pPr>
                              <w:numPr>
                                <w:ilvl w:val="0"/>
                                <w:numId w:val="22"/>
                              </w:numPr>
                              <w:spacing w:before="100" w:beforeAutospacing="1" w:after="24" w:line="240" w:lineRule="auto"/>
                              <w:ind w:left="1104"/>
                              <w:rPr>
                                <w:rFonts w:ascii="Arial" w:hAnsi="Arial" w:cs="Arial"/>
                                <w:color w:val="202122"/>
                                <w:sz w:val="19"/>
                                <w:szCs w:val="19"/>
                                <w:vertAlign w:val="superscript"/>
                              </w:rPr>
                            </w:pPr>
                            <w:hyperlink r:id="rId65" w:tooltip="Soyouz (fusée)" w:history="1">
                              <w:r>
                                <w:rPr>
                                  <w:rStyle w:val="Lienhypertexte"/>
                                  <w:rFonts w:ascii="Arial" w:hAnsi="Arial" w:cs="Arial"/>
                                  <w:color w:val="3366CC"/>
                                  <w:sz w:val="19"/>
                                  <w:szCs w:val="19"/>
                                  <w:vertAlign w:val="superscript"/>
                                </w:rPr>
                                <w:t>Soyouz</w:t>
                              </w:r>
                            </w:hyperlink>
                            <w:r>
                              <w:rPr>
                                <w:rFonts w:ascii="Arial" w:hAnsi="Arial" w:cs="Arial"/>
                                <w:color w:val="202122"/>
                                <w:sz w:val="19"/>
                                <w:szCs w:val="19"/>
                                <w:vertAlign w:val="superscript"/>
                              </w:rPr>
                              <w:t> (pour les modules mineurs du </w:t>
                            </w:r>
                            <w:hyperlink r:id="rId66" w:tooltip="Segment orbital russe" w:history="1">
                              <w:r>
                                <w:rPr>
                                  <w:rStyle w:val="Lienhypertexte"/>
                                  <w:rFonts w:ascii="Arial" w:hAnsi="Arial" w:cs="Arial"/>
                                  <w:color w:val="3366CC"/>
                                  <w:sz w:val="19"/>
                                  <w:szCs w:val="19"/>
                                  <w:vertAlign w:val="superscript"/>
                                </w:rPr>
                                <w:t>segment russe</w:t>
                              </w:r>
                            </w:hyperlink>
                            <w:r>
                              <w:rPr>
                                <w:rFonts w:ascii="Arial" w:hAnsi="Arial" w:cs="Arial"/>
                                <w:color w:val="202122"/>
                                <w:sz w:val="19"/>
                                <w:szCs w:val="19"/>
                                <w:vertAlign w:val="superscript"/>
                              </w:rPr>
                              <w:t>)</w:t>
                            </w:r>
                          </w:p>
                        </w:tc>
                      </w:tr>
                      <w:tr w:rsidR="00027791" w14:paraId="340234C8" w14:textId="77777777" w:rsidTr="00027791">
                        <w:tc>
                          <w:tcPr>
                            <w:tcW w:w="2400" w:type="dxa"/>
                            <w:tcMar>
                              <w:top w:w="60" w:type="dxa"/>
                              <w:left w:w="15" w:type="dxa"/>
                              <w:bottom w:w="15" w:type="dxa"/>
                              <w:right w:w="150" w:type="dxa"/>
                            </w:tcMar>
                            <w:vAlign w:val="center"/>
                            <w:hideMark/>
                          </w:tcPr>
                          <w:p w14:paraId="6635D999" w14:textId="77777777" w:rsidR="00027791" w:rsidRDefault="00027791" w:rsidP="00027791">
                            <w:pPr>
                              <w:spacing w:after="0"/>
                              <w:rPr>
                                <w:rFonts w:ascii="Arial" w:hAnsi="Arial" w:cs="Arial"/>
                                <w:b/>
                                <w:bCs/>
                                <w:color w:val="202122"/>
                                <w:sz w:val="19"/>
                                <w:szCs w:val="19"/>
                                <w:vertAlign w:val="superscript"/>
                              </w:rPr>
                            </w:pPr>
                            <w:hyperlink r:id="rId67" w:tooltip="Numéro d'immatriculation international des objets spatiaux" w:history="1">
                              <w:r>
                                <w:rPr>
                                  <w:rStyle w:val="Lienhypertexte"/>
                                  <w:rFonts w:ascii="Arial" w:hAnsi="Arial" w:cs="Arial"/>
                                  <w:b/>
                                  <w:bCs/>
                                  <w:color w:val="3366CC"/>
                                  <w:sz w:val="19"/>
                                  <w:szCs w:val="19"/>
                                  <w:vertAlign w:val="superscript"/>
                                </w:rPr>
                                <w:t>Identifiant COSPAR</w:t>
                              </w:r>
                            </w:hyperlink>
                          </w:p>
                        </w:tc>
                        <w:tc>
                          <w:tcPr>
                            <w:tcW w:w="0" w:type="auto"/>
                            <w:tcMar>
                              <w:top w:w="60" w:type="dxa"/>
                              <w:left w:w="15" w:type="dxa"/>
                              <w:bottom w:w="15" w:type="dxa"/>
                              <w:right w:w="15" w:type="dxa"/>
                            </w:tcMar>
                            <w:vAlign w:val="center"/>
                            <w:hideMark/>
                          </w:tcPr>
                          <w:p w14:paraId="3AE9BCF1" w14:textId="77777777" w:rsidR="00027791" w:rsidRDefault="00027791" w:rsidP="00027791">
                            <w:pPr>
                              <w:rPr>
                                <w:rFonts w:ascii="Arial" w:hAnsi="Arial" w:cs="Arial"/>
                                <w:color w:val="202122"/>
                                <w:sz w:val="19"/>
                                <w:szCs w:val="19"/>
                                <w:vertAlign w:val="superscript"/>
                              </w:rPr>
                            </w:pPr>
                            <w:hyperlink r:id="rId68" w:history="1">
                              <w:r>
                                <w:rPr>
                                  <w:rStyle w:val="Lienhypertexte"/>
                                  <w:rFonts w:ascii="Arial" w:hAnsi="Arial" w:cs="Arial"/>
                                  <w:color w:val="3366CC"/>
                                  <w:sz w:val="19"/>
                                  <w:szCs w:val="19"/>
                                  <w:vertAlign w:val="superscript"/>
                                </w:rPr>
                                <w:t>1998-067A</w:t>
                              </w:r>
                            </w:hyperlink>
                          </w:p>
                        </w:tc>
                      </w:tr>
                      <w:tr w:rsidR="00027791" w14:paraId="57299503" w14:textId="77777777" w:rsidTr="00027791">
                        <w:tc>
                          <w:tcPr>
                            <w:tcW w:w="2400" w:type="dxa"/>
                            <w:tcMar>
                              <w:top w:w="60" w:type="dxa"/>
                              <w:left w:w="15" w:type="dxa"/>
                              <w:bottom w:w="15" w:type="dxa"/>
                              <w:right w:w="150" w:type="dxa"/>
                            </w:tcMar>
                            <w:vAlign w:val="center"/>
                            <w:hideMark/>
                          </w:tcPr>
                          <w:p w14:paraId="53AF9E38" w14:textId="77777777" w:rsidR="00027791" w:rsidRDefault="00027791" w:rsidP="00027791">
                            <w:pPr>
                              <w:rPr>
                                <w:rFonts w:ascii="Arial" w:hAnsi="Arial" w:cs="Arial"/>
                                <w:b/>
                                <w:bCs/>
                                <w:color w:val="202122"/>
                                <w:sz w:val="19"/>
                                <w:szCs w:val="19"/>
                                <w:vertAlign w:val="superscript"/>
                              </w:rPr>
                            </w:pPr>
                            <w:hyperlink r:id="rId69" w:tooltip="Site web" w:history="1">
                              <w:r>
                                <w:rPr>
                                  <w:rStyle w:val="Lienhypertexte"/>
                                  <w:rFonts w:ascii="Arial" w:hAnsi="Arial" w:cs="Arial"/>
                                  <w:b/>
                                  <w:bCs/>
                                  <w:color w:val="3366CC"/>
                                  <w:sz w:val="19"/>
                                  <w:szCs w:val="19"/>
                                  <w:vertAlign w:val="superscript"/>
                                </w:rPr>
                                <w:t>Site</w:t>
                              </w:r>
                            </w:hyperlink>
                          </w:p>
                        </w:tc>
                        <w:tc>
                          <w:tcPr>
                            <w:tcW w:w="0" w:type="auto"/>
                            <w:tcMar>
                              <w:top w:w="60" w:type="dxa"/>
                              <w:left w:w="15" w:type="dxa"/>
                              <w:bottom w:w="15" w:type="dxa"/>
                              <w:right w:w="15" w:type="dxa"/>
                            </w:tcMar>
                            <w:vAlign w:val="center"/>
                            <w:hideMark/>
                          </w:tcPr>
                          <w:p w14:paraId="1355A1B7" w14:textId="77777777" w:rsidR="00027791" w:rsidRDefault="00027791" w:rsidP="00027791">
                            <w:pPr>
                              <w:rPr>
                                <w:rFonts w:ascii="Arial" w:hAnsi="Arial" w:cs="Arial"/>
                                <w:color w:val="202122"/>
                                <w:sz w:val="19"/>
                                <w:szCs w:val="19"/>
                                <w:vertAlign w:val="superscript"/>
                              </w:rPr>
                            </w:pPr>
                            <w:hyperlink r:id="rId70" w:history="1">
                              <w:r>
                                <w:rPr>
                                  <w:rStyle w:val="Lienhypertexte"/>
                                  <w:rFonts w:ascii="Arial" w:hAnsi="Arial" w:cs="Arial"/>
                                  <w:color w:val="3366CC"/>
                                  <w:sz w:val="19"/>
                                  <w:szCs w:val="19"/>
                                  <w:vertAlign w:val="superscript"/>
                                </w:rPr>
                                <w:t>www.nasa.gov/mission_pages/station/main/index.html</w:t>
                              </w:r>
                            </w:hyperlink>
                          </w:p>
                        </w:tc>
                      </w:tr>
                    </w:tbl>
                    <w:p w14:paraId="71468262" w14:textId="77777777" w:rsidR="00027791" w:rsidRDefault="00027791" w:rsidP="00027791">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2400"/>
                        <w:gridCol w:w="2325"/>
                      </w:tblGrid>
                      <w:tr w:rsidR="00027791" w14:paraId="08F27EF8" w14:textId="77777777" w:rsidTr="00027791">
                        <w:tc>
                          <w:tcPr>
                            <w:tcW w:w="0" w:type="auto"/>
                            <w:gridSpan w:val="2"/>
                            <w:tcBorders>
                              <w:top w:val="nil"/>
                              <w:left w:val="nil"/>
                              <w:bottom w:val="nil"/>
                              <w:right w:val="nil"/>
                            </w:tcBorders>
                            <w:tcMar>
                              <w:top w:w="60" w:type="dxa"/>
                              <w:left w:w="15" w:type="dxa"/>
                              <w:bottom w:w="15" w:type="dxa"/>
                              <w:right w:w="150" w:type="dxa"/>
                            </w:tcMar>
                            <w:vAlign w:val="center"/>
                            <w:hideMark/>
                          </w:tcPr>
                          <w:p w14:paraId="3904D1D4" w14:textId="77777777" w:rsidR="00027791" w:rsidRDefault="00027791" w:rsidP="00027791">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Caractéristiques techniques</w:t>
                            </w:r>
                          </w:p>
                        </w:tc>
                      </w:tr>
                      <w:tr w:rsidR="00027791" w14:paraId="52682C00" w14:textId="77777777" w:rsidTr="00027791">
                        <w:tc>
                          <w:tcPr>
                            <w:tcW w:w="2400" w:type="dxa"/>
                            <w:tcMar>
                              <w:top w:w="60" w:type="dxa"/>
                              <w:left w:w="15" w:type="dxa"/>
                              <w:bottom w:w="15" w:type="dxa"/>
                              <w:right w:w="150" w:type="dxa"/>
                            </w:tcMar>
                            <w:vAlign w:val="center"/>
                            <w:hideMark/>
                          </w:tcPr>
                          <w:p w14:paraId="59FDB879" w14:textId="77777777" w:rsidR="00027791" w:rsidRDefault="00027791" w:rsidP="00027791">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Masse en orbite</w:t>
                            </w:r>
                          </w:p>
                        </w:tc>
                        <w:tc>
                          <w:tcPr>
                            <w:tcW w:w="0" w:type="auto"/>
                            <w:tcMar>
                              <w:top w:w="60" w:type="dxa"/>
                              <w:left w:w="15" w:type="dxa"/>
                              <w:bottom w:w="15" w:type="dxa"/>
                              <w:right w:w="15" w:type="dxa"/>
                            </w:tcMar>
                            <w:vAlign w:val="center"/>
                            <w:hideMark/>
                          </w:tcPr>
                          <w:p w14:paraId="759AE5A0"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Environ 450 tonnes</w:t>
                            </w:r>
                          </w:p>
                        </w:tc>
                      </w:tr>
                    </w:tbl>
                    <w:p w14:paraId="016CE607" w14:textId="77777777" w:rsidR="00027791" w:rsidRDefault="00027791" w:rsidP="00027791">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2400"/>
                        <w:gridCol w:w="2325"/>
                      </w:tblGrid>
                      <w:tr w:rsidR="00027791" w14:paraId="17FA8612" w14:textId="77777777" w:rsidTr="00027791">
                        <w:tc>
                          <w:tcPr>
                            <w:tcW w:w="0" w:type="auto"/>
                            <w:gridSpan w:val="2"/>
                            <w:tcBorders>
                              <w:top w:val="nil"/>
                              <w:left w:val="nil"/>
                              <w:bottom w:val="nil"/>
                              <w:right w:val="nil"/>
                            </w:tcBorders>
                            <w:tcMar>
                              <w:top w:w="60" w:type="dxa"/>
                              <w:left w:w="15" w:type="dxa"/>
                              <w:bottom w:w="15" w:type="dxa"/>
                              <w:right w:w="150" w:type="dxa"/>
                            </w:tcMar>
                            <w:vAlign w:val="center"/>
                            <w:hideMark/>
                          </w:tcPr>
                          <w:p w14:paraId="49C14ED8" w14:textId="77777777" w:rsidR="00027791" w:rsidRDefault="00027791" w:rsidP="00027791">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Orbite</w:t>
                            </w:r>
                          </w:p>
                        </w:tc>
                      </w:tr>
                      <w:tr w:rsidR="00027791" w14:paraId="09A78E1D" w14:textId="77777777" w:rsidTr="00027791">
                        <w:tc>
                          <w:tcPr>
                            <w:tcW w:w="2400" w:type="dxa"/>
                            <w:tcMar>
                              <w:top w:w="60" w:type="dxa"/>
                              <w:left w:w="15" w:type="dxa"/>
                              <w:bottom w:w="15" w:type="dxa"/>
                              <w:right w:w="150" w:type="dxa"/>
                            </w:tcMar>
                            <w:vAlign w:val="center"/>
                            <w:hideMark/>
                          </w:tcPr>
                          <w:p w14:paraId="00F61811" w14:textId="77777777" w:rsidR="00027791" w:rsidRDefault="00027791" w:rsidP="00027791">
                            <w:pPr>
                              <w:spacing w:after="0"/>
                              <w:rPr>
                                <w:rFonts w:ascii="Arial" w:hAnsi="Arial" w:cs="Arial"/>
                                <w:b/>
                                <w:bCs/>
                                <w:color w:val="202122"/>
                                <w:sz w:val="19"/>
                                <w:szCs w:val="19"/>
                                <w:vertAlign w:val="superscript"/>
                              </w:rPr>
                            </w:pPr>
                            <w:hyperlink r:id="rId71" w:tooltip="Orbite" w:history="1">
                              <w:r>
                                <w:rPr>
                                  <w:rStyle w:val="Lienhypertexte"/>
                                  <w:rFonts w:ascii="Arial" w:hAnsi="Arial" w:cs="Arial"/>
                                  <w:b/>
                                  <w:bCs/>
                                  <w:color w:val="3366CC"/>
                                  <w:sz w:val="19"/>
                                  <w:szCs w:val="19"/>
                                  <w:vertAlign w:val="superscript"/>
                                </w:rPr>
                                <w:t>Orbite</w:t>
                              </w:r>
                            </w:hyperlink>
                          </w:p>
                        </w:tc>
                        <w:tc>
                          <w:tcPr>
                            <w:tcW w:w="0" w:type="auto"/>
                            <w:tcMar>
                              <w:top w:w="60" w:type="dxa"/>
                              <w:left w:w="15" w:type="dxa"/>
                              <w:bottom w:w="15" w:type="dxa"/>
                              <w:right w:w="15" w:type="dxa"/>
                            </w:tcMar>
                            <w:vAlign w:val="center"/>
                            <w:hideMark/>
                          </w:tcPr>
                          <w:p w14:paraId="7C05E823" w14:textId="77777777" w:rsidR="00027791" w:rsidRDefault="00027791" w:rsidP="00027791">
                            <w:pPr>
                              <w:rPr>
                                <w:rFonts w:ascii="Arial" w:hAnsi="Arial" w:cs="Arial"/>
                                <w:color w:val="202122"/>
                                <w:sz w:val="19"/>
                                <w:szCs w:val="19"/>
                                <w:vertAlign w:val="superscript"/>
                              </w:rPr>
                            </w:pPr>
                            <w:hyperlink r:id="rId72" w:tooltip="Orbite terrestre basse" w:history="1">
                              <w:r>
                                <w:rPr>
                                  <w:rStyle w:val="Lienhypertexte"/>
                                  <w:rFonts w:ascii="Arial" w:hAnsi="Arial" w:cs="Arial"/>
                                  <w:color w:val="3366CC"/>
                                  <w:sz w:val="19"/>
                                  <w:szCs w:val="19"/>
                                  <w:vertAlign w:val="superscript"/>
                                </w:rPr>
                                <w:t>Orbite terrestre basse</w:t>
                              </w:r>
                            </w:hyperlink>
                          </w:p>
                        </w:tc>
                      </w:tr>
                      <w:tr w:rsidR="00027791" w14:paraId="20CBA6B6" w14:textId="77777777" w:rsidTr="00027791">
                        <w:tc>
                          <w:tcPr>
                            <w:tcW w:w="2400" w:type="dxa"/>
                            <w:tcMar>
                              <w:top w:w="60" w:type="dxa"/>
                              <w:left w:w="15" w:type="dxa"/>
                              <w:bottom w:w="15" w:type="dxa"/>
                              <w:right w:w="150" w:type="dxa"/>
                            </w:tcMar>
                            <w:vAlign w:val="center"/>
                            <w:hideMark/>
                          </w:tcPr>
                          <w:p w14:paraId="7C03B63D" w14:textId="77777777" w:rsidR="00027791" w:rsidRDefault="00027791" w:rsidP="00027791">
                            <w:pPr>
                              <w:rPr>
                                <w:rFonts w:ascii="Arial" w:hAnsi="Arial" w:cs="Arial"/>
                                <w:b/>
                                <w:bCs/>
                                <w:color w:val="202122"/>
                                <w:sz w:val="19"/>
                                <w:szCs w:val="19"/>
                                <w:vertAlign w:val="superscript"/>
                              </w:rPr>
                            </w:pPr>
                            <w:hyperlink r:id="rId73" w:tooltip="Périgée" w:history="1">
                              <w:r>
                                <w:rPr>
                                  <w:rStyle w:val="Lienhypertexte"/>
                                  <w:rFonts w:ascii="Arial" w:hAnsi="Arial" w:cs="Arial"/>
                                  <w:b/>
                                  <w:bCs/>
                                  <w:color w:val="3366CC"/>
                                  <w:sz w:val="19"/>
                                  <w:szCs w:val="19"/>
                                  <w:vertAlign w:val="superscript"/>
                                </w:rPr>
                                <w:t>Périgée</w:t>
                              </w:r>
                            </w:hyperlink>
                          </w:p>
                        </w:tc>
                        <w:tc>
                          <w:tcPr>
                            <w:tcW w:w="0" w:type="auto"/>
                            <w:tcMar>
                              <w:top w:w="60" w:type="dxa"/>
                              <w:left w:w="15" w:type="dxa"/>
                              <w:bottom w:w="15" w:type="dxa"/>
                              <w:right w:w="15" w:type="dxa"/>
                            </w:tcMar>
                            <w:vAlign w:val="center"/>
                            <w:hideMark/>
                          </w:tcPr>
                          <w:p w14:paraId="35733BD8"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414 km d'altitude (21 décembre 2022)</w:t>
                            </w:r>
                            <w:hyperlink r:id="rId74" w:anchor="cite_note-HeavensAbove-1" w:history="1">
                              <w:r>
                                <w:rPr>
                                  <w:rStyle w:val="Lienhypertexte"/>
                                  <w:rFonts w:ascii="Arial" w:hAnsi="Arial" w:cs="Arial"/>
                                  <w:color w:val="3366CC"/>
                                  <w:sz w:val="15"/>
                                  <w:szCs w:val="15"/>
                                  <w:vertAlign w:val="superscript"/>
                                </w:rPr>
                                <w:t>1</w:t>
                              </w:r>
                            </w:hyperlink>
                          </w:p>
                        </w:tc>
                      </w:tr>
                      <w:tr w:rsidR="00027791" w14:paraId="1497B686" w14:textId="77777777" w:rsidTr="00027791">
                        <w:tc>
                          <w:tcPr>
                            <w:tcW w:w="2400" w:type="dxa"/>
                            <w:tcMar>
                              <w:top w:w="60" w:type="dxa"/>
                              <w:left w:w="15" w:type="dxa"/>
                              <w:bottom w:w="15" w:type="dxa"/>
                              <w:right w:w="150" w:type="dxa"/>
                            </w:tcMar>
                            <w:vAlign w:val="center"/>
                            <w:hideMark/>
                          </w:tcPr>
                          <w:p w14:paraId="3FC75468" w14:textId="77777777" w:rsidR="00027791" w:rsidRDefault="00027791" w:rsidP="00027791">
                            <w:pPr>
                              <w:rPr>
                                <w:rFonts w:ascii="Arial" w:hAnsi="Arial" w:cs="Arial"/>
                                <w:b/>
                                <w:bCs/>
                                <w:color w:val="202122"/>
                                <w:sz w:val="19"/>
                                <w:szCs w:val="19"/>
                                <w:vertAlign w:val="superscript"/>
                              </w:rPr>
                            </w:pPr>
                            <w:hyperlink r:id="rId75" w:tooltip="Apogée" w:history="1">
                              <w:r>
                                <w:rPr>
                                  <w:rStyle w:val="Lienhypertexte"/>
                                  <w:rFonts w:ascii="Arial" w:hAnsi="Arial" w:cs="Arial"/>
                                  <w:b/>
                                  <w:bCs/>
                                  <w:color w:val="3366CC"/>
                                  <w:sz w:val="19"/>
                                  <w:szCs w:val="19"/>
                                  <w:vertAlign w:val="superscript"/>
                                </w:rPr>
                                <w:t>Apogée</w:t>
                              </w:r>
                            </w:hyperlink>
                          </w:p>
                        </w:tc>
                        <w:tc>
                          <w:tcPr>
                            <w:tcW w:w="0" w:type="auto"/>
                            <w:tcMar>
                              <w:top w:w="60" w:type="dxa"/>
                              <w:left w:w="15" w:type="dxa"/>
                              <w:bottom w:w="15" w:type="dxa"/>
                              <w:right w:w="15" w:type="dxa"/>
                            </w:tcMar>
                            <w:vAlign w:val="center"/>
                            <w:hideMark/>
                          </w:tcPr>
                          <w:p w14:paraId="5CFDEDC6"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419 km d'altitude (21 décembre 2022)</w:t>
                            </w:r>
                            <w:hyperlink r:id="rId76" w:anchor="cite_note-HeavensAbove-1" w:history="1">
                              <w:r>
                                <w:rPr>
                                  <w:rStyle w:val="Lienhypertexte"/>
                                  <w:rFonts w:ascii="Arial" w:hAnsi="Arial" w:cs="Arial"/>
                                  <w:color w:val="3366CC"/>
                                  <w:sz w:val="15"/>
                                  <w:szCs w:val="15"/>
                                  <w:vertAlign w:val="superscript"/>
                                </w:rPr>
                                <w:t>1</w:t>
                              </w:r>
                            </w:hyperlink>
                          </w:p>
                        </w:tc>
                      </w:tr>
                      <w:tr w:rsidR="00027791" w14:paraId="5F0B8DB9" w14:textId="77777777" w:rsidTr="00027791">
                        <w:tc>
                          <w:tcPr>
                            <w:tcW w:w="2400" w:type="dxa"/>
                            <w:tcMar>
                              <w:top w:w="60" w:type="dxa"/>
                              <w:left w:w="15" w:type="dxa"/>
                              <w:bottom w:w="15" w:type="dxa"/>
                              <w:right w:w="150" w:type="dxa"/>
                            </w:tcMar>
                            <w:vAlign w:val="center"/>
                            <w:hideMark/>
                          </w:tcPr>
                          <w:p w14:paraId="1B41F43F" w14:textId="77777777" w:rsidR="00027791" w:rsidRDefault="00027791" w:rsidP="00027791">
                            <w:pPr>
                              <w:rPr>
                                <w:rFonts w:ascii="Arial" w:hAnsi="Arial" w:cs="Arial"/>
                                <w:b/>
                                <w:bCs/>
                                <w:color w:val="202122"/>
                                <w:sz w:val="19"/>
                                <w:szCs w:val="19"/>
                                <w:vertAlign w:val="superscript"/>
                              </w:rPr>
                            </w:pPr>
                            <w:hyperlink r:id="rId77" w:tooltip="Période de révolution" w:history="1">
                              <w:r>
                                <w:rPr>
                                  <w:rStyle w:val="Lienhypertexte"/>
                                  <w:rFonts w:ascii="Arial" w:hAnsi="Arial" w:cs="Arial"/>
                                  <w:b/>
                                  <w:bCs/>
                                  <w:color w:val="3366CC"/>
                                  <w:sz w:val="19"/>
                                  <w:szCs w:val="19"/>
                                  <w:vertAlign w:val="superscript"/>
                                </w:rPr>
                                <w:t>Période</w:t>
                              </w:r>
                            </w:hyperlink>
                          </w:p>
                        </w:tc>
                        <w:tc>
                          <w:tcPr>
                            <w:tcW w:w="0" w:type="auto"/>
                            <w:tcMar>
                              <w:top w:w="60" w:type="dxa"/>
                              <w:left w:w="15" w:type="dxa"/>
                              <w:bottom w:w="15" w:type="dxa"/>
                              <w:right w:w="15" w:type="dxa"/>
                            </w:tcMar>
                            <w:vAlign w:val="center"/>
                            <w:hideMark/>
                          </w:tcPr>
                          <w:p w14:paraId="4C43C5E4"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92,69 min</w:t>
                            </w:r>
                          </w:p>
                        </w:tc>
                      </w:tr>
                      <w:tr w:rsidR="00027791" w14:paraId="40AC8A72" w14:textId="77777777" w:rsidTr="00027791">
                        <w:tc>
                          <w:tcPr>
                            <w:tcW w:w="2400" w:type="dxa"/>
                            <w:tcMar>
                              <w:top w:w="60" w:type="dxa"/>
                              <w:left w:w="15" w:type="dxa"/>
                              <w:bottom w:w="15" w:type="dxa"/>
                              <w:right w:w="150" w:type="dxa"/>
                            </w:tcMar>
                            <w:vAlign w:val="center"/>
                            <w:hideMark/>
                          </w:tcPr>
                          <w:p w14:paraId="5948E080" w14:textId="77777777" w:rsidR="00027791" w:rsidRDefault="00027791" w:rsidP="00027791">
                            <w:pPr>
                              <w:rPr>
                                <w:rFonts w:ascii="Arial" w:hAnsi="Arial" w:cs="Arial"/>
                                <w:b/>
                                <w:bCs/>
                                <w:color w:val="202122"/>
                                <w:sz w:val="19"/>
                                <w:szCs w:val="19"/>
                                <w:vertAlign w:val="superscript"/>
                              </w:rPr>
                            </w:pPr>
                            <w:hyperlink r:id="rId78" w:tooltip="Inclinaison orbitale" w:history="1">
                              <w:r>
                                <w:rPr>
                                  <w:rStyle w:val="Lienhypertexte"/>
                                  <w:rFonts w:ascii="Arial" w:hAnsi="Arial" w:cs="Arial"/>
                                  <w:b/>
                                  <w:bCs/>
                                  <w:color w:val="3366CC"/>
                                  <w:sz w:val="19"/>
                                  <w:szCs w:val="19"/>
                                  <w:vertAlign w:val="superscript"/>
                                </w:rPr>
                                <w:t>Inclinaison</w:t>
                              </w:r>
                            </w:hyperlink>
                          </w:p>
                        </w:tc>
                        <w:tc>
                          <w:tcPr>
                            <w:tcW w:w="0" w:type="auto"/>
                            <w:tcMar>
                              <w:top w:w="60" w:type="dxa"/>
                              <w:left w:w="15" w:type="dxa"/>
                              <w:bottom w:w="15" w:type="dxa"/>
                              <w:right w:w="15" w:type="dxa"/>
                            </w:tcMar>
                            <w:vAlign w:val="center"/>
                            <w:hideMark/>
                          </w:tcPr>
                          <w:p w14:paraId="5BD976B9"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51,65°</w:t>
                            </w:r>
                          </w:p>
                        </w:tc>
                      </w:tr>
                      <w:tr w:rsidR="00027791" w14:paraId="6CCF0592" w14:textId="77777777" w:rsidTr="00027791">
                        <w:tc>
                          <w:tcPr>
                            <w:tcW w:w="2400" w:type="dxa"/>
                            <w:tcMar>
                              <w:top w:w="60" w:type="dxa"/>
                              <w:left w:w="15" w:type="dxa"/>
                              <w:bottom w:w="15" w:type="dxa"/>
                              <w:right w:w="150" w:type="dxa"/>
                            </w:tcMar>
                            <w:vAlign w:val="center"/>
                            <w:hideMark/>
                          </w:tcPr>
                          <w:p w14:paraId="36481F31" w14:textId="77777777" w:rsidR="00027791" w:rsidRDefault="00027791" w:rsidP="00027791">
                            <w:pPr>
                              <w:rPr>
                                <w:rFonts w:ascii="Arial" w:hAnsi="Arial" w:cs="Arial"/>
                                <w:b/>
                                <w:bCs/>
                                <w:color w:val="202122"/>
                                <w:sz w:val="19"/>
                                <w:szCs w:val="19"/>
                                <w:vertAlign w:val="superscript"/>
                              </w:rPr>
                            </w:pPr>
                            <w:r>
                              <w:rPr>
                                <w:rFonts w:ascii="Arial" w:hAnsi="Arial" w:cs="Arial"/>
                                <w:b/>
                                <w:bCs/>
                                <w:color w:val="202122"/>
                                <w:sz w:val="19"/>
                                <w:szCs w:val="19"/>
                                <w:vertAlign w:val="superscript"/>
                              </w:rPr>
                              <w:t>Orbites</w:t>
                            </w:r>
                          </w:p>
                        </w:tc>
                        <w:tc>
                          <w:tcPr>
                            <w:tcW w:w="0" w:type="auto"/>
                            <w:tcMar>
                              <w:top w:w="60" w:type="dxa"/>
                              <w:left w:w="15" w:type="dxa"/>
                              <w:bottom w:w="15" w:type="dxa"/>
                              <w:right w:w="15" w:type="dxa"/>
                            </w:tcMar>
                            <w:vAlign w:val="center"/>
                            <w:hideMark/>
                          </w:tcPr>
                          <w:p w14:paraId="07E1643C" w14:textId="77777777" w:rsidR="00027791" w:rsidRDefault="00027791" w:rsidP="00027791">
                            <w:pPr>
                              <w:rPr>
                                <w:rFonts w:ascii="Arial" w:hAnsi="Arial" w:cs="Arial"/>
                                <w:color w:val="202122"/>
                                <w:sz w:val="19"/>
                                <w:szCs w:val="19"/>
                                <w:vertAlign w:val="superscript"/>
                              </w:rPr>
                            </w:pPr>
                            <w:r>
                              <w:rPr>
                                <w:rFonts w:ascii="Arial" w:hAnsi="Arial" w:cs="Arial"/>
                                <w:color w:val="202122"/>
                                <w:sz w:val="19"/>
                                <w:szCs w:val="19"/>
                                <w:vertAlign w:val="superscript"/>
                              </w:rPr>
                              <w:t>~ 133 312 en juin 2022</w:t>
                            </w:r>
                          </w:p>
                        </w:tc>
                      </w:tr>
                    </w:tbl>
                    <w:p w14:paraId="1754DB68" w14:textId="77777777" w:rsidR="00387164" w:rsidRDefault="00387164"/>
                  </w:txbxContent>
                </v:textbox>
                <w10:wrap type="square"/>
              </v:shape>
            </w:pict>
          </mc:Fallback>
        </mc:AlternateContent>
      </w:r>
      <w:r w:rsidRPr="00027791">
        <w:rPr>
          <w:rFonts w:asciiTheme="minorHAnsi" w:eastAsiaTheme="minorHAnsi" w:hAnsiTheme="minorHAnsi" w:cstheme="minorBidi"/>
          <w:sz w:val="22"/>
          <w:szCs w:val="22"/>
          <w:lang w:eastAsia="en-US"/>
        </w:rPr>
        <w:t>Après de nombreuses études menées par la NASA dans les années 1960 et 1970, le projet est lancé en 1983 par le président des États-Unis Ronald Reagan, mais un coût toujours croissant et un contexte politique peu favorable aux grands programmes spatiaux civils retardent sa réalisation jusqu'en 1998. En 1993, la Russie ayant déjà l'expérience de la station Mir est invitée à devenir un acteur majeur du programme, notamment avec le véhicule Soyouz et le ravitailleur Progress. L'assemblage en orbite débute en 1998, mais l'accident de la navette spatiale Columbia, en 2003, retarde sensiblement son avancement. Les ambitions du programme sont, à plusieurs reprises, revues à la baisse, faute de budgets suffisants, tant du côté russe qu'américain. Pour assurer le ravitaillement et rehausser l'orbite régulièrement dégradée par la traînée atmosphérique, plusieurs vaisseaux spatiaux se relaient : les cargos Progress russes, les cargos HTV japonais, les ATV, Véhicule automatique de transfert européen, les </w:t>
      </w:r>
      <w:proofErr w:type="spellStart"/>
      <w:r w:rsidRPr="00027791">
        <w:rPr>
          <w:rFonts w:asciiTheme="minorHAnsi" w:eastAsiaTheme="minorHAnsi" w:hAnsiTheme="minorHAnsi" w:cstheme="minorBidi"/>
          <w:sz w:val="22"/>
          <w:szCs w:val="22"/>
          <w:lang w:eastAsia="en-US"/>
        </w:rPr>
        <w:t>Cygnus</w:t>
      </w:r>
      <w:proofErr w:type="spellEnd"/>
      <w:r w:rsidRPr="00027791">
        <w:rPr>
          <w:rFonts w:asciiTheme="minorHAnsi" w:eastAsiaTheme="minorHAnsi" w:hAnsiTheme="minorHAnsi" w:cstheme="minorBidi"/>
          <w:sz w:val="22"/>
          <w:szCs w:val="22"/>
          <w:lang w:eastAsia="en-US"/>
        </w:rPr>
        <w:t> et SpaceX Dragon américains. En mai 2020, un vaisseau Crew Dragon envoie deux astronautes vers la station, ouvrant ainsi la voie aux vols d'équipages en capsules privées et mettant fin à l'exclusivité que détenait le véhicule spatial russe Soyouz dans la relève des équipages depuis l'arrêt de la navette spatiale américaine. Celle-ci a joué un rôle majeur grâce à sa capacité d'emport et son retrait, intervenu en juillet 2011 pour des raisons d'obsolescence et de sécurité, crée des contraintes logistiques mal résolues, en l'absence de vaisseaux capables de la remplacer complètement. La construction de la Station spatiale internationale s'achève en 2011.</w:t>
      </w:r>
    </w:p>
    <w:p w14:paraId="2B716468" w14:textId="22EF54D7" w:rsidR="00027791" w:rsidRPr="00027791" w:rsidRDefault="00027791" w:rsidP="0002779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27791">
        <w:rPr>
          <w:rFonts w:asciiTheme="minorHAnsi" w:eastAsiaTheme="minorHAnsi" w:hAnsiTheme="minorHAnsi" w:cstheme="minorBidi"/>
          <w:sz w:val="22"/>
          <w:szCs w:val="22"/>
          <w:lang w:eastAsia="en-US"/>
        </w:rPr>
        <w:t xml:space="preserve">La Station spatiale internationale est le plus grand des objets artificiels placés en orbite terrestre. Elle s'étend sur 110 m de longueur, 74 m de largeur et 30 m de hauteur et a une masse d'environ 420 tonnes en 2019. La Station a une architecture hétérogène avec un segment orbital russe reprenant les choix architecturaux de la station Mir et un segment orbital américain beaucoup plus important et développé selon les standards définis par la NASA. Elle comporte une quinzaine de modules pressurisés, dont quatre consacrés aux expériences </w:t>
      </w:r>
      <w:r w:rsidRPr="00027791">
        <w:rPr>
          <w:rFonts w:asciiTheme="minorHAnsi" w:eastAsiaTheme="minorHAnsi" w:hAnsiTheme="minorHAnsi" w:cstheme="minorBidi"/>
          <w:sz w:val="22"/>
          <w:szCs w:val="22"/>
          <w:lang w:eastAsia="en-US"/>
        </w:rPr>
        <w:lastRenderedPageBreak/>
        <w:t xml:space="preserve">scientifiques, représentant un volume </w:t>
      </w:r>
      <w:r w:rsidRPr="00027791">
        <w:rPr>
          <w:rFonts w:asciiTheme="minorHAnsi" w:eastAsiaTheme="minorHAnsi" w:hAnsiTheme="minorHAnsi" w:cstheme="minorBidi"/>
          <w:sz w:val="22"/>
          <w:szCs w:val="22"/>
          <w:lang w:eastAsia="en-US"/>
        </w:rPr>
        <w:drawing>
          <wp:anchor distT="0" distB="0" distL="114300" distR="114300" simplePos="0" relativeHeight="251662336" behindDoc="0" locked="0" layoutInCell="1" allowOverlap="1" wp14:anchorId="1DA632AE" wp14:editId="68D1FFAF">
            <wp:simplePos x="0" y="0"/>
            <wp:positionH relativeFrom="margin">
              <wp:align>right</wp:align>
            </wp:positionH>
            <wp:positionV relativeFrom="paragraph">
              <wp:posOffset>0</wp:posOffset>
            </wp:positionV>
            <wp:extent cx="2095500" cy="1394460"/>
            <wp:effectExtent l="0" t="0" r="0" b="0"/>
            <wp:wrapSquare wrapText="bothSides"/>
            <wp:docPr id="1205938562" name="Image 7"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de cette image, également commentée ci-aprè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Pr="00027791">
        <w:rPr>
          <w:rFonts w:asciiTheme="minorHAnsi" w:eastAsiaTheme="minorHAnsi" w:hAnsiTheme="minorHAnsi" w:cstheme="minorBidi"/>
          <w:sz w:val="22"/>
          <w:szCs w:val="22"/>
          <w:lang w:eastAsia="en-US"/>
        </w:rPr>
        <w:t>d'espace pressurisé d'environ 900 m3 dont 400 m3 habitables. Les panneaux solaires photovoltaïques, d'une superficie de 2 500 m2, fournissent 110 kW d'électricité. La Station se déplace autour de la Terre à une altitude maintenue autour de 330-420 kilomètres. Elle est occupée en permanence depuis l'an 2000, d'abord par trois personnes, puis par six à compter de novembre 2009, et sept depuis 2021. Chacun des sept astronautes, au cours de son séjour d'une durée de 3 à 6 mois, partage son temps de travail entre les opérations d'assemblage, de maintenance et les tâches scientifiques. Les travaux scientifiques portent principalement sur la biologie – en particulier l'adaptation de l'être humain à l'absence de pesanteur – ainsi que sur la science des matériaux et l'astronomie.</w:t>
      </w:r>
    </w:p>
    <w:p w14:paraId="3825C1D3" w14:textId="7298AA20" w:rsidR="00027791" w:rsidRDefault="00027791" w:rsidP="0002779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27791">
        <w:rPr>
          <w:rFonts w:asciiTheme="minorHAnsi" w:eastAsiaTheme="minorHAnsi" w:hAnsiTheme="minorHAnsi" w:cstheme="minorBidi"/>
          <w:sz w:val="22"/>
          <w:szCs w:val="22"/>
          <w:lang w:eastAsia="en-US"/>
        </w:rPr>
        <w:t>La Station spatiale internationale a de nombreux détracteurs qui lui reprochent son coût, estimé à près de 115 milliards de dollars américains, que ne justifient pas, selon eux, les résultats scientifiques obtenus ou potentiels. Les partisans de la Station spatiale internationale mettent en avant l'expérience acquise dans le domaine des séjours longs en orbite et l'importance symbolique d'une présence permanente de l'homme dans l'espace. Elle doit être utilisée au moins jusqu'en 2028.</w:t>
      </w:r>
    </w:p>
    <w:p w14:paraId="230BA407" w14:textId="77777777" w:rsidR="00027791" w:rsidRDefault="00027791" w:rsidP="0002779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49C4866B" w14:textId="031CAB18" w:rsidR="00B90DCA" w:rsidRPr="00A47F45" w:rsidRDefault="00A47F45" w:rsidP="00A47F45">
      <w:pPr>
        <w:pStyle w:val="Titre2"/>
        <w:rPr>
          <w:b/>
          <w:bCs/>
        </w:rPr>
      </w:pPr>
      <w:bookmarkStart w:id="6" w:name="_Toc133137824"/>
      <w:bookmarkStart w:id="7" w:name="_Toc133137866"/>
      <w:r w:rsidRPr="00A47F45">
        <w:rPr>
          <w:b/>
          <w:bCs/>
        </w:rPr>
        <w:drawing>
          <wp:anchor distT="0" distB="0" distL="114300" distR="114300" simplePos="0" relativeHeight="251663360" behindDoc="0" locked="0" layoutInCell="1" allowOverlap="1" wp14:anchorId="22EB9B1C" wp14:editId="6DB991D6">
            <wp:simplePos x="0" y="0"/>
            <wp:positionH relativeFrom="margin">
              <wp:align>right</wp:align>
            </wp:positionH>
            <wp:positionV relativeFrom="paragraph">
              <wp:posOffset>27940</wp:posOffset>
            </wp:positionV>
            <wp:extent cx="2095500" cy="2049780"/>
            <wp:effectExtent l="0" t="0" r="0" b="7620"/>
            <wp:wrapSquare wrapText="bothSides"/>
            <wp:docPr id="349644887" name="Image 16">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95500" cy="2049780"/>
                    </a:xfrm>
                    <a:prstGeom prst="rect">
                      <a:avLst/>
                    </a:prstGeom>
                    <a:noFill/>
                    <a:ln>
                      <a:noFill/>
                    </a:ln>
                  </pic:spPr>
                </pic:pic>
              </a:graphicData>
            </a:graphic>
          </wp:anchor>
        </w:drawing>
      </w:r>
      <w:r w:rsidR="00B90DCA" w:rsidRPr="00A47F45">
        <w:rPr>
          <w:rStyle w:val="mw-headline"/>
          <w:b/>
          <w:bCs/>
        </w:rPr>
        <w:t>Station spatiale Skylab (1973-1979)</w:t>
      </w:r>
      <w:bookmarkEnd w:id="6"/>
      <w:bookmarkEnd w:id="7"/>
    </w:p>
    <w:p w14:paraId="13658DA4" w14:textId="4AC8E2BF"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La NASA amorce les premières réflexions sur un projet de station spatiale placée en orbite terrestre au début des années 1960. À cette époque, elle prévoit la présence permanente d'un équipage de dix à vingt astronautes. Les utilisations envisagées sont multiples : laboratoire scientifique, observatoire astronomique, assemblage d'engins spatiaux, dépôts de pièces détachées et de matériel, station de ravitaillement en carburant, nœud et relais de transport.</w:t>
      </w:r>
    </w:p>
    <w:p w14:paraId="39F78D18" w14:textId="6F283AAD"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De 1963 à 1966, le projet de station spatiale commence à se préciser : celle-ci doit utiliser le matériel développé pour le programme Apollo. La NASA considère qu'une station spatiale occupée de manière permanente est la suite logique du programme Apollo, au même titre que la navette spatiale et les missions habitées vers Mars. Mais la décrue des moyens financiers alloués à la NASA ne permet pas de financer ces trois projets. Le président américain Richard Nixon choisit de privilégier le développement de la navette spatiale2. Néanmoins, le 14 mai 1973, une station spatiale aux objectifs limités, Skylab, est lancée par une fusée Saturn INT-21, une Saturn V dont seuls les deux premiers étages sont actifs, le troisième constituant le corps de la station. La station n'est occupée que six mois. Le retard pris par le programme de la navette spatiale américaine, qui aurait pu permettre sa maintenance et la relève des équipages, ne permet pas de rehausser à temps l'orbite de la station : en 1979 la station inoccupée depuis plusieurs années, parvenue à une altitude trop basse, entame sa rentrée dans l'atmosphère terrestre et est détruite.</w:t>
      </w:r>
    </w:p>
    <w:p w14:paraId="45762F28" w14:textId="4646D290" w:rsidR="00B90DCA" w:rsidRPr="00A47F45" w:rsidRDefault="00B90DCA" w:rsidP="00A47F45">
      <w:pPr>
        <w:pStyle w:val="Titre2"/>
        <w:rPr>
          <w:b/>
          <w:bCs/>
        </w:rPr>
      </w:pPr>
      <w:bookmarkStart w:id="8" w:name="_Toc133137825"/>
      <w:bookmarkStart w:id="9" w:name="_Toc133137867"/>
      <w:r w:rsidRPr="00A47F45">
        <w:rPr>
          <w:rStyle w:val="mw-headline"/>
          <w:b/>
          <w:bCs/>
        </w:rPr>
        <w:t>Naissance du projet (1985)</w:t>
      </w:r>
      <w:bookmarkEnd w:id="8"/>
      <w:bookmarkEnd w:id="9"/>
    </w:p>
    <w:p w14:paraId="168D43B0" w14:textId="4C1D80FB"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 xml:space="preserve">Au début des années 1970, l'URSS prend de l'avance dans le domaine des stations spatiales avec le programme Saliout (1971-1991) aux objectifs tout à la fois civil et militaire, qui sera suivi par le développement de la station Mir (1986-2001), plus ambitieuse. Dans le contexte de compétition spatiale et de guerre froide caractérisant les relations entre les États-Unis et l'URSS de l'époque, le président Ronald Reagan demande en avril 1983 à la NASA de lancer un projet de station spatiale pour la recherche scientifique et occupée en permanence, puis annonce le 25 janvier 1984, au cours de </w:t>
      </w:r>
      <w:r w:rsidRPr="00A47F45">
        <w:rPr>
          <w:rFonts w:asciiTheme="minorHAnsi" w:eastAsiaTheme="minorHAnsi" w:hAnsiTheme="minorHAnsi" w:cstheme="minorBidi"/>
          <w:sz w:val="22"/>
          <w:szCs w:val="22"/>
          <w:lang w:eastAsia="en-US"/>
        </w:rPr>
        <w:lastRenderedPageBreak/>
        <w:t>son discours annuel sur l'état de l'Union, la volonté des États-Unis d'entreprendre sa construction en coopération avec d'autres pays. Le coût du projet est alors estimé à 8 milliards de dollars.</w:t>
      </w:r>
    </w:p>
    <w:p w14:paraId="7CC04E0C" w14:textId="70A7320C"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La NASA identifie à l'époque huit fonctions susceptibles d'être remplies par la station spatiale5 :</w:t>
      </w:r>
    </w:p>
    <w:p w14:paraId="787F263B" w14:textId="77777777" w:rsidR="00B90DCA" w:rsidRPr="00A47F45" w:rsidRDefault="00B90DCA" w:rsidP="00A47F45">
      <w:pPr>
        <w:pStyle w:val="Paragraphedeliste"/>
        <w:numPr>
          <w:ilvl w:val="0"/>
          <w:numId w:val="31"/>
        </w:numPr>
        <w:shd w:val="clear" w:color="auto" w:fill="FFFFFF"/>
        <w:spacing w:before="100" w:beforeAutospacing="1" w:after="24" w:line="240" w:lineRule="auto"/>
        <w:jc w:val="both"/>
      </w:pPr>
      <w:proofErr w:type="gramStart"/>
      <w:r w:rsidRPr="00A47F45">
        <w:t>laboratoire</w:t>
      </w:r>
      <w:proofErr w:type="gramEnd"/>
      <w:r w:rsidRPr="00A47F45">
        <w:t xml:space="preserve"> spatial ;</w:t>
      </w:r>
    </w:p>
    <w:p w14:paraId="40EA99A6" w14:textId="77777777" w:rsidR="00B90DCA" w:rsidRPr="00A47F45" w:rsidRDefault="00B90DCA" w:rsidP="00A47F45">
      <w:pPr>
        <w:pStyle w:val="Paragraphedeliste"/>
        <w:numPr>
          <w:ilvl w:val="0"/>
          <w:numId w:val="31"/>
        </w:numPr>
        <w:shd w:val="clear" w:color="auto" w:fill="FFFFFF"/>
        <w:spacing w:before="100" w:beforeAutospacing="1" w:after="24" w:line="240" w:lineRule="auto"/>
        <w:jc w:val="both"/>
      </w:pPr>
      <w:proofErr w:type="gramStart"/>
      <w:r w:rsidRPr="00A47F45">
        <w:t>observatoire</w:t>
      </w:r>
      <w:proofErr w:type="gramEnd"/>
      <w:r w:rsidRPr="00A47F45">
        <w:t xml:space="preserve"> permanent de la Terre et de l'espace ;</w:t>
      </w:r>
    </w:p>
    <w:p w14:paraId="031544A8" w14:textId="77777777" w:rsidR="00B90DCA" w:rsidRPr="00A47F45" w:rsidRDefault="00B90DCA" w:rsidP="00A47F45">
      <w:pPr>
        <w:pStyle w:val="Paragraphedeliste"/>
        <w:numPr>
          <w:ilvl w:val="0"/>
          <w:numId w:val="31"/>
        </w:numPr>
        <w:shd w:val="clear" w:color="auto" w:fill="FFFFFF"/>
        <w:spacing w:before="100" w:beforeAutospacing="1" w:after="24" w:line="240" w:lineRule="auto"/>
        <w:jc w:val="both"/>
      </w:pPr>
      <w:proofErr w:type="gramStart"/>
      <w:r w:rsidRPr="00A47F45">
        <w:t>nœud</w:t>
      </w:r>
      <w:proofErr w:type="gramEnd"/>
      <w:r w:rsidRPr="00A47F45">
        <w:t xml:space="preserve"> de transport assurant le stationnement de charges utiles et de vaisseaux de transport et le lancement de ceux-ci vers leur destination finale ;</w:t>
      </w:r>
    </w:p>
    <w:p w14:paraId="61F7A238" w14:textId="77777777" w:rsidR="00B90DCA" w:rsidRPr="00A47F45" w:rsidRDefault="00B90DCA" w:rsidP="00A47F45">
      <w:pPr>
        <w:pStyle w:val="Paragraphedeliste"/>
        <w:numPr>
          <w:ilvl w:val="0"/>
          <w:numId w:val="31"/>
        </w:numPr>
        <w:shd w:val="clear" w:color="auto" w:fill="FFFFFF"/>
        <w:spacing w:before="100" w:beforeAutospacing="1" w:after="24" w:line="240" w:lineRule="auto"/>
        <w:jc w:val="both"/>
      </w:pPr>
      <w:proofErr w:type="spellStart"/>
      <w:proofErr w:type="gramStart"/>
      <w:r w:rsidRPr="00A47F45">
        <w:t>station</w:t>
      </w:r>
      <w:proofErr w:type="gramEnd"/>
      <w:r w:rsidRPr="00A47F45">
        <w:t xml:space="preserve"> service</w:t>
      </w:r>
      <w:proofErr w:type="spellEnd"/>
      <w:r w:rsidRPr="00A47F45">
        <w:t xml:space="preserve"> prenant en charge le ravitaillement en carburant et la maintenance d'engins spatiaux ;</w:t>
      </w:r>
    </w:p>
    <w:p w14:paraId="7417193B" w14:textId="77777777" w:rsidR="00B90DCA" w:rsidRPr="00A47F45" w:rsidRDefault="00B90DCA" w:rsidP="00A47F45">
      <w:pPr>
        <w:pStyle w:val="Paragraphedeliste"/>
        <w:numPr>
          <w:ilvl w:val="0"/>
          <w:numId w:val="31"/>
        </w:numPr>
        <w:shd w:val="clear" w:color="auto" w:fill="FFFFFF"/>
        <w:spacing w:before="100" w:beforeAutospacing="1" w:after="24" w:line="240" w:lineRule="auto"/>
        <w:jc w:val="both"/>
      </w:pPr>
      <w:proofErr w:type="gramStart"/>
      <w:r w:rsidRPr="00A47F45">
        <w:t>chantier</w:t>
      </w:r>
      <w:proofErr w:type="gramEnd"/>
      <w:r w:rsidRPr="00A47F45">
        <w:t xml:space="preserve"> d'assemblage de structures de grande taille ;</w:t>
      </w:r>
    </w:p>
    <w:p w14:paraId="352FE9F1" w14:textId="77777777" w:rsidR="00B90DCA" w:rsidRPr="00A47F45" w:rsidRDefault="00B90DCA" w:rsidP="00A47F45">
      <w:pPr>
        <w:pStyle w:val="Paragraphedeliste"/>
        <w:numPr>
          <w:ilvl w:val="0"/>
          <w:numId w:val="31"/>
        </w:numPr>
        <w:shd w:val="clear" w:color="auto" w:fill="FFFFFF"/>
        <w:spacing w:before="100" w:beforeAutospacing="1" w:after="24" w:line="240" w:lineRule="auto"/>
        <w:jc w:val="both"/>
      </w:pPr>
      <w:proofErr w:type="gramStart"/>
      <w:r w:rsidRPr="00A47F45">
        <w:t>usine</w:t>
      </w:r>
      <w:proofErr w:type="gramEnd"/>
      <w:r w:rsidRPr="00A47F45">
        <w:t xml:space="preserve"> permettant, grâce à la présence de l'homme, de développer l'utilisation commerciale de l'espace ;</w:t>
      </w:r>
    </w:p>
    <w:p w14:paraId="0A2E7F9F" w14:textId="77777777" w:rsidR="00B90DCA" w:rsidRPr="00A47F45" w:rsidRDefault="00B90DCA" w:rsidP="00A47F45">
      <w:pPr>
        <w:pStyle w:val="Paragraphedeliste"/>
        <w:numPr>
          <w:ilvl w:val="0"/>
          <w:numId w:val="31"/>
        </w:numPr>
        <w:shd w:val="clear" w:color="auto" w:fill="FFFFFF"/>
        <w:spacing w:before="100" w:beforeAutospacing="1" w:after="24" w:line="240" w:lineRule="auto"/>
        <w:jc w:val="both"/>
      </w:pPr>
      <w:proofErr w:type="gramStart"/>
      <w:r w:rsidRPr="00A47F45">
        <w:t>lieu</w:t>
      </w:r>
      <w:proofErr w:type="gramEnd"/>
      <w:r w:rsidRPr="00A47F45">
        <w:t xml:space="preserve"> de stockage de charges utiles et de pièces de rechange ;</w:t>
      </w:r>
    </w:p>
    <w:p w14:paraId="34E2ABA9" w14:textId="77777777" w:rsidR="00B90DCA" w:rsidRPr="00A47F45" w:rsidRDefault="00B90DCA" w:rsidP="00A47F45">
      <w:pPr>
        <w:pStyle w:val="Paragraphedeliste"/>
        <w:numPr>
          <w:ilvl w:val="0"/>
          <w:numId w:val="31"/>
        </w:numPr>
        <w:shd w:val="clear" w:color="auto" w:fill="FFFFFF"/>
        <w:spacing w:before="100" w:beforeAutospacing="1" w:after="24" w:line="240" w:lineRule="auto"/>
        <w:jc w:val="both"/>
      </w:pPr>
      <w:proofErr w:type="gramStart"/>
      <w:r w:rsidRPr="00A47F45">
        <w:t>base</w:t>
      </w:r>
      <w:proofErr w:type="gramEnd"/>
      <w:r w:rsidRPr="00A47F45">
        <w:t xml:space="preserve"> de départ pour des missions lointaines.</w:t>
      </w:r>
    </w:p>
    <w:p w14:paraId="76E0555F" w14:textId="6F76B928"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Le 31 janvier 1985, l'Agence spatiale européenne (ESA) accepte de s'associer au projet, suivie par l'agence spatiale canadienne le 16 avril et par l'agence spatiale japonaise le 9 mai de la même année.</w:t>
      </w:r>
    </w:p>
    <w:p w14:paraId="17381BB2" w14:textId="57C6DCC1" w:rsidR="00B90DCA" w:rsidRPr="00A47F45" w:rsidRDefault="00B90DCA" w:rsidP="00A47F45">
      <w:pPr>
        <w:pStyle w:val="Titre2"/>
        <w:rPr>
          <w:b/>
          <w:bCs/>
        </w:rPr>
      </w:pPr>
      <w:bookmarkStart w:id="10" w:name="_Toc133137826"/>
      <w:bookmarkStart w:id="11" w:name="_Toc133137868"/>
      <w:r w:rsidRPr="00A47F45">
        <w:rPr>
          <w:rStyle w:val="mw-headline"/>
          <w:b/>
          <w:bCs/>
        </w:rPr>
        <w:t>Blocages budgétaires (1986-1997)</w:t>
      </w:r>
      <w:bookmarkEnd w:id="10"/>
      <w:bookmarkEnd w:id="11"/>
    </w:p>
    <w:p w14:paraId="5A4552B3" w14:textId="56C73FAC"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Le 28 janvier 1986, la navette spatiale Challenger explose en vol. Tous les projets de vols habités de la NASA, dont celui de la station spatiale, sont gelés. En 1987, plusieurs études successives, menées par la NASA et le Conseil de la recherche américain, portent l'estimation du coût de la station à 13 milliards de dollars puis à 24,5 milliards de dollars. Le 16 juillet 1988, le président Ronald Reagan baptise la station Freedom (« Liberté »). Au cours des années suivantes, les études se suivent pour tenter de franchir l'opposition d'un Congrès peu convaincu par le projet, mais la station n'obtient pas le feu vert des décideurs. En 1993, 11,4 milliards de dollars avaient été dépensés en études mais aucun composant n'avait été produit. Le président Bill Clinton, fraîchement élu dans un contexte budgétaire national difficile, demande à la NASA en février 1993 de reprendre le projet. La nouvelle épure, baptisée Alpha, abandonne un grand nombre de fonctionnalités (régénération de l'environnement, modules servant de liaison, poutre raccourcie, sas simplifié) sans parvenir à respecter la limite de budget fixée par le président.</w:t>
      </w:r>
    </w:p>
    <w:p w14:paraId="30827B23" w14:textId="078F9FFE" w:rsidR="00B90DCA" w:rsidRPr="00A47F45" w:rsidRDefault="00B90DCA" w:rsidP="00A47F45">
      <w:pPr>
        <w:pStyle w:val="Titre2"/>
        <w:rPr>
          <w:b/>
          <w:bCs/>
        </w:rPr>
      </w:pPr>
      <w:bookmarkStart w:id="12" w:name="_Toc133137827"/>
      <w:bookmarkStart w:id="13" w:name="_Toc133137869"/>
      <w:r w:rsidRPr="00A47F45">
        <w:rPr>
          <w:rStyle w:val="mw-headline"/>
          <w:b/>
          <w:bCs/>
        </w:rPr>
        <w:t>Entrée de la Russie dans le programme (1993)</w:t>
      </w:r>
      <w:bookmarkEnd w:id="12"/>
      <w:bookmarkEnd w:id="13"/>
    </w:p>
    <w:p w14:paraId="528ED97E" w14:textId="3140E4D8"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Au début des années 1990, la dislocation de l'Union soviétique, puis l'effondrement économique de la Russie, qui a hérité de l'essentiel de l'astronautique soviétique, modifient le contexte qui avait vu naître le projet Freedom. Les dirigeants américains craignent alors que les compétences des techniciens très qualifiés mais désormais désœuvrés de l'industrie spatiale des pays de la CEI — le budget spatial russe 1993 est égal à 10 % de celui de 1989 — contribuent à la prolifération de missiles balistiques nucléaires dans des pays hostiles. Clinton veut faire de la coopération dans le domaine spatial le symbole de la nouvelle relation qui s'est établie entre les États-Unis et une Russie pacifiée. Fin 1993, après quelques mois de négociation, un accord est conclu, qui fait de la Russie un acteur majeur du programme. L'agence spatiale russe doit fournir quatre modules pressurisés tandis que ses vaisseaux participeront au ravitaillement et à la relève des équipages. La nouvelle mouture de la station spatiale comporte désormais deux sous-ensembles : la partie américaine héritée du projet Freedom et la partie russe qui reprend des éléments Mir-2, successeur prévu de Mir.</w:t>
      </w:r>
    </w:p>
    <w:p w14:paraId="4D3A9FF9" w14:textId="5BE18842"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 xml:space="preserve">Un accord de coopération spatial entre les États-Unis et la Russie avait été signé fin 1992 par les présidents George Bush et Boris Eltsine : des astronautes américains pourraient effectuer des séjours de longue durée dans la station Mir. La NASA, qui met en application l'accord comme une répétition des vols vers la future station spatiale, règle 400 millions de dollars de coût de séjour à l'agence spatiale russe. Plusieurs missions se succèdent entre 1995 et 1998, au cours desquelles onze astronautes </w:t>
      </w:r>
      <w:r w:rsidRPr="00A47F45">
        <w:rPr>
          <w:rFonts w:asciiTheme="minorHAnsi" w:eastAsiaTheme="minorHAnsi" w:hAnsiTheme="minorHAnsi" w:cstheme="minorBidi"/>
          <w:sz w:val="22"/>
          <w:szCs w:val="22"/>
          <w:lang w:eastAsia="en-US"/>
        </w:rPr>
        <w:lastRenderedPageBreak/>
        <w:t>américains passent au total 975 jours à bord de la station Mir vieillissante. À neuf reprises, les navettes spatiales américaines ravitaillent la station Mir et assurent la relève des équipages. Le 13 juin 1995 le coût d'exploitation de la station Alpha est réévalué à 93,9 milliards de dollars, dont 50,5 milliards de dollars pour les vols de navettes.</w:t>
      </w:r>
    </w:p>
    <w:p w14:paraId="4ACFF03C" w14:textId="412695BA" w:rsidR="00B90DCA" w:rsidRPr="00A47F45" w:rsidRDefault="00B90DCA" w:rsidP="00A47F45">
      <w:pPr>
        <w:pStyle w:val="Titre2"/>
        <w:rPr>
          <w:b/>
          <w:bCs/>
        </w:rPr>
      </w:pPr>
      <w:bookmarkStart w:id="14" w:name="_Toc133137828"/>
      <w:bookmarkStart w:id="15" w:name="_Toc133137870"/>
      <w:r w:rsidRPr="00A47F45">
        <w:rPr>
          <w:rStyle w:val="mw-headline"/>
          <w:b/>
          <w:bCs/>
        </w:rPr>
        <w:t>Lancement de la construction (1998)</w:t>
      </w:r>
      <w:bookmarkEnd w:id="14"/>
      <w:bookmarkEnd w:id="15"/>
    </w:p>
    <w:p w14:paraId="26400098" w14:textId="30435529"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Finalement, en 1998, la construction de la station est décidée au cours d'une réunion qui se tient à Washington. Désormais seize nations y participent : les États-Unis, onze États européens, le Canada, le Japon, le Brésil, la Russie.</w:t>
      </w:r>
    </w:p>
    <w:p w14:paraId="0063960C" w14:textId="3AE8805C"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 xml:space="preserve">Pour permettre l'intégration de la Russie dans le programme, la NASA décide que la station sera placée sur une orbite d'inclinaison 51,6° permettant aux vaisseaux Soyouz et Progress, aux capacités de manœuvre limitées, de la desservir sans changer de plan d'orbite. Les navettes spatiales qui partent du centre spatial Kennedy (inclinaison 28,5°) doivent en revanche changer de plan d'orbite, ce qui réduit leur capacité d'emport de 6 tonnes. L'inclinaison élevée présente un avantage pour les travaux d'observation de la Terre : la superficie de la Terre survolée est augmentée de 75 % par rapport à l'inclinaison optimale pour les navettes et couvre 95 % des zones habitées. La Russie considérant Mir comme la première véritable station spatiale, la dénomination Alpha est progressivement abandonnée fin 2001 pour celle, plus consensuelle pour les 16 pays participants, d'International </w:t>
      </w:r>
      <w:proofErr w:type="spellStart"/>
      <w:r w:rsidRPr="00A47F45">
        <w:rPr>
          <w:rFonts w:asciiTheme="minorHAnsi" w:eastAsiaTheme="minorHAnsi" w:hAnsiTheme="minorHAnsi" w:cstheme="minorBidi"/>
          <w:sz w:val="22"/>
          <w:szCs w:val="22"/>
          <w:lang w:eastAsia="en-US"/>
        </w:rPr>
        <w:t>Space</w:t>
      </w:r>
      <w:proofErr w:type="spellEnd"/>
      <w:r w:rsidRPr="00A47F45">
        <w:rPr>
          <w:rFonts w:asciiTheme="minorHAnsi" w:eastAsiaTheme="minorHAnsi" w:hAnsiTheme="minorHAnsi" w:cstheme="minorBidi"/>
          <w:sz w:val="22"/>
          <w:szCs w:val="22"/>
          <w:lang w:eastAsia="en-US"/>
        </w:rPr>
        <w:t xml:space="preserve"> Station (ISS - ou en français « Station spatiale internationale »).</w:t>
      </w:r>
    </w:p>
    <w:p w14:paraId="54B846B9" w14:textId="528AA91C" w:rsidR="00B90DCA" w:rsidRPr="00A47F45" w:rsidRDefault="00A47F45" w:rsidP="00A47F45">
      <w:pPr>
        <w:pStyle w:val="Titre2"/>
        <w:rPr>
          <w:b/>
          <w:bCs/>
        </w:rPr>
      </w:pPr>
      <w:bookmarkStart w:id="16" w:name="_Toc133137829"/>
      <w:bookmarkStart w:id="17" w:name="_Toc133137871"/>
      <w:r w:rsidRPr="00A47F45">
        <w:rPr>
          <w:b/>
          <w:bCs/>
        </w:rPr>
        <w:drawing>
          <wp:anchor distT="0" distB="0" distL="114300" distR="114300" simplePos="0" relativeHeight="251664384" behindDoc="0" locked="0" layoutInCell="1" allowOverlap="1" wp14:anchorId="18DFAA16" wp14:editId="2C866B9E">
            <wp:simplePos x="0" y="0"/>
            <wp:positionH relativeFrom="margin">
              <wp:align>right</wp:align>
            </wp:positionH>
            <wp:positionV relativeFrom="paragraph">
              <wp:posOffset>60325</wp:posOffset>
            </wp:positionV>
            <wp:extent cx="2095500" cy="2095500"/>
            <wp:effectExtent l="0" t="0" r="0" b="0"/>
            <wp:wrapSquare wrapText="bothSides"/>
            <wp:docPr id="484043102" name="Image 10">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B90DCA" w:rsidRPr="00A47F45">
        <w:rPr>
          <w:rStyle w:val="mw-headline"/>
          <w:b/>
          <w:bCs/>
        </w:rPr>
        <w:t>Assemblage de la station (1998-2011)</w:t>
      </w:r>
      <w:bookmarkEnd w:id="16"/>
      <w:bookmarkEnd w:id="17"/>
    </w:p>
    <w:p w14:paraId="3F5E3277" w14:textId="64D0504D" w:rsidR="00B90DCA" w:rsidRPr="00A47F45" w:rsidRDefault="00B90DCA" w:rsidP="00A47F45">
      <w:pPr>
        <w:shd w:val="clear" w:color="auto" w:fill="F8F9FA"/>
        <w:spacing w:line="240" w:lineRule="auto"/>
        <w:jc w:val="both"/>
      </w:pPr>
      <w:r w:rsidRPr="00A47F45">
        <w:t>L'assemblage en orbite de la station spatiale internationale est un long processus car le lancement des 400 tonnes de la station va nécessiter une quarantaine de vols de la navette spatiale américaine et quelques vols des lanceurs russes, qui seront interrompus longuement, à deux reprises, à la suite de défaillances techniques. En novembre 1998, le lancement du module russe </w:t>
      </w:r>
      <w:proofErr w:type="spellStart"/>
      <w:r w:rsidRPr="00A47F45">
        <w:t>Zarya</w:t>
      </w:r>
      <w:proofErr w:type="spellEnd"/>
      <w:r w:rsidRPr="00A47F45">
        <w:t>, par une fusée Proton, inaugure l'assemblage de la station. Le mois suivant, la navette spatiale américaine lance à son tour le module </w:t>
      </w:r>
      <w:proofErr w:type="spellStart"/>
      <w:r w:rsidRPr="00A47F45">
        <w:t>Unity</w:t>
      </w:r>
      <w:proofErr w:type="spellEnd"/>
      <w:r w:rsidRPr="00A47F45">
        <w:t> de la NASA. Mais, quelques mois plus tard, un échec de la fusée Proton, chargée de lancer le module russe </w:t>
      </w:r>
      <w:proofErr w:type="spellStart"/>
      <w:r w:rsidRPr="00A47F45">
        <w:t>Zvezda</w:t>
      </w:r>
      <w:proofErr w:type="spellEnd"/>
      <w:r w:rsidRPr="00A47F45">
        <w:t>, gèle les opérations durant un an et demi. Ce module, qui permet l'hébergement du premier équipage permanent, l'expédition 1, est finalement lancé en juillet 2000. La station sera désormais occupée de manière ininterrompue par un équipage mixte américano-russe de trois personnes, ponctuellement rejoint par des membres des autres pays participants. Russes et Américains prennent le commandement à tour de rôle. L'accident de la navette spatiale Columbia, en 2003, cloue les navettes au sol et interrompt de nouveau l'assemblage de la station de février 2003 à juillet 2005. Durant cette période, la station spatiale, qui ne reçoit plus assez de ravitaillement, est placée en mode « survie » avec un équipage ramené à deux personnes, une orbite dégradée et une maintenance différée. Les vols de la navette reprennent en juillet 2005 (mission STS-114) mais, en octobre 2005, la NASA annonce qu'elle compte retirer du service la navette spatiale en 2011. La NASA doit achever le montage de la station avec les dix-huit vols disponibles. Cette décision soulève un redoutable problème logistique pour l'avenir car les moyens de transport restants ne suffiront pas à transporter le tonnage de fret nécessaire. La NASA lance en 2006 le programme COTS qui confie à des entrepreneurs privés le soin d'assurer le ravitaillement manquant. En juillet 2006, l'équipage permanent s'élève de nouveau à trois personnes avec l'arrivée de Thomas Reiter, premier astronaute européen. L'installation des nouveaux modules et d'équipements tels que le système de support de vie américain permet à l'équipage permanent de passer à six personnes en juillet 2009 avec l'expédition 20, deux vaisseaux Soyouz d'une capacité de trois personnes chacun, amarrés depuis cette date à la station, pouvant jouer le rôle de capsules de secours.</w:t>
      </w:r>
    </w:p>
    <w:p w14:paraId="0F9FD77E" w14:textId="7A47BD5B"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lastRenderedPageBreak/>
        <w:t>Au cours des années 2000, les problèmes budgétaires vont entraîner l'abandon de composants importants. La Russie, mal relevée de la crise économique, renonce à un véritable laboratoire spatial (2007) alors que la conception initiale en prévoyait trois16, puis deux de ces modules, qui devaient être amarrés au Module d'amarrage universel (UDM) qui, lui-même, ne sera pas lancé. Elle abandonne également la réalisation d'un module de production d'électricité (le Science Power Platform (SPP)) qui aurait permis de rendre la partie russe autonome sur le plan énergétique. Du côté de la NASA, c'est l'explosion des budgets prévisionnels qui entraîne des arbitrages sévères : le CRV, un véhicule permettant d'évacuer l'équipage en cas de sinistre, trop coûteux (3 milliards de dollars), est abandonné en 2002. Il sera remplacé par des vaisseaux Soyouz amarrés en permanence à la station. La construction du module d'habitation, qui devait fournir un espace réservé à l'équipage, comportant douche, salle de repas et de détente ainsi que compartiments individuels, est interrompue alors que la coque pressurisée était achevée (2006) ; un module scientifique construit par le Japon qui devait héberger une centrifugeuse de 2,5 mètres de diamètre, nommé Centrifuge Accommodations Module, équipement jugé pourtant essentiel par la communauté scientifique, est annulé en 2005. Les États-Unis renoncent également au développement du Module de propulsion qui devait permettre de rehausser périodiquement l'orbite de la station.</w:t>
      </w:r>
    </w:p>
    <w:p w14:paraId="021AA3AA" w14:textId="6D5EE4B8"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En 2011, la station spatiale comporte 13 modules pressurisés et l'assemblage des composants non pressurisés est achevé.</w:t>
      </w:r>
    </w:p>
    <w:p w14:paraId="551021CA" w14:textId="5ADB1F59" w:rsidR="00B90DCA" w:rsidRPr="00A47F45" w:rsidRDefault="00B90DCA" w:rsidP="00A47F45">
      <w:pPr>
        <w:pStyle w:val="Titre2"/>
        <w:rPr>
          <w:b/>
          <w:bCs/>
        </w:rPr>
      </w:pPr>
      <w:bookmarkStart w:id="18" w:name="_Toc133137830"/>
      <w:bookmarkStart w:id="19" w:name="_Toc133137872"/>
      <w:r w:rsidRPr="00A47F45">
        <w:rPr>
          <w:rStyle w:val="mw-headline"/>
          <w:b/>
          <w:bCs/>
        </w:rPr>
        <w:t>Développements ultérieurs</w:t>
      </w:r>
      <w:bookmarkEnd w:id="18"/>
      <w:bookmarkEnd w:id="19"/>
    </w:p>
    <w:p w14:paraId="66ED1540" w14:textId="49AD01E1"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 xml:space="preserve">En 2016, le module gonflable BEAM (Bigelow </w:t>
      </w:r>
      <w:proofErr w:type="spellStart"/>
      <w:r w:rsidRPr="00A47F45">
        <w:rPr>
          <w:rFonts w:asciiTheme="minorHAnsi" w:eastAsiaTheme="minorHAnsi" w:hAnsiTheme="minorHAnsi" w:cstheme="minorBidi"/>
          <w:sz w:val="22"/>
          <w:szCs w:val="22"/>
          <w:lang w:eastAsia="en-US"/>
        </w:rPr>
        <w:t>Expandable</w:t>
      </w:r>
      <w:proofErr w:type="spellEnd"/>
      <w:r w:rsidRPr="00A47F45">
        <w:rPr>
          <w:rFonts w:asciiTheme="minorHAnsi" w:eastAsiaTheme="minorHAnsi" w:hAnsiTheme="minorHAnsi" w:cstheme="minorBidi"/>
          <w:sz w:val="22"/>
          <w:szCs w:val="22"/>
          <w:lang w:eastAsia="en-US"/>
        </w:rPr>
        <w:t xml:space="preserve"> Activity Module) est ajouté, lancé sur un cargo SpaceX Dragon. C'est un module habitable expérimental qui permet de tester la technique de l'habitat spatial gonflable. Il résulte d'un contrat entre la société Bigelow Aerospace et la NASA.</w:t>
      </w:r>
    </w:p>
    <w:p w14:paraId="30553468" w14:textId="427618EE"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Du côté russe, le laboratoire </w:t>
      </w:r>
      <w:proofErr w:type="spellStart"/>
      <w:r w:rsidRPr="00A47F45">
        <w:rPr>
          <w:rFonts w:asciiTheme="minorHAnsi" w:eastAsiaTheme="minorHAnsi" w:hAnsiTheme="minorHAnsi" w:cstheme="minorBidi"/>
          <w:sz w:val="22"/>
          <w:szCs w:val="22"/>
          <w:lang w:eastAsia="en-US"/>
        </w:rPr>
        <w:t>Nauka</w:t>
      </w:r>
      <w:proofErr w:type="spellEnd"/>
      <w:r w:rsidRPr="00A47F45">
        <w:rPr>
          <w:rFonts w:asciiTheme="minorHAnsi" w:eastAsiaTheme="minorHAnsi" w:hAnsiTheme="minorHAnsi" w:cstheme="minorBidi"/>
          <w:sz w:val="22"/>
          <w:szCs w:val="22"/>
          <w:lang w:eastAsia="en-US"/>
        </w:rPr>
        <w:t xml:space="preserve"> devait aussi être lancé, mais son décollage est repoussé à plusieurs reprises et a lieu le 21 juillet 2021. Il pourrait être suivi par de nouveaux modules russes comme le nœud </w:t>
      </w:r>
      <w:proofErr w:type="spellStart"/>
      <w:r w:rsidRPr="00A47F45">
        <w:rPr>
          <w:rFonts w:asciiTheme="minorHAnsi" w:eastAsiaTheme="minorHAnsi" w:hAnsiTheme="minorHAnsi" w:cstheme="minorBidi"/>
          <w:sz w:val="22"/>
          <w:szCs w:val="22"/>
          <w:lang w:eastAsia="en-US"/>
        </w:rPr>
        <w:t>Pritchal</w:t>
      </w:r>
      <w:proofErr w:type="spellEnd"/>
      <w:r w:rsidRPr="00A47F45">
        <w:rPr>
          <w:rFonts w:asciiTheme="minorHAnsi" w:eastAsiaTheme="minorHAnsi" w:hAnsiTheme="minorHAnsi" w:cstheme="minorBidi"/>
          <w:sz w:val="22"/>
          <w:szCs w:val="22"/>
          <w:lang w:eastAsia="en-US"/>
        </w:rPr>
        <w:t>.</w:t>
      </w:r>
    </w:p>
    <w:p w14:paraId="4FC852CC" w14:textId="7ECA7CFC"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Début 2016, la NASA sélectionne les sociétés qui assureront le ravitaillement de la Station spatiale internationale à compter de 2019, dans le cadre de son second contrat CRS2. Les titulaires du premier contrat, SpaceX et Orbital ATK, sont retenus, mais la NASA sélectionne également le </w:t>
      </w:r>
      <w:proofErr w:type="spellStart"/>
      <w:r w:rsidRPr="00A47F45">
        <w:rPr>
          <w:rFonts w:asciiTheme="minorHAnsi" w:eastAsiaTheme="minorHAnsi" w:hAnsiTheme="minorHAnsi" w:cstheme="minorBidi"/>
          <w:sz w:val="22"/>
          <w:szCs w:val="22"/>
          <w:lang w:eastAsia="en-US"/>
        </w:rPr>
        <w:t>Dream</w:t>
      </w:r>
      <w:proofErr w:type="spellEnd"/>
      <w:r w:rsidRPr="00A47F45">
        <w:rPr>
          <w:rFonts w:asciiTheme="minorHAnsi" w:eastAsiaTheme="minorHAnsi" w:hAnsiTheme="minorHAnsi" w:cstheme="minorBidi"/>
          <w:sz w:val="22"/>
          <w:szCs w:val="22"/>
          <w:lang w:eastAsia="en-US"/>
        </w:rPr>
        <w:t xml:space="preserve"> </w:t>
      </w:r>
      <w:proofErr w:type="spellStart"/>
      <w:r w:rsidRPr="00A47F45">
        <w:rPr>
          <w:rFonts w:asciiTheme="minorHAnsi" w:eastAsiaTheme="minorHAnsi" w:hAnsiTheme="minorHAnsi" w:cstheme="minorBidi"/>
          <w:sz w:val="22"/>
          <w:szCs w:val="22"/>
          <w:lang w:eastAsia="en-US"/>
        </w:rPr>
        <w:t>Chaser</w:t>
      </w:r>
      <w:proofErr w:type="spellEnd"/>
      <w:r w:rsidRPr="00A47F45">
        <w:rPr>
          <w:rFonts w:asciiTheme="minorHAnsi" w:eastAsiaTheme="minorHAnsi" w:hAnsiTheme="minorHAnsi" w:cstheme="minorBidi"/>
          <w:sz w:val="22"/>
          <w:szCs w:val="22"/>
          <w:lang w:eastAsia="en-US"/>
        </w:rPr>
        <w:t> de SNC dans sa version cargo.</w:t>
      </w:r>
    </w:p>
    <w:p w14:paraId="531D2DDB" w14:textId="3A03E9EA"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 xml:space="preserve">À partir de 2020, les vaisseaux habités américains Dragon v2 de SpaceX et CST-100 </w:t>
      </w:r>
      <w:proofErr w:type="spellStart"/>
      <w:r w:rsidRPr="00A47F45">
        <w:rPr>
          <w:rFonts w:asciiTheme="minorHAnsi" w:eastAsiaTheme="minorHAnsi" w:hAnsiTheme="minorHAnsi" w:cstheme="minorBidi"/>
          <w:sz w:val="22"/>
          <w:szCs w:val="22"/>
          <w:lang w:eastAsia="en-US"/>
        </w:rPr>
        <w:t>Starliner</w:t>
      </w:r>
      <w:proofErr w:type="spellEnd"/>
      <w:r w:rsidRPr="00A47F45">
        <w:rPr>
          <w:rFonts w:asciiTheme="minorHAnsi" w:eastAsiaTheme="minorHAnsi" w:hAnsiTheme="minorHAnsi" w:cstheme="minorBidi"/>
          <w:sz w:val="22"/>
          <w:szCs w:val="22"/>
          <w:lang w:eastAsia="en-US"/>
        </w:rPr>
        <w:t> de Boeing, développés dans le cadre du </w:t>
      </w:r>
      <w:proofErr w:type="spellStart"/>
      <w:r w:rsidRPr="00A47F45">
        <w:rPr>
          <w:rFonts w:asciiTheme="minorHAnsi" w:eastAsiaTheme="minorHAnsi" w:hAnsiTheme="minorHAnsi" w:cstheme="minorBidi"/>
          <w:sz w:val="22"/>
          <w:szCs w:val="22"/>
          <w:lang w:eastAsia="en-US"/>
        </w:rPr>
        <w:t>CCDev</w:t>
      </w:r>
      <w:proofErr w:type="spellEnd"/>
      <w:r w:rsidRPr="00A47F45">
        <w:rPr>
          <w:rFonts w:asciiTheme="minorHAnsi" w:eastAsiaTheme="minorHAnsi" w:hAnsiTheme="minorHAnsi" w:cstheme="minorBidi"/>
          <w:sz w:val="22"/>
          <w:szCs w:val="22"/>
          <w:lang w:eastAsia="en-US"/>
        </w:rPr>
        <w:t>, sont utilisés pour assurer la relève des équipages. Cela porte l'équipage permanent de la station à sept personnes (un vaisseau américain pouvant recevoir quatre passagers est amarré en même temps qu'un vaisseau russe n'en accueillant que trois) et permet d'augmenter de 40 % le nombre d'expériences scientifiques réalisées à bord. Pour chaque année à partir de 2019, la NASA prévoyait une moyenne de quatre cargos orbitaux embarquant entre 2,5 et 5 tonnes de matériel sous atmosphère pressurisée, soit un minimum de 18 cargos entre cette date et 2024.</w:t>
      </w:r>
    </w:p>
    <w:p w14:paraId="21750AEB" w14:textId="428A5B54"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 xml:space="preserve">Fin 2020, le sas Bishop est ajouté au complexe orbital, lors de la mission cargo CRS-21 de SpaceX. Amarré à l'un des ports du module </w:t>
      </w:r>
      <w:proofErr w:type="spellStart"/>
      <w:r w:rsidRPr="00A47F45">
        <w:rPr>
          <w:rFonts w:asciiTheme="minorHAnsi" w:eastAsiaTheme="minorHAnsi" w:hAnsiTheme="minorHAnsi" w:cstheme="minorBidi"/>
          <w:sz w:val="22"/>
          <w:szCs w:val="22"/>
          <w:lang w:eastAsia="en-US"/>
        </w:rPr>
        <w:t>Tranquility</w:t>
      </w:r>
      <w:proofErr w:type="spellEnd"/>
      <w:r w:rsidRPr="00A47F45">
        <w:rPr>
          <w:rFonts w:asciiTheme="minorHAnsi" w:eastAsiaTheme="minorHAnsi" w:hAnsiTheme="minorHAnsi" w:cstheme="minorBidi"/>
          <w:sz w:val="22"/>
          <w:szCs w:val="22"/>
          <w:lang w:eastAsia="en-US"/>
        </w:rPr>
        <w:t>, il permet de larguer des charges utiles allant jusqu'à 322 kg.</w:t>
      </w:r>
    </w:p>
    <w:p w14:paraId="563CE3B1" w14:textId="68F1187B" w:rsidR="00B90DCA" w:rsidRDefault="00B90DCA" w:rsidP="0002779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9275579" w14:textId="0F026B7E" w:rsidR="00B90DCA" w:rsidRPr="00A47F45" w:rsidRDefault="00B90DCA" w:rsidP="00A47F45">
      <w:pPr>
        <w:pStyle w:val="Titre2"/>
        <w:rPr>
          <w:b/>
          <w:bCs/>
        </w:rPr>
      </w:pPr>
      <w:bookmarkStart w:id="20" w:name="_Toc133137831"/>
      <w:bookmarkStart w:id="21" w:name="_Toc133137873"/>
      <w:r w:rsidRPr="00A47F45">
        <w:rPr>
          <w:rStyle w:val="mw-headline"/>
          <w:b/>
          <w:bCs/>
        </w:rPr>
        <w:t>Objectifs</w:t>
      </w:r>
      <w:bookmarkEnd w:id="20"/>
      <w:bookmarkEnd w:id="21"/>
    </w:p>
    <w:p w14:paraId="4506C32C" w14:textId="58FEB974"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 xml:space="preserve">Selon la NASA la station spatiale internationale est conçue d'abord comme un laboratoire de recherche affecté à l'étude de son environnement atypique caractérisé par l'absence de pesanteur, le bombardement par des rayonnements absents au sol car interceptés par l'atmosphère, et sa position qui en fait un poste d'observation privilégié de la Terre mais également de l'espace. Par rapport à la navette spatiale américaine, elle présente l'avantage de constituer une plateforme stationnée pour </w:t>
      </w:r>
      <w:r w:rsidRPr="00A47F45">
        <w:rPr>
          <w:rFonts w:asciiTheme="minorHAnsi" w:eastAsiaTheme="minorHAnsi" w:hAnsiTheme="minorHAnsi" w:cstheme="minorBidi"/>
          <w:sz w:val="22"/>
          <w:szCs w:val="22"/>
          <w:lang w:eastAsia="en-US"/>
        </w:rPr>
        <w:lastRenderedPageBreak/>
        <w:t>de longues durées. Contrairement aux satellites porteurs d'expériences scientifiques, la présence d'un équipage permanent offre l'avantage de permettre d'effectuer, à la demande, de nombreuses manipulations sur les expériences : surveillance, ajout d'intrants, réparations ou remplacements de composants. Les scientifiques au sol ont, grâce à l'équipage, la possibilité d'accéder facilement aux résultats de leurs expériences, d'en modifier les paramètres ou d'en lancer de nouvelles.</w:t>
      </w:r>
    </w:p>
    <w:p w14:paraId="2F7A3C03" w14:textId="21B1C16B"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Par ailleurs la station spatiale, par sa position en orbite terrestre basse, fournit un endroit relativement sûr pour mettre au point les systèmes spatiaux qui seront nécessaires pour les missions de longue durée vers la Lune ou vers Mars. Elle permet d'acquérir de l'expérience dans le domaine de la maintenance, de la réparation et du remplacement de systèmes en orbite : toutes ces techniques sont vitales pour la mise en œuvre de vaisseaux qui devront s'éloigner de la Terre et s'affranchir de toute possibilité de dépannage depuis la Terre. Ce type de recherche permet à terme de réduire les risques courus par ces missions et d'optimiser la capacité des vaisseaux interplanétaires.</w:t>
      </w:r>
    </w:p>
    <w:p w14:paraId="7F5D0E6F" w14:textId="7FF9736B"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Le rôle de l'équipage porte également sur l'éducation et la coopération internationale. L'équipage de la station spatiale permet à des étudiants restés sur Terre de participer, y compris par le biais d'expériences développées par eux, à des travaux pratiques. Le programme de la station spatiale lui-même et la coopération internationale qu'il suscite, permettent à 13 nations d'apprendre à vivre et travailler ensemble dans l'espace, favorisant ainsi de futures missions internationales.</w:t>
      </w:r>
    </w:p>
    <w:p w14:paraId="74EC8B9A" w14:textId="7B30D4BB" w:rsidR="00B90DCA" w:rsidRPr="00A47F45" w:rsidRDefault="00B90DCA" w:rsidP="00A47F45">
      <w:pPr>
        <w:pStyle w:val="Titre3"/>
        <w:rPr>
          <w:b/>
          <w:bCs/>
        </w:rPr>
      </w:pPr>
      <w:bookmarkStart w:id="22" w:name="_Toc133137832"/>
      <w:bookmarkStart w:id="23" w:name="_Toc133137874"/>
      <w:r w:rsidRPr="00A47F45">
        <w:rPr>
          <w:rStyle w:val="mw-headline"/>
          <w:b/>
          <w:bCs/>
        </w:rPr>
        <w:t>Recherche scientifique</w:t>
      </w:r>
      <w:bookmarkEnd w:id="22"/>
      <w:bookmarkEnd w:id="23"/>
    </w:p>
    <w:p w14:paraId="31B47721" w14:textId="049CB278"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La station spatiale fournit une plateforme pour réaliser des expériences qui nécessitent une des conditions inhabituelles rencontrées dans l'espace. Les domaines de recherche principaux comprennent la biologie, la physique, l'astronomie et la météorologie. Selon les directives élaborées par le Congrès à la NASA en 2005, le laboratoire américain Destiny est officiellement considéré comme un laboratoire public national dans le but d'accroitre son utilisation par l'ensemble des agences fédérales et du secteur privé.</w:t>
      </w:r>
    </w:p>
    <w:p w14:paraId="734AF1D8" w14:textId="5CAA1CFB"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La recherche effectuée à bord de la station spatiale accroît la compréhension des effets du séjour dans l'espace sur le corps humain. Les thèmes de recherche actuels portent sur l'atrophie musculaire, l'ostéoporose et la redistribution des liquides biologiques (sang...) qui constituent certains des problèmes les plus handicapants pour les séjours prolongés de l'homme dans l'espace. Les données recueillies doivent permettre de déterminer si l'homme peut effectuer des vols de longue durée et à terme coloniser l'espace. Les résultats concernant la perte osseuse et l'atrophie musculaire suggèrent que les astronautes risquent d'être victimes de fractures au moment de l'atterrissage sur une planète après un séjour prolongé dans l'espace.</w:t>
      </w:r>
    </w:p>
    <w:p w14:paraId="1D2CE8E7" w14:textId="3A072806"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 xml:space="preserve">Des études médicales à grande échelle sont menées à bord de la station spatiale par l'Institut de recherche de médecine spatiale américain. Parmi les travaux notables figure l'étude d'un système de diagnostic par ultrasons en microgravité dans le cadre duquel plusieurs astronautes (dont les commandants Leroy </w:t>
      </w:r>
      <w:proofErr w:type="spellStart"/>
      <w:r w:rsidRPr="00A47F45">
        <w:rPr>
          <w:rFonts w:asciiTheme="minorHAnsi" w:eastAsiaTheme="minorHAnsi" w:hAnsiTheme="minorHAnsi" w:cstheme="minorBidi"/>
          <w:sz w:val="22"/>
          <w:szCs w:val="22"/>
          <w:lang w:eastAsia="en-US"/>
        </w:rPr>
        <w:t>Chiao</w:t>
      </w:r>
      <w:proofErr w:type="spellEnd"/>
      <w:r w:rsidRPr="00A47F45">
        <w:rPr>
          <w:rFonts w:asciiTheme="minorHAnsi" w:eastAsiaTheme="minorHAnsi" w:hAnsiTheme="minorHAnsi" w:cstheme="minorBidi"/>
          <w:sz w:val="22"/>
          <w:szCs w:val="22"/>
          <w:lang w:eastAsia="en-US"/>
        </w:rPr>
        <w:t> et </w:t>
      </w:r>
      <w:proofErr w:type="spellStart"/>
      <w:r w:rsidRPr="00A47F45">
        <w:rPr>
          <w:rFonts w:asciiTheme="minorHAnsi" w:eastAsiaTheme="minorHAnsi" w:hAnsiTheme="minorHAnsi" w:cstheme="minorBidi"/>
          <w:sz w:val="22"/>
          <w:szCs w:val="22"/>
          <w:lang w:eastAsia="en-US"/>
        </w:rPr>
        <w:t>Gennady</w:t>
      </w:r>
      <w:proofErr w:type="spellEnd"/>
      <w:r w:rsidRPr="00A47F45">
        <w:rPr>
          <w:rFonts w:asciiTheme="minorHAnsi" w:eastAsiaTheme="minorHAnsi" w:hAnsiTheme="minorHAnsi" w:cstheme="minorBidi"/>
          <w:sz w:val="22"/>
          <w:szCs w:val="22"/>
          <w:lang w:eastAsia="en-US"/>
        </w:rPr>
        <w:t xml:space="preserve"> </w:t>
      </w:r>
      <w:proofErr w:type="spellStart"/>
      <w:r w:rsidRPr="00A47F45">
        <w:rPr>
          <w:rFonts w:asciiTheme="minorHAnsi" w:eastAsiaTheme="minorHAnsi" w:hAnsiTheme="minorHAnsi" w:cstheme="minorBidi"/>
          <w:sz w:val="22"/>
          <w:szCs w:val="22"/>
          <w:lang w:eastAsia="en-US"/>
        </w:rPr>
        <w:t>Padalka</w:t>
      </w:r>
      <w:proofErr w:type="spellEnd"/>
      <w:r w:rsidRPr="00A47F45">
        <w:rPr>
          <w:rFonts w:asciiTheme="minorHAnsi" w:eastAsiaTheme="minorHAnsi" w:hAnsiTheme="minorHAnsi" w:cstheme="minorBidi"/>
          <w:sz w:val="22"/>
          <w:szCs w:val="22"/>
          <w:lang w:eastAsia="en-US"/>
        </w:rPr>
        <w:t>) se sont soumis à des examens par ultrasons sous la direction de spécialistes. Le thème de l'étude porte sur les techniques de diagnostic et le traitement des problèmes médicaux dans l'espace. Il n'y a généralement pas de médecins dans la station spatiale et la réalisation de diagnostics peut par conséquent être difficile. Les techniques testées dans le cadre de cette étude ont été mises en œuvre par la suite pour diagnostiquer des accidents du travail ou dans le domaine des sports olympiques ; elles ont également été mises en œuvre par des opérateurs sans expérience sur des populations comme celles des étudiants. Il est prévu que ces techniques de diagnostic à distance par ultrasons aient des applications sur Terre dans les situations d'urgence et dans les milieux ruraux où l'accès à un médecin expérimenté est difficile.</w:t>
      </w:r>
    </w:p>
    <w:p w14:paraId="3175723D" w14:textId="7831F374"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Des chercheurs étudient les effets de l'absence de gravité sur l'évolution, le développement, la croissance et les processus internes des plantes et des animaux. À partir des données collectées, la NASA souhaite analyser les effets de la microgravité sur la croissance tridimensionnelle des tissus similaires à ceux de l'homme et sur les cristaux de protéines qui se forment dans l'espace.</w:t>
      </w:r>
    </w:p>
    <w:p w14:paraId="01AC69E0" w14:textId="5DBC182C"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lastRenderedPageBreak/>
        <w:t>La physique des fluides en microgravité est également étudiée, afin de permettre aux chercheurs de mieux modéliser leur comportement. Étant donné que dans cet environnement tous les fluides peuvent être mélangés, les physiciens tentent de combiner des fluides qui se mélangent mal sur Terre. De plus, en examinant les réactions chimiques qui sont ralenties par la faible gravité et les températures, les scientifiques espèrent effectuer de nouvelles percées dans le domaine de la supraconductivité.</w:t>
      </w:r>
    </w:p>
    <w:p w14:paraId="4E667670" w14:textId="69C5F5DE"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La science des matériaux est un secteur important de la recherche effectuée dans la station spatiale : ses objectifs sont d'améliorer les techniques de fabrication utilisées sur Terre.</w:t>
      </w:r>
    </w:p>
    <w:p w14:paraId="4BDA8C24" w14:textId="502F6B0C" w:rsidR="00B90DCA"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Parmi les autres centres d'intérêt figure l'incidence de la microgravité sur la combustion : efficacité de la combustion et contrôle des émissions et des polluants. Les découvertes effectuées dans ce domaine pourraient permettre d'améliorer notre compréhension des mécanismes mis en œuvre pour la production d'énergie et bénéficier en retour à l'économie et à l'environnement. On envisage également d'utiliser la station spatiale pour étudier les aérosols, l'ozone, la vapeur d'eau et les oxydants présents dans l'atmosphère terrestre30. En mai 2011 une expérience de physique fondamentale, le spectromètre magnétique Alpha, est installée sur la poutre de la station : cet instrument pourrait apporter des informations précieuses sur la présence ou la nature de l'antimatière et de la matière noire en analysant les rayons cosmiques qui ne peuvent être observés depuis le sol en raison du filtrage de l'atmosphère terrestre.</w:t>
      </w:r>
    </w:p>
    <w:p w14:paraId="414CBA47" w14:textId="77777777" w:rsidR="00D63183" w:rsidRPr="00A47F45" w:rsidRDefault="00D63183"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1A3F2FAD" w14:textId="448DF206" w:rsidR="00B90DCA" w:rsidRPr="00A47F45" w:rsidRDefault="00B90DCA" w:rsidP="00A47F45">
      <w:pPr>
        <w:pStyle w:val="Titre2"/>
        <w:rPr>
          <w:b/>
          <w:bCs/>
        </w:rPr>
      </w:pPr>
      <w:bookmarkStart w:id="24" w:name="_Toc133137833"/>
      <w:bookmarkStart w:id="25" w:name="_Toc133137875"/>
      <w:r w:rsidRPr="00A47F45">
        <w:rPr>
          <w:rStyle w:val="mw-headline"/>
          <w:b/>
          <w:bCs/>
        </w:rPr>
        <w:t>Anatomie de la station spatiale</w:t>
      </w:r>
      <w:bookmarkEnd w:id="24"/>
      <w:bookmarkEnd w:id="25"/>
    </w:p>
    <w:p w14:paraId="0514B739" w14:textId="5B4CC001"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La station spatiale internationale mesure 108 mètres de long sur 74 mètres de large, pour une masse approchant les 450 tonnes. Avec un volume pressurisé d'environ 900 m3, dont près de 400 m3 </w:t>
      </w:r>
      <w:proofErr w:type="gramStart"/>
      <w:r w:rsidRPr="00A47F45">
        <w:rPr>
          <w:rFonts w:asciiTheme="minorHAnsi" w:eastAsiaTheme="minorHAnsi" w:hAnsiTheme="minorHAnsi" w:cstheme="minorBidi"/>
          <w:sz w:val="22"/>
          <w:szCs w:val="22"/>
          <w:lang w:eastAsia="en-US"/>
        </w:rPr>
        <w:t>habitables</w:t>
      </w:r>
      <w:r w:rsidR="00A47F45" w:rsidRPr="00A47F45">
        <w:rPr>
          <w:rFonts w:asciiTheme="minorHAnsi" w:eastAsiaTheme="minorHAnsi" w:hAnsiTheme="minorHAnsi" w:cstheme="minorBidi"/>
          <w:sz w:val="22"/>
          <w:szCs w:val="22"/>
          <w:lang w:eastAsia="en-US"/>
        </w:rPr>
        <w:t xml:space="preserve"> </w:t>
      </w:r>
      <w:r w:rsidRPr="00A47F45">
        <w:rPr>
          <w:rFonts w:asciiTheme="minorHAnsi" w:eastAsiaTheme="minorHAnsi" w:hAnsiTheme="minorHAnsi" w:cstheme="minorBidi"/>
          <w:sz w:val="22"/>
          <w:szCs w:val="22"/>
          <w:lang w:eastAsia="en-US"/>
        </w:rPr>
        <w:t>,</w:t>
      </w:r>
      <w:proofErr w:type="gramEnd"/>
      <w:r w:rsidRPr="00A47F45">
        <w:rPr>
          <w:rFonts w:asciiTheme="minorHAnsi" w:eastAsiaTheme="minorHAnsi" w:hAnsiTheme="minorHAnsi" w:cstheme="minorBidi"/>
          <w:sz w:val="22"/>
          <w:szCs w:val="22"/>
          <w:lang w:eastAsia="en-US"/>
        </w:rPr>
        <w:t xml:space="preserve"> elle peut accueillir sept astronautes en permanence.</w:t>
      </w:r>
    </w:p>
    <w:p w14:paraId="06C5C21A" w14:textId="77777777" w:rsidR="00B90DCA" w:rsidRPr="00A47F45" w:rsidRDefault="00B90DCA" w:rsidP="00A47F4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47F45">
        <w:rPr>
          <w:rFonts w:asciiTheme="minorHAnsi" w:eastAsiaTheme="minorHAnsi" w:hAnsiTheme="minorHAnsi" w:cstheme="minorBidi"/>
          <w:sz w:val="22"/>
          <w:szCs w:val="22"/>
          <w:lang w:eastAsia="en-US"/>
        </w:rPr>
        <w:t>La station spatiale est composée d'une part des modules pressurisés dans lesquels vivent les astronautes (laboratoires, modules d'amarrage, modules d'interconnexions, sas, modules polyvalents), d'autre part d'éléments non pressurisés qui assurent différentes fonctions telles que la fourniture d'énergie, la régulation thermique, la maintenance (bras robotiques) et le stockage d'expériences scientifiques et de pièces détachées.</w:t>
      </w:r>
    </w:p>
    <w:p w14:paraId="7896DEC3" w14:textId="0DFC10F6" w:rsidR="00B90DCA" w:rsidRPr="00D63183" w:rsidRDefault="00B90DCA" w:rsidP="00D63183">
      <w:pPr>
        <w:pStyle w:val="Titre3"/>
        <w:rPr>
          <w:b/>
          <w:bCs/>
        </w:rPr>
      </w:pPr>
      <w:bookmarkStart w:id="26" w:name="_Toc133137834"/>
      <w:bookmarkStart w:id="27" w:name="_Toc133137876"/>
      <w:r w:rsidRPr="00D63183">
        <w:rPr>
          <w:rStyle w:val="mw-headline"/>
          <w:b/>
          <w:bCs/>
        </w:rPr>
        <w:t>Historique de la conception de la station spatiale par la NASA</w:t>
      </w:r>
      <w:bookmarkEnd w:id="26"/>
      <w:bookmarkEnd w:id="27"/>
    </w:p>
    <w:p w14:paraId="4EECD9A6" w14:textId="42BF3BCB" w:rsidR="00B90DCA" w:rsidRPr="00D63183" w:rsidRDefault="00D63183"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drawing>
          <wp:anchor distT="0" distB="0" distL="114300" distR="114300" simplePos="0" relativeHeight="251665408" behindDoc="0" locked="0" layoutInCell="1" allowOverlap="1" wp14:anchorId="295BE4AA" wp14:editId="525D94B9">
            <wp:simplePos x="0" y="0"/>
            <wp:positionH relativeFrom="margin">
              <wp:align>right</wp:align>
            </wp:positionH>
            <wp:positionV relativeFrom="paragraph">
              <wp:posOffset>81915</wp:posOffset>
            </wp:positionV>
            <wp:extent cx="2095500" cy="2667000"/>
            <wp:effectExtent l="0" t="0" r="0" b="0"/>
            <wp:wrapSquare wrapText="bothSides"/>
            <wp:docPr id="1520226581" name="Image 36">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95500" cy="2667000"/>
                    </a:xfrm>
                    <a:prstGeom prst="rect">
                      <a:avLst/>
                    </a:prstGeom>
                    <a:noFill/>
                    <a:ln>
                      <a:noFill/>
                    </a:ln>
                  </pic:spPr>
                </pic:pic>
              </a:graphicData>
            </a:graphic>
          </wp:anchor>
        </w:drawing>
      </w:r>
      <w:r w:rsidR="00B90DCA" w:rsidRPr="00D63183">
        <w:rPr>
          <w:rFonts w:asciiTheme="minorHAnsi" w:eastAsiaTheme="minorHAnsi" w:hAnsiTheme="minorHAnsi" w:cstheme="minorBidi"/>
          <w:sz w:val="22"/>
          <w:szCs w:val="22"/>
          <w:lang w:eastAsia="en-US"/>
        </w:rPr>
        <w:t>L'architecture et l'aménagement intérieur de la partie non russe de la station spatiale (~85 % du tonnage) sont l'aboutissement de longues études démarrées au début des années 1970 qui ont abouti au cours des années 1980.</w:t>
      </w:r>
    </w:p>
    <w:p w14:paraId="7269510D" w14:textId="25F8FB9A" w:rsidR="00B90DCA" w:rsidRPr="00D63183" w:rsidRDefault="00B90DCA" w:rsidP="00D63183">
      <w:pPr>
        <w:pStyle w:val="Titre4"/>
        <w:rPr>
          <w:b/>
          <w:bCs/>
        </w:rPr>
      </w:pPr>
      <w:bookmarkStart w:id="28" w:name="_Toc133137835"/>
      <w:bookmarkStart w:id="29" w:name="_Toc133137877"/>
      <w:r w:rsidRPr="00D63183">
        <w:rPr>
          <w:rStyle w:val="mw-headline"/>
          <w:b/>
          <w:bCs/>
        </w:rPr>
        <w:t>Expérience de la station Skylab</w:t>
      </w:r>
      <w:bookmarkEnd w:id="28"/>
      <w:bookmarkEnd w:id="29"/>
    </w:p>
    <w:p w14:paraId="4D576013" w14:textId="38C43CFE"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La station Skylab (1973-1974) avait été réalisée en aménageant le troisième étage d'une fusée Saturn V, haut de 39 mètres et de 7 mètres de diamètre, qui avait été divisé dans le sens de la longueur en deux étages, fournissant ainsi un volume intérieur de 480 m3. Bien que la station n'ait été habitée que brièvement (6 mois en temps cumulé), ses occupants font des observations intéressantes qui seront prises en compte dans la conception de la future station à laquelle certains d'entre eux vont d'ailleurs participer. La NASA étudie au début des années 1970, sans avoir de vrai financement, une station susceptible de succéder à Skylab. Après l'arrêt de la fabrication de la fusée Saturn et le lancement du projet de navette spatiale, le concept de station monolithique (un cylindre unique), à la manière de Skylab, est abandonné au profit d'un ensemble de modules dont le diamètre est compatible avec la taille de la </w:t>
      </w:r>
      <w:proofErr w:type="spellStart"/>
      <w:r w:rsidRPr="00D63183">
        <w:rPr>
          <w:rFonts w:asciiTheme="minorHAnsi" w:eastAsiaTheme="minorHAnsi" w:hAnsiTheme="minorHAnsi" w:cstheme="minorBidi"/>
          <w:sz w:val="22"/>
          <w:szCs w:val="22"/>
          <w:lang w:eastAsia="en-US"/>
        </w:rPr>
        <w:lastRenderedPageBreak/>
        <w:t>soute</w:t>
      </w:r>
      <w:proofErr w:type="spellEnd"/>
      <w:r w:rsidRPr="00D63183">
        <w:rPr>
          <w:rFonts w:asciiTheme="minorHAnsi" w:eastAsiaTheme="minorHAnsi" w:hAnsiTheme="minorHAnsi" w:cstheme="minorBidi"/>
          <w:sz w:val="22"/>
          <w:szCs w:val="22"/>
          <w:lang w:eastAsia="en-US"/>
        </w:rPr>
        <w:t xml:space="preserve"> de la navette (moins de 5 mètres). Le regroupement des modules autour d'un module central servant de nœud est écarté car trop risqué. La NASA identifie à cette époque la nécessité de disposer d'un vaisseau permettant d'évacuer à tout moment la station.</w:t>
      </w:r>
    </w:p>
    <w:p w14:paraId="2C0D9896" w14:textId="257FDB2C" w:rsidR="00B90DCA" w:rsidRPr="00D63183" w:rsidRDefault="00B90DCA" w:rsidP="00D63183">
      <w:pPr>
        <w:pStyle w:val="Titre4"/>
        <w:rPr>
          <w:b/>
          <w:bCs/>
        </w:rPr>
      </w:pPr>
      <w:bookmarkStart w:id="30" w:name="_Toc133137836"/>
      <w:bookmarkStart w:id="31" w:name="_Toc133137878"/>
      <w:r w:rsidRPr="00D63183">
        <w:rPr>
          <w:rStyle w:val="mw-headline"/>
          <w:b/>
          <w:bCs/>
        </w:rPr>
        <w:t>Configuration Tour à énergie</w:t>
      </w:r>
      <w:bookmarkEnd w:id="30"/>
      <w:bookmarkEnd w:id="31"/>
    </w:p>
    <w:p w14:paraId="20A38A9C" w14:textId="3DF2B0A6"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En 1982-1983 un groupe de travail de la NASA chargé de réfléchir au développement d'une station spatiale, le Concept </w:t>
      </w:r>
      <w:proofErr w:type="spellStart"/>
      <w:r w:rsidRPr="00D63183">
        <w:rPr>
          <w:rFonts w:asciiTheme="minorHAnsi" w:eastAsiaTheme="minorHAnsi" w:hAnsiTheme="minorHAnsi" w:cstheme="minorBidi"/>
          <w:sz w:val="22"/>
          <w:szCs w:val="22"/>
          <w:lang w:eastAsia="en-US"/>
        </w:rPr>
        <w:t>Development</w:t>
      </w:r>
      <w:proofErr w:type="spellEnd"/>
      <w:r w:rsidRPr="00D63183">
        <w:rPr>
          <w:rFonts w:asciiTheme="minorHAnsi" w:eastAsiaTheme="minorHAnsi" w:hAnsiTheme="minorHAnsi" w:cstheme="minorBidi"/>
          <w:sz w:val="22"/>
          <w:szCs w:val="22"/>
          <w:lang w:eastAsia="en-US"/>
        </w:rPr>
        <w:t xml:space="preserve"> Group (CDG), met au point le concept de « Tour à énergie » (Power </w:t>
      </w:r>
      <w:proofErr w:type="spellStart"/>
      <w:r w:rsidRPr="00D63183">
        <w:rPr>
          <w:rFonts w:asciiTheme="minorHAnsi" w:eastAsiaTheme="minorHAnsi" w:hAnsiTheme="minorHAnsi" w:cstheme="minorBidi"/>
          <w:sz w:val="22"/>
          <w:szCs w:val="22"/>
          <w:lang w:eastAsia="en-US"/>
        </w:rPr>
        <w:t>tower</w:t>
      </w:r>
      <w:proofErr w:type="spellEnd"/>
      <w:r w:rsidRPr="00D63183">
        <w:rPr>
          <w:rFonts w:asciiTheme="minorHAnsi" w:eastAsiaTheme="minorHAnsi" w:hAnsiTheme="minorHAnsi" w:cstheme="minorBidi"/>
          <w:sz w:val="22"/>
          <w:szCs w:val="22"/>
          <w:lang w:eastAsia="en-US"/>
        </w:rPr>
        <w:t>) : une poutre verticale de près de 100 mètres de haut supporte à son sommet une poutre perpendiculaire de 75 mètres de long sur laquelle sont répartis les panneaux solaires. Tous les autres composants sont attachés à l'extrémité inférieure de la poutre et l'ensemble est stabilisé par gradient de gravité ce qui permet de réduire le besoin de carburant pour contrôler l'orientation de la station. La partie pressurisée, est constituée de quatre modules - deux laboratoires, un habitat et un module de commandement - partageant la même architecture : un cylindre doté d'un port d'amarrage à chaque extrémité et de quatre autres ports à sa périphérie permettant de multiples arrangements. Pour l'aménagement intérieur, deux configurations sont étudiées : un cloisonnement du cylindre en tranches à la manière de Skylab et un aménagement longitudinal avec un plancher parallèle à la paroi du cylindre. Le cloisonnement vertical génère des espaces confinés et peut créer des problèmes de désorientation mais utilise mieux l'espace et fournit un bon accès au système de support de vie.</w:t>
      </w:r>
    </w:p>
    <w:p w14:paraId="3D094D87" w14:textId="359AA7F6" w:rsidR="00B90DCA" w:rsidRPr="00D63183" w:rsidRDefault="00D63183" w:rsidP="00D63183">
      <w:pPr>
        <w:pStyle w:val="Titre4"/>
        <w:rPr>
          <w:b/>
          <w:bCs/>
        </w:rPr>
      </w:pPr>
      <w:bookmarkStart w:id="32" w:name="_Toc133137837"/>
      <w:bookmarkStart w:id="33" w:name="_Toc133137879"/>
      <w:r w:rsidRPr="00D63183">
        <w:rPr>
          <w:b/>
          <w:bCs/>
        </w:rPr>
        <w:drawing>
          <wp:anchor distT="0" distB="0" distL="114300" distR="114300" simplePos="0" relativeHeight="251666432" behindDoc="0" locked="0" layoutInCell="1" allowOverlap="1" wp14:anchorId="456007FA" wp14:editId="092A5F4A">
            <wp:simplePos x="0" y="0"/>
            <wp:positionH relativeFrom="margin">
              <wp:align>right</wp:align>
            </wp:positionH>
            <wp:positionV relativeFrom="paragraph">
              <wp:posOffset>27940</wp:posOffset>
            </wp:positionV>
            <wp:extent cx="2095500" cy="1638300"/>
            <wp:effectExtent l="0" t="0" r="0" b="0"/>
            <wp:wrapSquare wrapText="bothSides"/>
            <wp:docPr id="1795999749" name="Image 35">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95500" cy="1638300"/>
                    </a:xfrm>
                    <a:prstGeom prst="rect">
                      <a:avLst/>
                    </a:prstGeom>
                    <a:noFill/>
                    <a:ln>
                      <a:noFill/>
                    </a:ln>
                  </pic:spPr>
                </pic:pic>
              </a:graphicData>
            </a:graphic>
          </wp:anchor>
        </w:drawing>
      </w:r>
      <w:r w:rsidR="00B90DCA" w:rsidRPr="00D63183">
        <w:rPr>
          <w:rStyle w:val="mw-headline"/>
          <w:b/>
          <w:bCs/>
        </w:rPr>
        <w:t>Configuration Catamaran</w:t>
      </w:r>
      <w:bookmarkEnd w:id="32"/>
      <w:bookmarkEnd w:id="33"/>
    </w:p>
    <w:p w14:paraId="27FCB99B" w14:textId="10E3DD2F" w:rsidR="00B90DCA" w:rsidRPr="00D63183" w:rsidRDefault="00B90DCA" w:rsidP="00D63183">
      <w:pPr>
        <w:shd w:val="clear" w:color="auto" w:fill="F8F9FA"/>
        <w:jc w:val="both"/>
      </w:pPr>
      <w:r w:rsidRPr="00D63183">
        <w:t xml:space="preserve">En 1985 la NASA entame, avec la participation de plusieurs industriels, la phase B de son étude destinée à détailler les concepts déjà définis. Une étude plus fine des besoins scientifiques - microgravité, observatoires céleste et terrestre - aboutit à la disqualification du concept de « Tour à énergie » mal adapté. Une nouvelle architecture dite Catamaran (Dual </w:t>
      </w:r>
      <w:proofErr w:type="spellStart"/>
      <w:r w:rsidRPr="00D63183">
        <w:t>Keel</w:t>
      </w:r>
      <w:proofErr w:type="spellEnd"/>
      <w:r w:rsidRPr="00D63183">
        <w:t>) est mise au point : deux poutres verticales parallèles supportent à leurs extrémités les télescopes spatiaux. Elles sont jointes en leur centre par une longue poutre horizontale qui supporte en son milieu les modules pressurisés et à ses extrémités les panneaux solaires.</w:t>
      </w:r>
    </w:p>
    <w:p w14:paraId="08C06227" w14:textId="4A7EF088" w:rsidR="00B90DCA" w:rsidRPr="00D63183" w:rsidRDefault="00D63183" w:rsidP="00D63183">
      <w:pPr>
        <w:pStyle w:val="Titre4"/>
        <w:rPr>
          <w:b/>
          <w:bCs/>
        </w:rPr>
      </w:pPr>
      <w:bookmarkStart w:id="34" w:name="_Toc133137838"/>
      <w:bookmarkStart w:id="35" w:name="_Toc133137880"/>
      <w:r w:rsidRPr="00D63183">
        <w:rPr>
          <w:b/>
          <w:bCs/>
        </w:rPr>
        <w:drawing>
          <wp:anchor distT="0" distB="0" distL="114300" distR="114300" simplePos="0" relativeHeight="251667456" behindDoc="0" locked="0" layoutInCell="1" allowOverlap="1" wp14:anchorId="101EE0D5" wp14:editId="4C53EB83">
            <wp:simplePos x="0" y="0"/>
            <wp:positionH relativeFrom="margin">
              <wp:align>right</wp:align>
            </wp:positionH>
            <wp:positionV relativeFrom="paragraph">
              <wp:posOffset>43180</wp:posOffset>
            </wp:positionV>
            <wp:extent cx="2095500" cy="1981200"/>
            <wp:effectExtent l="0" t="0" r="0" b="0"/>
            <wp:wrapSquare wrapText="bothSides"/>
            <wp:docPr id="965513815" name="Image 34">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095500" cy="1981200"/>
                    </a:xfrm>
                    <a:prstGeom prst="rect">
                      <a:avLst/>
                    </a:prstGeom>
                    <a:noFill/>
                    <a:ln>
                      <a:noFill/>
                    </a:ln>
                  </pic:spPr>
                </pic:pic>
              </a:graphicData>
            </a:graphic>
          </wp:anchor>
        </w:drawing>
      </w:r>
      <w:r w:rsidR="00B90DCA" w:rsidRPr="00D63183">
        <w:rPr>
          <w:rStyle w:val="mw-headline"/>
          <w:b/>
          <w:bCs/>
        </w:rPr>
        <w:t>Aménagement intérieur</w:t>
      </w:r>
      <w:bookmarkEnd w:id="34"/>
      <w:bookmarkEnd w:id="35"/>
    </w:p>
    <w:p w14:paraId="57821888" w14:textId="4614637C"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Parallèlement un groupe créé en 1983 au centre spatial Johnson se penche plus particulièrement sur l'aménagement intérieur. Il s'agit à la fois de favoriser la productivité de l'équipage par une optimisation de l'ergonomie et de permettre la mise à niveau de la station et sa maintenance tout au long de sa durée de vie estimée à l'époque à 30 ans. Pour parvenir à ce résultat les équipements intérieurs doivent être modulaires ; la taille de chaque « meuble » doit être à la fois standardisée et suffisamment réduite pour pouvoir passer par les écoutilles. Il est établi que la taille minimale compatible avec la dimension des équipements usuels est celle d'un réfrigérateur. Par ailleurs la disposition retenue doit permettre d'accéder facilement à la coque pressurisée en cas de perforation. Plusieurs scénarios d'aménagement sont évalués : équipements rassemblés autour de l'axe du module laissant un espace habitable entre ce noyau et la coque (Service </w:t>
      </w:r>
      <w:proofErr w:type="spellStart"/>
      <w:r w:rsidRPr="00D63183">
        <w:rPr>
          <w:rFonts w:asciiTheme="minorHAnsi" w:eastAsiaTheme="minorHAnsi" w:hAnsiTheme="minorHAnsi" w:cstheme="minorBidi"/>
          <w:sz w:val="22"/>
          <w:szCs w:val="22"/>
          <w:lang w:eastAsia="en-US"/>
        </w:rPr>
        <w:t>Core</w:t>
      </w:r>
      <w:proofErr w:type="spellEnd"/>
      <w:r w:rsidRPr="00D63183">
        <w:rPr>
          <w:rFonts w:asciiTheme="minorHAnsi" w:eastAsiaTheme="minorHAnsi" w:hAnsiTheme="minorHAnsi" w:cstheme="minorBidi"/>
          <w:sz w:val="22"/>
          <w:szCs w:val="22"/>
          <w:lang w:eastAsia="en-US"/>
        </w:rPr>
        <w:t xml:space="preserve"> A sur le schéma ci-contre). Mais pour une coque de 4,5 mètres de diamètre, cette configuration laissait beaucoup moins d'espace vital que celle consistant à rejeter les équipements le long de la coque. Cette dernière disposition est donc retenue pour la suite de l'étude et à son tour déclinée en plusieurs versions : une disposition avec les équipements placés aux quatre angles laissant un volume libre en forme de croix (B) est éliminée car laissant peu de place pour les équipements ; on écarte </w:t>
      </w:r>
      <w:r w:rsidRPr="00D63183">
        <w:rPr>
          <w:rFonts w:asciiTheme="minorHAnsi" w:eastAsiaTheme="minorHAnsi" w:hAnsiTheme="minorHAnsi" w:cstheme="minorBidi"/>
          <w:sz w:val="22"/>
          <w:szCs w:val="22"/>
          <w:lang w:eastAsia="en-US"/>
        </w:rPr>
        <w:lastRenderedPageBreak/>
        <w:t>également un aménagement qui superpose deux formats d'équipement de chaque côté de l'espace laissé libre avec des gaines techniques courant au niveau du plancher et du plafond (C). La solution finalement retenue consiste à placer des équipements au format parfaitement identique sur les quatre côtés de l'espace central (D). Les espaces libres de forme triangulaire situés entre les équipements et la coque sont utilisés pour faire passer les gaines techniques.</w:t>
      </w:r>
    </w:p>
    <w:p w14:paraId="3AF50C57" w14:textId="36CCA2C0" w:rsidR="00B90DCA" w:rsidRPr="00D63183" w:rsidRDefault="00D63183" w:rsidP="00D63183">
      <w:pPr>
        <w:pStyle w:val="Titre4"/>
        <w:rPr>
          <w:b/>
          <w:bCs/>
        </w:rPr>
      </w:pPr>
      <w:bookmarkStart w:id="36" w:name="_Toc133137839"/>
      <w:bookmarkStart w:id="37" w:name="_Toc133137881"/>
      <w:r w:rsidRPr="00D63183">
        <w:rPr>
          <w:b/>
          <w:bCs/>
        </w:rPr>
        <w:drawing>
          <wp:anchor distT="0" distB="0" distL="114300" distR="114300" simplePos="0" relativeHeight="251668480" behindDoc="0" locked="0" layoutInCell="1" allowOverlap="1" wp14:anchorId="0BA40B25" wp14:editId="07FE032E">
            <wp:simplePos x="0" y="0"/>
            <wp:positionH relativeFrom="margin">
              <wp:align>right</wp:align>
            </wp:positionH>
            <wp:positionV relativeFrom="paragraph">
              <wp:posOffset>76200</wp:posOffset>
            </wp:positionV>
            <wp:extent cx="2095500" cy="1402080"/>
            <wp:effectExtent l="0" t="0" r="0" b="0"/>
            <wp:wrapSquare wrapText="bothSides"/>
            <wp:docPr id="899253189" name="Image 33">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anchor>
        </w:drawing>
      </w:r>
      <w:r w:rsidR="00B90DCA" w:rsidRPr="00D63183">
        <w:rPr>
          <w:rStyle w:val="mw-headline"/>
          <w:b/>
          <w:bCs/>
        </w:rPr>
        <w:t>Du module universel au module spécialisé</w:t>
      </w:r>
      <w:bookmarkEnd w:id="36"/>
      <w:bookmarkEnd w:id="37"/>
    </w:p>
    <w:p w14:paraId="65E733D4" w14:textId="65E96AB5"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Pour réduire les coûts, la NASA était partie du principe que tous les modules de la station seraient identiques (configuration K sur le schéma ci-contre) ; l'ajout d'équipements intérieurs spécialisés devait permettre de répondre aux besoins couverts spécifiquement par chaque module. Mais les études plus détaillées montrèrent que, compte tenu du nombre réduit de modules à produire, le gain financier espéré ne compensait pas le surcroît de complexité et de masse d'un module « universel ». En particulier un tiers du volume de chaque module devait être consacré aux six ports d'amarrage radiaux et axiaux particulièrement volumineux et lourds compte tenu de leur gabarit généreux. Aussi </w:t>
      </w:r>
      <w:proofErr w:type="spellStart"/>
      <w:r w:rsidRPr="00D63183">
        <w:rPr>
          <w:rFonts w:asciiTheme="minorHAnsi" w:eastAsiaTheme="minorHAnsi" w:hAnsiTheme="minorHAnsi" w:cstheme="minorBidi"/>
          <w:sz w:val="22"/>
          <w:szCs w:val="22"/>
          <w:lang w:eastAsia="en-US"/>
        </w:rPr>
        <w:t>fut-il</w:t>
      </w:r>
      <w:proofErr w:type="spellEnd"/>
      <w:r w:rsidRPr="00D63183">
        <w:rPr>
          <w:rFonts w:asciiTheme="minorHAnsi" w:eastAsiaTheme="minorHAnsi" w:hAnsiTheme="minorHAnsi" w:cstheme="minorBidi"/>
          <w:sz w:val="22"/>
          <w:szCs w:val="22"/>
          <w:lang w:eastAsia="en-US"/>
        </w:rPr>
        <w:t xml:space="preserve"> décidé que le module commun ne prendrait pas en charge les fonctions de sas et de nœuds qui donneraient lieu au développement de modules spécialisés. Dans cette nouvelle configuration le module commun, nettement allégé car ne comportant plus que deux ouvertures aux extrémités du cylindre, pouvait être allongé ce qui permettait de réduire le nombre de modules nécessaires ; les modules, qui dans les configurations de l'époque assuraient des liaisons perpendiculaires pour des raisons de sécurité (configuration « en carré »), pouvaient être abandonnés au profit de simples tunnels pratiquement dépourvus d'équipements intérieurs et donc très légers (L). Finalement il fut décidé d'allonger les modules de type nœud pour qu'ils prennent en charge également la fonction des modules de liaison (configuration M puis N). Le concept de module de liaison fut abandonné par la suite.</w:t>
      </w:r>
    </w:p>
    <w:p w14:paraId="71BC3E21" w14:textId="384C3AAC" w:rsidR="00B90DCA" w:rsidRPr="00D63183" w:rsidRDefault="00B90DCA" w:rsidP="00D63183">
      <w:pPr>
        <w:pStyle w:val="Titre4"/>
        <w:rPr>
          <w:b/>
          <w:bCs/>
        </w:rPr>
      </w:pPr>
      <w:bookmarkStart w:id="38" w:name="_Toc133137840"/>
      <w:bookmarkStart w:id="39" w:name="_Toc133137882"/>
      <w:r w:rsidRPr="00D63183">
        <w:rPr>
          <w:rStyle w:val="mw-headline"/>
          <w:b/>
          <w:bCs/>
        </w:rPr>
        <w:t>Coupole d'observation</w:t>
      </w:r>
      <w:bookmarkEnd w:id="38"/>
      <w:bookmarkEnd w:id="39"/>
    </w:p>
    <w:p w14:paraId="5DA86A54" w14:textId="102F9B3C"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Pour pouvoir travailler, il était nécessaire que l'équipage dispose d'une vue sur l'extérieur : manœuvres d'amarrage et désamarrage des vaisseaux chargés du ravitaillement et de la relève, intervention à distance sur la partie extérieure de la station grâce aux bras robotisés, surveillance et maintenance. La réponse à ce besoin opposa d'une part les partisans d'une vue « virtuelle » reconstituée sur les écrans d'un poste de travail à partir d'images obtenues grâce à des caméras et d'autre part ceux qui, au nom de la sécurité, exigeaient de disposer de hublots dans chaque module permettant d'avoir une vue directe sur les composants de la station. Les détracteurs de cette dernière solution soulignèrent que la présence de hublots fragilisait et alourdissait la structure sans pour autant fournir une vue directe sur toutes les parties de la station. La création de coupoles d'observation donnant une vision à 180° fut décidée à l'issue de ces débats.</w:t>
      </w:r>
    </w:p>
    <w:p w14:paraId="1F27BAD4" w14:textId="28B66CB6" w:rsidR="00B90DCA" w:rsidRPr="00D63183" w:rsidRDefault="00D63183" w:rsidP="00D63183">
      <w:pPr>
        <w:pStyle w:val="Titre3"/>
        <w:rPr>
          <w:b/>
          <w:bCs/>
        </w:rPr>
      </w:pPr>
      <w:bookmarkStart w:id="40" w:name="_Toc133137841"/>
      <w:bookmarkStart w:id="41" w:name="_Toc133137883"/>
      <w:r>
        <w:rPr>
          <w:noProof/>
        </w:rPr>
        <w:lastRenderedPageBreak/>
        <mc:AlternateContent>
          <mc:Choice Requires="wps">
            <w:drawing>
              <wp:anchor distT="0" distB="0" distL="114300" distR="114300" simplePos="0" relativeHeight="251671552" behindDoc="0" locked="0" layoutInCell="1" allowOverlap="1" wp14:anchorId="79755C67" wp14:editId="1A0900EF">
                <wp:simplePos x="0" y="0"/>
                <wp:positionH relativeFrom="column">
                  <wp:posOffset>3817620</wp:posOffset>
                </wp:positionH>
                <wp:positionV relativeFrom="paragraph">
                  <wp:posOffset>2663190</wp:posOffset>
                </wp:positionV>
                <wp:extent cx="2095500" cy="635"/>
                <wp:effectExtent l="0" t="0" r="0" b="0"/>
                <wp:wrapSquare wrapText="bothSides"/>
                <wp:docPr id="583846647"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3740B82" w14:textId="0C50C1A0" w:rsidR="00D63183" w:rsidRPr="00A92120" w:rsidRDefault="00D63183" w:rsidP="00D63183">
                            <w:pPr>
                              <w:pStyle w:val="Lgende"/>
                              <w:rPr>
                                <w:rFonts w:ascii="Arial" w:hAnsi="Arial" w:cs="Arial"/>
                                <w:noProof/>
                                <w:color w:val="3366CC"/>
                                <w:sz w:val="20"/>
                                <w:szCs w:val="20"/>
                              </w:rPr>
                            </w:pPr>
                            <w:r>
                              <w:t xml:space="preserve">Figure </w:t>
                            </w:r>
                            <w:fldSimple w:instr=" SEQ Figure \* ARABIC ">
                              <w:r w:rsidR="00705F1D">
                                <w:rPr>
                                  <w:noProof/>
                                </w:rPr>
                                <w:t>1</w:t>
                              </w:r>
                            </w:fldSimple>
                            <w:r>
                              <w:t xml:space="preserve">: </w:t>
                            </w:r>
                            <w:r w:rsidRPr="00593E01">
                              <w:t xml:space="preserve">Vue du dessous : modules russes </w:t>
                            </w:r>
                            <w:proofErr w:type="spellStart"/>
                            <w:r w:rsidRPr="00593E01">
                              <w:t>Zarya</w:t>
                            </w:r>
                            <w:proofErr w:type="spellEnd"/>
                            <w:r w:rsidRPr="00593E01">
                              <w:t xml:space="preserve"> (A) et </w:t>
                            </w:r>
                            <w:proofErr w:type="spellStart"/>
                            <w:r w:rsidRPr="00593E01">
                              <w:t>Zvezda</w:t>
                            </w:r>
                            <w:proofErr w:type="spellEnd"/>
                            <w:r w:rsidRPr="00593E01">
                              <w:t xml:space="preserve">(C), nœuds </w:t>
                            </w:r>
                            <w:proofErr w:type="spellStart"/>
                            <w:r w:rsidRPr="00593E01">
                              <w:t>Unity</w:t>
                            </w:r>
                            <w:proofErr w:type="spellEnd"/>
                            <w:r w:rsidRPr="00593E01">
                              <w:t xml:space="preserve"> (B), Harmony (G) et </w:t>
                            </w:r>
                            <w:proofErr w:type="spellStart"/>
                            <w:r w:rsidRPr="00593E01">
                              <w:t>Tranquility</w:t>
                            </w:r>
                            <w:proofErr w:type="spellEnd"/>
                            <w:r w:rsidRPr="00593E01">
                              <w:t xml:space="preserve"> (L), laboratoires Destiny (D), Columbus (H) et </w:t>
                            </w:r>
                            <w:proofErr w:type="spellStart"/>
                            <w:r w:rsidRPr="00593E01">
                              <w:t>Kibo</w:t>
                            </w:r>
                            <w:proofErr w:type="spellEnd"/>
                            <w:r w:rsidRPr="00593E01">
                              <w:t xml:space="preserve"> (I), sas </w:t>
                            </w:r>
                            <w:proofErr w:type="spellStart"/>
                            <w:r w:rsidRPr="00593E01">
                              <w:t>Quest</w:t>
                            </w:r>
                            <w:proofErr w:type="spellEnd"/>
                            <w:r w:rsidRPr="00593E01">
                              <w:t xml:space="preserve"> (E), bras Canadarm2 (J) sur la poutre, radiateurs (F), vers les panneaux solaires (K)</w:t>
                            </w:r>
                            <w:r w:rsidRPr="00D63183">
                              <w:t>, 3 × vaisseaux Soyouz ou Progress (S).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55C67" id="Zone de texte 1" o:spid="_x0000_s1027" type="#_x0000_t202" style="position:absolute;margin-left:300.6pt;margin-top:209.7pt;width:1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" stroked="f">
                <v:textbox style="mso-fit-shape-to-text:t" inset="0,0,0,0">
                  <w:txbxContent>
                    <w:p w14:paraId="53740B82" w14:textId="0C50C1A0" w:rsidR="00D63183" w:rsidRPr="00A92120" w:rsidRDefault="00D63183" w:rsidP="00D63183">
                      <w:pPr>
                        <w:pStyle w:val="Lgende"/>
                        <w:rPr>
                          <w:rFonts w:ascii="Arial" w:hAnsi="Arial" w:cs="Arial"/>
                          <w:noProof/>
                          <w:color w:val="3366CC"/>
                          <w:sz w:val="20"/>
                          <w:szCs w:val="20"/>
                        </w:rPr>
                      </w:pPr>
                      <w:r>
                        <w:t xml:space="preserve">Figure </w:t>
                      </w:r>
                      <w:fldSimple w:instr=" SEQ Figure \* ARABIC ">
                        <w:r w:rsidR="00705F1D">
                          <w:rPr>
                            <w:noProof/>
                          </w:rPr>
                          <w:t>1</w:t>
                        </w:r>
                      </w:fldSimple>
                      <w:r>
                        <w:t xml:space="preserve">: </w:t>
                      </w:r>
                      <w:r w:rsidRPr="00593E01">
                        <w:t xml:space="preserve">Vue du dessous : modules russes </w:t>
                      </w:r>
                      <w:proofErr w:type="spellStart"/>
                      <w:r w:rsidRPr="00593E01">
                        <w:t>Zarya</w:t>
                      </w:r>
                      <w:proofErr w:type="spellEnd"/>
                      <w:r w:rsidRPr="00593E01">
                        <w:t xml:space="preserve"> (A) et </w:t>
                      </w:r>
                      <w:proofErr w:type="spellStart"/>
                      <w:r w:rsidRPr="00593E01">
                        <w:t>Zvezda</w:t>
                      </w:r>
                      <w:proofErr w:type="spellEnd"/>
                      <w:r w:rsidRPr="00593E01">
                        <w:t xml:space="preserve">(C), nœuds </w:t>
                      </w:r>
                      <w:proofErr w:type="spellStart"/>
                      <w:r w:rsidRPr="00593E01">
                        <w:t>Unity</w:t>
                      </w:r>
                      <w:proofErr w:type="spellEnd"/>
                      <w:r w:rsidRPr="00593E01">
                        <w:t xml:space="preserve"> (B), Harmony (G) et </w:t>
                      </w:r>
                      <w:proofErr w:type="spellStart"/>
                      <w:r w:rsidRPr="00593E01">
                        <w:t>Tranquility</w:t>
                      </w:r>
                      <w:proofErr w:type="spellEnd"/>
                      <w:r w:rsidRPr="00593E01">
                        <w:t xml:space="preserve"> (L), laboratoires Destiny (D), Columbus (H) et </w:t>
                      </w:r>
                      <w:proofErr w:type="spellStart"/>
                      <w:r w:rsidRPr="00593E01">
                        <w:t>Kibo</w:t>
                      </w:r>
                      <w:proofErr w:type="spellEnd"/>
                      <w:r w:rsidRPr="00593E01">
                        <w:t xml:space="preserve"> (I), sas </w:t>
                      </w:r>
                      <w:proofErr w:type="spellStart"/>
                      <w:r w:rsidRPr="00593E01">
                        <w:t>Quest</w:t>
                      </w:r>
                      <w:proofErr w:type="spellEnd"/>
                      <w:r w:rsidRPr="00593E01">
                        <w:t xml:space="preserve"> (E), bras Canadarm2 (J) sur la poutre, radiateurs (F), vers les panneaux solaires (K)</w:t>
                      </w:r>
                      <w:r w:rsidRPr="00D63183">
                        <w:t>, 3 × vaisseaux Soyouz ou Progress (S).</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69504" behindDoc="0" locked="0" layoutInCell="1" allowOverlap="1" wp14:anchorId="2F4C5406" wp14:editId="47ABB2EB">
            <wp:simplePos x="0" y="0"/>
            <wp:positionH relativeFrom="margin">
              <wp:posOffset>3817620</wp:posOffset>
            </wp:positionH>
            <wp:positionV relativeFrom="paragraph">
              <wp:posOffset>0</wp:posOffset>
            </wp:positionV>
            <wp:extent cx="2095500" cy="2606040"/>
            <wp:effectExtent l="0" t="0" r="0" b="3810"/>
            <wp:wrapSquare wrapText="bothSides"/>
            <wp:docPr id="1912256686" name="Image 32">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095500" cy="2606040"/>
                    </a:xfrm>
                    <a:prstGeom prst="rect">
                      <a:avLst/>
                    </a:prstGeom>
                    <a:noFill/>
                    <a:ln>
                      <a:noFill/>
                    </a:ln>
                  </pic:spPr>
                </pic:pic>
              </a:graphicData>
            </a:graphic>
          </wp:anchor>
        </w:drawing>
      </w:r>
      <w:r w:rsidR="00B90DCA" w:rsidRPr="00D63183">
        <w:rPr>
          <w:rStyle w:val="mw-headline"/>
          <w:b/>
          <w:bCs/>
        </w:rPr>
        <w:t>Sous-ensemble russe</w:t>
      </w:r>
      <w:bookmarkEnd w:id="40"/>
      <w:bookmarkEnd w:id="41"/>
    </w:p>
    <w:p w14:paraId="523722D8" w14:textId="77777777"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La station spatiale internationale comprend :</w:t>
      </w:r>
    </w:p>
    <w:p w14:paraId="28408B6B" w14:textId="121472E3" w:rsidR="00B90DCA" w:rsidRPr="00D63183" w:rsidRDefault="00B90DCA" w:rsidP="00D63183">
      <w:pPr>
        <w:pStyle w:val="Paragraphedeliste"/>
        <w:numPr>
          <w:ilvl w:val="0"/>
          <w:numId w:val="32"/>
        </w:numPr>
        <w:shd w:val="clear" w:color="auto" w:fill="FFFFFF"/>
        <w:spacing w:before="100" w:beforeAutospacing="1" w:after="24" w:line="240" w:lineRule="auto"/>
        <w:jc w:val="both"/>
      </w:pPr>
      <w:proofErr w:type="gramStart"/>
      <w:r w:rsidRPr="00D63183">
        <w:t>d'une</w:t>
      </w:r>
      <w:proofErr w:type="gramEnd"/>
      <w:r w:rsidRPr="00D63183">
        <w:t xml:space="preserve"> part, les modules et composants développés appliquant les concepts architecturaux mis au point par la NASA, regroupés dans un sous-ensemble baptisé par l'agence spatiale américaine segment américain (USOS) qui inclut également des modules construits et financés par les agences spatiales japonaise et européenne ;</w:t>
      </w:r>
    </w:p>
    <w:p w14:paraId="4F313E45" w14:textId="13374606" w:rsidR="00B90DCA" w:rsidRPr="00D63183" w:rsidRDefault="00B90DCA" w:rsidP="00D63183">
      <w:pPr>
        <w:pStyle w:val="Paragraphedeliste"/>
        <w:numPr>
          <w:ilvl w:val="0"/>
          <w:numId w:val="32"/>
        </w:numPr>
        <w:shd w:val="clear" w:color="auto" w:fill="FFFFFF"/>
        <w:spacing w:before="100" w:beforeAutospacing="1" w:after="24" w:line="240" w:lineRule="auto"/>
        <w:jc w:val="both"/>
      </w:pPr>
      <w:proofErr w:type="gramStart"/>
      <w:r w:rsidRPr="00D63183">
        <w:t>d'autre</w:t>
      </w:r>
      <w:proofErr w:type="gramEnd"/>
      <w:r w:rsidRPr="00D63183">
        <w:t xml:space="preserve"> part, les modules et composants russes constituant un deuxième sous-ensemble (environ 25 % de la masse) baptisé segment russe (ROS). Les modules russes forment un ensemble bien distinct, relié au reste de la station uniquement par le module de la NASA de type nœud </w:t>
      </w:r>
      <w:proofErr w:type="spellStart"/>
      <w:r w:rsidRPr="00D63183">
        <w:t>Unity</w:t>
      </w:r>
      <w:proofErr w:type="spellEnd"/>
      <w:r w:rsidRPr="00D63183">
        <w:t>.</w:t>
      </w:r>
    </w:p>
    <w:p w14:paraId="2F2EB1F6" w14:textId="749A1859"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La partie russe de la station applique l'architecture des modules développés pour la station Mir. Leur conception plus classique est très différente de ce qui a été développé par la NASA. Les nœuds sont intégrés dans des modules qui ne se cantonnent pas à cette spécialité. Les aménagements ne sont généralement pas amovibles. La place accordée aux équipements scientifiques est beaucoup plus réduite. Deux membres de l'équipage disposent de petites cabines.</w:t>
      </w:r>
    </w:p>
    <w:p w14:paraId="2D6DFC7D" w14:textId="3D02F7A7" w:rsidR="00B90DCA" w:rsidRPr="00D63183" w:rsidRDefault="00B90DCA" w:rsidP="00D63183">
      <w:pPr>
        <w:pStyle w:val="Titre3"/>
        <w:rPr>
          <w:b/>
          <w:bCs/>
        </w:rPr>
      </w:pPr>
      <w:bookmarkStart w:id="42" w:name="_Toc133137842"/>
      <w:bookmarkStart w:id="43" w:name="_Toc133137884"/>
      <w:r w:rsidRPr="00D63183">
        <w:rPr>
          <w:rStyle w:val="mw-headline"/>
          <w:b/>
          <w:bCs/>
        </w:rPr>
        <w:t>Configuration finale</w:t>
      </w:r>
      <w:bookmarkEnd w:id="42"/>
      <w:bookmarkEnd w:id="43"/>
    </w:p>
    <w:p w14:paraId="6F7C243E" w14:textId="4721145B" w:rsidR="00B90DCA" w:rsidRDefault="00B90DCA" w:rsidP="00B90DCA">
      <w:pPr>
        <w:shd w:val="clear" w:color="auto" w:fill="F8F9FA"/>
        <w:jc w:val="center"/>
        <w:rPr>
          <w:rFonts w:ascii="Arial" w:hAnsi="Arial" w:cs="Arial"/>
          <w:color w:val="202122"/>
          <w:sz w:val="20"/>
          <w:szCs w:val="20"/>
        </w:rPr>
      </w:pPr>
      <w:r>
        <w:rPr>
          <w:rFonts w:ascii="Arial" w:hAnsi="Arial" w:cs="Arial"/>
          <w:noProof/>
          <w:color w:val="3366CC"/>
          <w:sz w:val="20"/>
          <w:szCs w:val="20"/>
        </w:rPr>
        <w:drawing>
          <wp:inline distT="0" distB="0" distL="0" distR="0" wp14:anchorId="1E402BE5" wp14:editId="32822DBA">
            <wp:extent cx="5760720" cy="3761740"/>
            <wp:effectExtent l="0" t="0" r="0" b="0"/>
            <wp:docPr id="858718742" name="Image 31">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60720" cy="3761740"/>
                    </a:xfrm>
                    <a:prstGeom prst="rect">
                      <a:avLst/>
                    </a:prstGeom>
                    <a:noFill/>
                    <a:ln>
                      <a:noFill/>
                    </a:ln>
                  </pic:spPr>
                </pic:pic>
              </a:graphicData>
            </a:graphic>
          </wp:inline>
        </w:drawing>
      </w:r>
    </w:p>
    <w:p w14:paraId="43BAAE7D" w14:textId="77777777"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À l'issue de la phase de conception, la configuration de la station spatiale retenue comporte quatre modules laboratoires, un module d'habitation, deux coupoles d'observation, deux sas et un module logistique (pour le stockage) construit par les européens. Les arbitrages budgétaires qui affectent le </w:t>
      </w:r>
      <w:r w:rsidRPr="00D63183">
        <w:rPr>
          <w:rFonts w:asciiTheme="minorHAnsi" w:eastAsiaTheme="minorHAnsi" w:hAnsiTheme="minorHAnsi" w:cstheme="minorBidi"/>
          <w:sz w:val="22"/>
          <w:szCs w:val="22"/>
          <w:lang w:eastAsia="en-US"/>
        </w:rPr>
        <w:lastRenderedPageBreak/>
        <w:t>projet entraînent par la suite la suppression de deux nœuds, d'une coupole du module affecté à la centrifugeuse et de celui à la logistique.</w:t>
      </w:r>
    </w:p>
    <w:p w14:paraId="6BC4D1EA" w14:textId="77777777"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Les modules pressurisés, qui sont de forme cylindrique, sont pourvus d'une ouverture à chaque extrémité. La station est composée d'une colonne vertébrale formée par une enfilade de cinq modules (</w:t>
      </w:r>
      <w:proofErr w:type="spellStart"/>
      <w:r w:rsidRPr="00D63183">
        <w:rPr>
          <w:rFonts w:asciiTheme="minorHAnsi" w:eastAsiaTheme="minorHAnsi" w:hAnsiTheme="minorHAnsi" w:cstheme="minorBidi"/>
          <w:sz w:val="22"/>
          <w:szCs w:val="22"/>
          <w:lang w:eastAsia="en-US"/>
        </w:rPr>
        <w:t>Zvezda</w:t>
      </w:r>
      <w:proofErr w:type="spellEnd"/>
      <w:r w:rsidRPr="00D63183">
        <w:rPr>
          <w:rFonts w:asciiTheme="minorHAnsi" w:eastAsiaTheme="minorHAnsi" w:hAnsiTheme="minorHAnsi" w:cstheme="minorBidi"/>
          <w:sz w:val="22"/>
          <w:szCs w:val="22"/>
          <w:lang w:eastAsia="en-US"/>
        </w:rPr>
        <w:t xml:space="preserve">, </w:t>
      </w:r>
      <w:proofErr w:type="spellStart"/>
      <w:r w:rsidRPr="00D63183">
        <w:rPr>
          <w:rFonts w:asciiTheme="minorHAnsi" w:eastAsiaTheme="minorHAnsi" w:hAnsiTheme="minorHAnsi" w:cstheme="minorBidi"/>
          <w:sz w:val="22"/>
          <w:szCs w:val="22"/>
          <w:lang w:eastAsia="en-US"/>
        </w:rPr>
        <w:t>Zarya</w:t>
      </w:r>
      <w:proofErr w:type="spellEnd"/>
      <w:r w:rsidRPr="00D63183">
        <w:rPr>
          <w:rFonts w:asciiTheme="minorHAnsi" w:eastAsiaTheme="minorHAnsi" w:hAnsiTheme="minorHAnsi" w:cstheme="minorBidi"/>
          <w:sz w:val="22"/>
          <w:szCs w:val="22"/>
          <w:lang w:eastAsia="en-US"/>
        </w:rPr>
        <w:t xml:space="preserve">, </w:t>
      </w:r>
      <w:proofErr w:type="spellStart"/>
      <w:r w:rsidRPr="00D63183">
        <w:rPr>
          <w:rFonts w:asciiTheme="minorHAnsi" w:eastAsiaTheme="minorHAnsi" w:hAnsiTheme="minorHAnsi" w:cstheme="minorBidi"/>
          <w:sz w:val="22"/>
          <w:szCs w:val="22"/>
          <w:lang w:eastAsia="en-US"/>
        </w:rPr>
        <w:t>Unity</w:t>
      </w:r>
      <w:proofErr w:type="spellEnd"/>
      <w:r w:rsidRPr="00D63183">
        <w:rPr>
          <w:rFonts w:asciiTheme="minorHAnsi" w:eastAsiaTheme="minorHAnsi" w:hAnsiTheme="minorHAnsi" w:cstheme="minorBidi"/>
          <w:sz w:val="22"/>
          <w:szCs w:val="22"/>
          <w:lang w:eastAsia="en-US"/>
        </w:rPr>
        <w:t xml:space="preserve">, Destiny, Harmony), connectés bout à bout, longue de près de 50 mètres. Les autres modules viennent se greffer sur cet axe : certains modules sont connectés sur la gauche ou la droite du corps principal (Colombus, </w:t>
      </w:r>
      <w:proofErr w:type="spellStart"/>
      <w:r w:rsidRPr="00D63183">
        <w:rPr>
          <w:rFonts w:asciiTheme="minorHAnsi" w:eastAsiaTheme="minorHAnsi" w:hAnsiTheme="minorHAnsi" w:cstheme="minorBidi"/>
          <w:sz w:val="22"/>
          <w:szCs w:val="22"/>
          <w:lang w:eastAsia="en-US"/>
        </w:rPr>
        <w:t>Quest</w:t>
      </w:r>
      <w:proofErr w:type="spellEnd"/>
      <w:r w:rsidRPr="00D63183">
        <w:rPr>
          <w:rFonts w:asciiTheme="minorHAnsi" w:eastAsiaTheme="minorHAnsi" w:hAnsiTheme="minorHAnsi" w:cstheme="minorBidi"/>
          <w:sz w:val="22"/>
          <w:szCs w:val="22"/>
          <w:lang w:eastAsia="en-US"/>
        </w:rPr>
        <w:t xml:space="preserve">, </w:t>
      </w:r>
      <w:proofErr w:type="spellStart"/>
      <w:r w:rsidRPr="00D63183">
        <w:rPr>
          <w:rFonts w:asciiTheme="minorHAnsi" w:eastAsiaTheme="minorHAnsi" w:hAnsiTheme="minorHAnsi" w:cstheme="minorBidi"/>
          <w:sz w:val="22"/>
          <w:szCs w:val="22"/>
          <w:lang w:eastAsia="en-US"/>
        </w:rPr>
        <w:t>Tranquility</w:t>
      </w:r>
      <w:proofErr w:type="spellEnd"/>
      <w:r w:rsidRPr="00D63183">
        <w:rPr>
          <w:rFonts w:asciiTheme="minorHAnsi" w:eastAsiaTheme="minorHAnsi" w:hAnsiTheme="minorHAnsi" w:cstheme="minorBidi"/>
          <w:sz w:val="22"/>
          <w:szCs w:val="22"/>
          <w:lang w:eastAsia="en-US"/>
        </w:rPr>
        <w:t xml:space="preserve"> et </w:t>
      </w:r>
      <w:proofErr w:type="spellStart"/>
      <w:r w:rsidRPr="00D63183">
        <w:rPr>
          <w:rFonts w:asciiTheme="minorHAnsi" w:eastAsiaTheme="minorHAnsi" w:hAnsiTheme="minorHAnsi" w:cstheme="minorBidi"/>
          <w:sz w:val="22"/>
          <w:szCs w:val="22"/>
          <w:lang w:eastAsia="en-US"/>
        </w:rPr>
        <w:t>Kibo</w:t>
      </w:r>
      <w:proofErr w:type="spellEnd"/>
      <w:r w:rsidRPr="00D63183">
        <w:rPr>
          <w:rFonts w:asciiTheme="minorHAnsi" w:eastAsiaTheme="minorHAnsi" w:hAnsiTheme="minorHAnsi" w:cstheme="minorBidi"/>
          <w:sz w:val="22"/>
          <w:szCs w:val="22"/>
          <w:lang w:eastAsia="en-US"/>
        </w:rPr>
        <w:t>) tandis que d'autres sont connectés au-dessus ou au-dessous (</w:t>
      </w:r>
      <w:proofErr w:type="spellStart"/>
      <w:r w:rsidRPr="00D63183">
        <w:rPr>
          <w:rFonts w:asciiTheme="minorHAnsi" w:eastAsiaTheme="minorHAnsi" w:hAnsiTheme="minorHAnsi" w:cstheme="minorBidi"/>
          <w:sz w:val="22"/>
          <w:szCs w:val="22"/>
          <w:lang w:eastAsia="en-US"/>
        </w:rPr>
        <w:t>Pirs</w:t>
      </w:r>
      <w:proofErr w:type="spellEnd"/>
      <w:r w:rsidRPr="00D63183">
        <w:rPr>
          <w:rFonts w:asciiTheme="minorHAnsi" w:eastAsiaTheme="minorHAnsi" w:hAnsiTheme="minorHAnsi" w:cstheme="minorBidi"/>
          <w:sz w:val="22"/>
          <w:szCs w:val="22"/>
          <w:lang w:eastAsia="en-US"/>
        </w:rPr>
        <w:t xml:space="preserve">, </w:t>
      </w:r>
      <w:proofErr w:type="spellStart"/>
      <w:r w:rsidRPr="00D63183">
        <w:rPr>
          <w:rFonts w:asciiTheme="minorHAnsi" w:eastAsiaTheme="minorHAnsi" w:hAnsiTheme="minorHAnsi" w:cstheme="minorBidi"/>
          <w:sz w:val="22"/>
          <w:szCs w:val="22"/>
          <w:lang w:eastAsia="en-US"/>
        </w:rPr>
        <w:t>Poisk</w:t>
      </w:r>
      <w:proofErr w:type="spellEnd"/>
      <w:r w:rsidRPr="00D63183">
        <w:rPr>
          <w:rFonts w:asciiTheme="minorHAnsi" w:eastAsiaTheme="minorHAnsi" w:hAnsiTheme="minorHAnsi" w:cstheme="minorBidi"/>
          <w:sz w:val="22"/>
          <w:szCs w:val="22"/>
          <w:lang w:eastAsia="en-US"/>
        </w:rPr>
        <w:t xml:space="preserve">, poutre S0, Rassvet, </w:t>
      </w:r>
      <w:proofErr w:type="spellStart"/>
      <w:r w:rsidRPr="00D63183">
        <w:rPr>
          <w:rFonts w:asciiTheme="minorHAnsi" w:eastAsiaTheme="minorHAnsi" w:hAnsiTheme="minorHAnsi" w:cstheme="minorBidi"/>
          <w:sz w:val="22"/>
          <w:szCs w:val="22"/>
          <w:lang w:eastAsia="en-US"/>
        </w:rPr>
        <w:t>Nauka</w:t>
      </w:r>
      <w:proofErr w:type="spellEnd"/>
      <w:r w:rsidRPr="00D63183">
        <w:rPr>
          <w:rFonts w:asciiTheme="minorHAnsi" w:eastAsiaTheme="minorHAnsi" w:hAnsiTheme="minorHAnsi" w:cstheme="minorBidi"/>
          <w:sz w:val="22"/>
          <w:szCs w:val="22"/>
          <w:lang w:eastAsia="en-US"/>
        </w:rPr>
        <w:t>).</w:t>
      </w:r>
    </w:p>
    <w:p w14:paraId="78B5FC69" w14:textId="4090576D"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De la conception initiale subsiste également une longue poutre, fournie par la NASA et perpendiculaire à l'axe principal des modules pressurisés. Cette poutre porte principalement les panneaux solaires et les radiateurs du système de régulation thermique. Elle est rattachée à l'enfilade de modules à peu près en son milieu au niveau du module </w:t>
      </w:r>
      <w:proofErr w:type="spellStart"/>
      <w:r w:rsidRPr="00D63183">
        <w:rPr>
          <w:rFonts w:asciiTheme="minorHAnsi" w:eastAsiaTheme="minorHAnsi" w:hAnsiTheme="minorHAnsi" w:cstheme="minorBidi"/>
          <w:sz w:val="22"/>
          <w:szCs w:val="22"/>
          <w:lang w:eastAsia="en-US"/>
        </w:rPr>
        <w:t>Unity</w:t>
      </w:r>
      <w:proofErr w:type="spellEnd"/>
      <w:r w:rsidRPr="00D63183">
        <w:rPr>
          <w:rFonts w:asciiTheme="minorHAnsi" w:eastAsiaTheme="minorHAnsi" w:hAnsiTheme="minorHAnsi" w:cstheme="minorBidi"/>
          <w:sz w:val="22"/>
          <w:szCs w:val="22"/>
          <w:lang w:eastAsia="en-US"/>
        </w:rPr>
        <w:t>. La grande longueur de la poutre permet aux panneaux solaires placés à ses deux extrémités, de s'orienter à tout moment de manière optimale (ils disposent de deux axes de liberté), sans être gênés par les modules pressurisés.</w:t>
      </w:r>
    </w:p>
    <w:p w14:paraId="78A13277" w14:textId="06423A18" w:rsidR="00B90DCA" w:rsidRPr="00D63183" w:rsidRDefault="00B90DCA" w:rsidP="00D63183">
      <w:pPr>
        <w:pStyle w:val="Titre3"/>
        <w:rPr>
          <w:b/>
          <w:bCs/>
        </w:rPr>
      </w:pPr>
      <w:bookmarkStart w:id="44" w:name="_Toc133137843"/>
      <w:bookmarkStart w:id="45" w:name="_Toc133137885"/>
      <w:r w:rsidRPr="00D63183">
        <w:rPr>
          <w:rStyle w:val="mw-headline"/>
          <w:b/>
          <w:bCs/>
        </w:rPr>
        <w:t>Modules pressurisés</w:t>
      </w:r>
      <w:bookmarkEnd w:id="44"/>
      <w:bookmarkEnd w:id="45"/>
    </w:p>
    <w:p w14:paraId="5B19F5D7" w14:textId="7723808C"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La structure des modules est réalisée en alliage d'aluminium, qui présente l'avantage d'être léger, résistant à la corrosion et d'être un bon conducteur électrique ce qui facilite la mise à la masse des équipements. La structure principale des modules pressurisés dont le rôle est de préserver l'intégrité du module, est composée d'une part d'une coque de forme cylindrique, dans laquelle sont percées des ouvertures occupées par des hublots ou des écoutilles, d'autre part de longerons qui permettent à la fois de résister à la pression et de jouer le rôle de support pour les équipements intérieurs. Sur cette structure primaire sont fixés des éléments de structures secondaires : à l'intérieur les baies de rangements, les écoutilles ou les rideaux de hublot, à l'extérieur les poignées permettant aux astronautes de progresser durant les sorties extravéhiculaires et les protections anti-météorites qui recouvrent la surface des modules. Pour les modules non russes, celle-ci est constituée d'une feuille d'aluminium de 1,27 millimètre d'épaisseur maintenue à une distance de 10 cm de la coque. Grâce à cette protection la probabilité qu'un débris traverse la coque est de 7,5 % pour les modules non russes et de 5 % pour les modules russes qui disposent d'un système différent.</w:t>
      </w:r>
    </w:p>
    <w:p w14:paraId="71D940B4" w14:textId="710E7812" w:rsidR="00B90DCA" w:rsidRPr="00D63183" w:rsidRDefault="00B90DCA" w:rsidP="00D63183">
      <w:pPr>
        <w:pStyle w:val="Titre4"/>
        <w:rPr>
          <w:b/>
          <w:bCs/>
        </w:rPr>
      </w:pPr>
      <w:bookmarkStart w:id="46" w:name="_Toc133137844"/>
      <w:bookmarkStart w:id="47" w:name="_Toc133137886"/>
      <w:r w:rsidRPr="00D63183">
        <w:rPr>
          <w:rStyle w:val="mw-headline"/>
          <w:b/>
          <w:bCs/>
        </w:rPr>
        <w:t>Aménagements intérieurs</w:t>
      </w:r>
      <w:bookmarkEnd w:id="46"/>
      <w:bookmarkEnd w:id="47"/>
    </w:p>
    <w:p w14:paraId="3694224B" w14:textId="0951B8E8" w:rsidR="00B90DCA" w:rsidRPr="00D63183" w:rsidRDefault="00D63183"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72576" behindDoc="0" locked="0" layoutInCell="1" allowOverlap="1" wp14:anchorId="2CAB7502" wp14:editId="3D041D4E">
            <wp:simplePos x="0" y="0"/>
            <wp:positionH relativeFrom="margin">
              <wp:align>right</wp:align>
            </wp:positionH>
            <wp:positionV relativeFrom="paragraph">
              <wp:posOffset>85090</wp:posOffset>
            </wp:positionV>
            <wp:extent cx="2095500" cy="2118360"/>
            <wp:effectExtent l="0" t="0" r="0" b="0"/>
            <wp:wrapSquare wrapText="bothSides"/>
            <wp:docPr id="1440750685" name="Image 29">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095500" cy="2118360"/>
                    </a:xfrm>
                    <a:prstGeom prst="rect">
                      <a:avLst/>
                    </a:prstGeom>
                    <a:noFill/>
                    <a:ln>
                      <a:noFill/>
                    </a:ln>
                  </pic:spPr>
                </pic:pic>
              </a:graphicData>
            </a:graphic>
          </wp:anchor>
        </w:drawing>
      </w:r>
      <w:r w:rsidR="00B90DCA" w:rsidRPr="00D63183">
        <w:rPr>
          <w:rFonts w:asciiTheme="minorHAnsi" w:eastAsiaTheme="minorHAnsi" w:hAnsiTheme="minorHAnsi" w:cstheme="minorBidi"/>
          <w:sz w:val="22"/>
          <w:szCs w:val="22"/>
          <w:lang w:eastAsia="en-US"/>
        </w:rPr>
        <w:t xml:space="preserve">En l'absence de gravité, la notion de plancher/plafond (verticale locale dans le jargon de la NASA) a été définie de manière arbitraire : le plancher est le côté des modules tourné en permanence vers la Terre (nadir), le plafond étant à l'opposé (zénith). Le marquage, la disposition des appareils prennent en compte cette orientation : lorsqu'ils s'activent les membres de l'équipage prennent donc des positions verticales similaires. L'axe principal des modules (de </w:t>
      </w:r>
      <w:proofErr w:type="spellStart"/>
      <w:r w:rsidR="00B90DCA" w:rsidRPr="00D63183">
        <w:rPr>
          <w:rFonts w:asciiTheme="minorHAnsi" w:eastAsiaTheme="minorHAnsi" w:hAnsiTheme="minorHAnsi" w:cstheme="minorBidi"/>
          <w:sz w:val="22"/>
          <w:szCs w:val="22"/>
          <w:lang w:eastAsia="en-US"/>
        </w:rPr>
        <w:t>Zvezda</w:t>
      </w:r>
      <w:proofErr w:type="spellEnd"/>
      <w:r w:rsidR="00B90DCA" w:rsidRPr="00D63183">
        <w:rPr>
          <w:rFonts w:asciiTheme="minorHAnsi" w:eastAsiaTheme="minorHAnsi" w:hAnsiTheme="minorHAnsi" w:cstheme="minorBidi"/>
          <w:sz w:val="22"/>
          <w:szCs w:val="22"/>
          <w:lang w:eastAsia="en-US"/>
        </w:rPr>
        <w:t xml:space="preserve"> à Harmony) est aligné sur la trajectoire de la station spatiale : les laboratoires Columbus et </w:t>
      </w:r>
      <w:proofErr w:type="spellStart"/>
      <w:r w:rsidR="00B90DCA" w:rsidRPr="00D63183">
        <w:rPr>
          <w:rFonts w:asciiTheme="minorHAnsi" w:eastAsiaTheme="minorHAnsi" w:hAnsiTheme="minorHAnsi" w:cstheme="minorBidi"/>
          <w:sz w:val="22"/>
          <w:szCs w:val="22"/>
          <w:lang w:eastAsia="en-US"/>
        </w:rPr>
        <w:t>Kibo</w:t>
      </w:r>
      <w:proofErr w:type="spellEnd"/>
      <w:r w:rsidR="00B90DCA" w:rsidRPr="00D63183">
        <w:rPr>
          <w:rFonts w:asciiTheme="minorHAnsi" w:eastAsiaTheme="minorHAnsi" w:hAnsiTheme="minorHAnsi" w:cstheme="minorBidi"/>
          <w:sz w:val="22"/>
          <w:szCs w:val="22"/>
          <w:lang w:eastAsia="en-US"/>
        </w:rPr>
        <w:t xml:space="preserve"> sont situés à l'avant et donc plus exposés à une collision avec un débris spatial tandis que les modules russes se situent à l'arrière. La troisième dimension est indiquée, comme sur un navire, par les appellations bâbord (à gauche pour une personne tournée vers l'avant) et tribord (</w:t>
      </w:r>
      <w:proofErr w:type="spellStart"/>
      <w:r w:rsidR="00B90DCA" w:rsidRPr="00D63183">
        <w:rPr>
          <w:rFonts w:asciiTheme="minorHAnsi" w:eastAsiaTheme="minorHAnsi" w:hAnsiTheme="minorHAnsi" w:cstheme="minorBidi"/>
          <w:sz w:val="22"/>
          <w:szCs w:val="22"/>
          <w:lang w:eastAsia="en-US"/>
        </w:rPr>
        <w:t>Kibo</w:t>
      </w:r>
      <w:proofErr w:type="spellEnd"/>
      <w:r w:rsidR="00B90DCA" w:rsidRPr="00D63183">
        <w:rPr>
          <w:rFonts w:asciiTheme="minorHAnsi" w:eastAsiaTheme="minorHAnsi" w:hAnsiTheme="minorHAnsi" w:cstheme="minorBidi"/>
          <w:sz w:val="22"/>
          <w:szCs w:val="22"/>
          <w:lang w:eastAsia="en-US"/>
        </w:rPr>
        <w:t xml:space="preserve"> est à bâbord et Columbus à tribord).</w:t>
      </w:r>
    </w:p>
    <w:p w14:paraId="6BF4561C" w14:textId="398B7867"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Les modules non russes ont la forme de cylindres aux extrémités légèrement coniques dont le diamètre a été fixé par celui de la </w:t>
      </w:r>
      <w:proofErr w:type="spellStart"/>
      <w:r w:rsidRPr="00D63183">
        <w:rPr>
          <w:rFonts w:asciiTheme="minorHAnsi" w:eastAsiaTheme="minorHAnsi" w:hAnsiTheme="minorHAnsi" w:cstheme="minorBidi"/>
          <w:sz w:val="22"/>
          <w:szCs w:val="22"/>
          <w:lang w:eastAsia="en-US"/>
        </w:rPr>
        <w:t>soute</w:t>
      </w:r>
      <w:proofErr w:type="spellEnd"/>
      <w:r w:rsidRPr="00D63183">
        <w:rPr>
          <w:rFonts w:asciiTheme="minorHAnsi" w:eastAsiaTheme="minorHAnsi" w:hAnsiTheme="minorHAnsi" w:cstheme="minorBidi"/>
          <w:sz w:val="22"/>
          <w:szCs w:val="22"/>
          <w:lang w:eastAsia="en-US"/>
        </w:rPr>
        <w:t xml:space="preserve"> de la navette spatiale (5 mètres). À chaque extrémité d'un module, de part et d'autre de l'ouverture axiale (D sur le schéma ci-contre), se trouvent des aménagements non amovibles (systèmes de sécurité, appareillages électriques) dissimulés derrière des cloisons. Le reste de l'espace tire les conséquences de l'absence de gravité : les quatre côtés (plancher, plafond et parois </w:t>
      </w:r>
      <w:r w:rsidRPr="00D63183">
        <w:rPr>
          <w:rFonts w:asciiTheme="minorHAnsi" w:eastAsiaTheme="minorHAnsi" w:hAnsiTheme="minorHAnsi" w:cstheme="minorBidi"/>
          <w:sz w:val="22"/>
          <w:szCs w:val="22"/>
          <w:lang w:eastAsia="en-US"/>
        </w:rPr>
        <w:lastRenderedPageBreak/>
        <w:t>latérales), reçoivent le même type d'aménagement amovible constitué d'armoires (rack) au format standardisé ISPR hautes de 2 mètres pour 1,05 m de largeur et 85,4 cm de profondeur et dont l'arrière épouse la forme incurvée de la coque (A). Pratiquement jointifs (une rampe lumineuse occupe chaque angle) ce mobilier dégage en son centre un espace habitable le long de l'axe du module ayant une section carrée d'un peu plus de 2 mètres de côté. Les gaines de courant et fluides circulent dans l'espace de forme triangulaire laissé libre entre la coque et les armoires (C). Des barres formant poignée sont disposées à intervalle régulier pour permettre à l'équipage de se déplacer ou de se maintenir sur place. Les baies standardisées peuvent être occupées par différents types d'aménagements :</w:t>
      </w:r>
    </w:p>
    <w:p w14:paraId="17985939" w14:textId="77777777" w:rsidR="00B90DCA" w:rsidRPr="00D63183" w:rsidRDefault="00B90DCA" w:rsidP="00D63183">
      <w:pPr>
        <w:pStyle w:val="NormalWeb"/>
        <w:numPr>
          <w:ilvl w:val="0"/>
          <w:numId w:val="33"/>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D63183">
        <w:rPr>
          <w:rFonts w:asciiTheme="minorHAnsi" w:eastAsiaTheme="minorHAnsi" w:hAnsiTheme="minorHAnsi" w:cstheme="minorBidi"/>
          <w:sz w:val="22"/>
          <w:szCs w:val="22"/>
          <w:lang w:eastAsia="en-US"/>
        </w:rPr>
        <w:t>équipement</w:t>
      </w:r>
      <w:proofErr w:type="gramEnd"/>
      <w:r w:rsidRPr="00D63183">
        <w:rPr>
          <w:rFonts w:asciiTheme="minorHAnsi" w:eastAsiaTheme="minorHAnsi" w:hAnsiTheme="minorHAnsi" w:cstheme="minorBidi"/>
          <w:sz w:val="22"/>
          <w:szCs w:val="22"/>
          <w:lang w:eastAsia="en-US"/>
        </w:rPr>
        <w:t xml:space="preserve"> scientifique ;</w:t>
      </w:r>
    </w:p>
    <w:p w14:paraId="4AA3ACA8" w14:textId="77777777" w:rsidR="00B90DCA" w:rsidRPr="00D63183" w:rsidRDefault="00B90DCA" w:rsidP="00D63183">
      <w:pPr>
        <w:pStyle w:val="NormalWeb"/>
        <w:numPr>
          <w:ilvl w:val="0"/>
          <w:numId w:val="33"/>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D63183">
        <w:rPr>
          <w:rFonts w:asciiTheme="minorHAnsi" w:eastAsiaTheme="minorHAnsi" w:hAnsiTheme="minorHAnsi" w:cstheme="minorBidi"/>
          <w:sz w:val="22"/>
          <w:szCs w:val="22"/>
          <w:lang w:eastAsia="en-US"/>
        </w:rPr>
        <w:t>armoire</w:t>
      </w:r>
      <w:proofErr w:type="gramEnd"/>
      <w:r w:rsidRPr="00D63183">
        <w:rPr>
          <w:rFonts w:asciiTheme="minorHAnsi" w:eastAsiaTheme="minorHAnsi" w:hAnsiTheme="minorHAnsi" w:cstheme="minorBidi"/>
          <w:sz w:val="22"/>
          <w:szCs w:val="22"/>
          <w:lang w:eastAsia="en-US"/>
        </w:rPr>
        <w:t xml:space="preserve"> de rangement ;</w:t>
      </w:r>
    </w:p>
    <w:p w14:paraId="042397C7" w14:textId="77777777" w:rsidR="00B90DCA" w:rsidRPr="00D63183" w:rsidRDefault="00B90DCA" w:rsidP="00D63183">
      <w:pPr>
        <w:pStyle w:val="NormalWeb"/>
        <w:numPr>
          <w:ilvl w:val="0"/>
          <w:numId w:val="33"/>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D63183">
        <w:rPr>
          <w:rFonts w:asciiTheme="minorHAnsi" w:eastAsiaTheme="minorHAnsi" w:hAnsiTheme="minorHAnsi" w:cstheme="minorBidi"/>
          <w:sz w:val="22"/>
          <w:szCs w:val="22"/>
          <w:lang w:eastAsia="en-US"/>
        </w:rPr>
        <w:t>équipement</w:t>
      </w:r>
      <w:proofErr w:type="gramEnd"/>
      <w:r w:rsidRPr="00D63183">
        <w:rPr>
          <w:rFonts w:asciiTheme="minorHAnsi" w:eastAsiaTheme="minorHAnsi" w:hAnsiTheme="minorHAnsi" w:cstheme="minorBidi"/>
          <w:sz w:val="22"/>
          <w:szCs w:val="22"/>
          <w:lang w:eastAsia="en-US"/>
        </w:rPr>
        <w:t xml:space="preserve"> de support de vie (eau, température, air) ;</w:t>
      </w:r>
    </w:p>
    <w:p w14:paraId="6482729A" w14:textId="77777777" w:rsidR="00B90DCA" w:rsidRPr="00D63183" w:rsidRDefault="00B90DCA" w:rsidP="00D63183">
      <w:pPr>
        <w:pStyle w:val="NormalWeb"/>
        <w:numPr>
          <w:ilvl w:val="0"/>
          <w:numId w:val="33"/>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D63183">
        <w:rPr>
          <w:rFonts w:asciiTheme="minorHAnsi" w:eastAsiaTheme="minorHAnsi" w:hAnsiTheme="minorHAnsi" w:cstheme="minorBidi"/>
          <w:sz w:val="22"/>
          <w:szCs w:val="22"/>
          <w:lang w:eastAsia="en-US"/>
        </w:rPr>
        <w:t>toilette</w:t>
      </w:r>
      <w:proofErr w:type="gramEnd"/>
      <w:r w:rsidRPr="00D63183">
        <w:rPr>
          <w:rFonts w:asciiTheme="minorHAnsi" w:eastAsiaTheme="minorHAnsi" w:hAnsiTheme="minorHAnsi" w:cstheme="minorBidi"/>
          <w:sz w:val="22"/>
          <w:szCs w:val="22"/>
          <w:lang w:eastAsia="en-US"/>
        </w:rPr>
        <w:t>, mini cabine personnelle.</w:t>
      </w:r>
    </w:p>
    <w:p w14:paraId="7B735875" w14:textId="1CD1EE61"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Le choix de l’amovibilité des aménagements permet de faire évoluer ou remplacer la plus grande partie des équipements au cours de la longue vie de la station spatiale. Ce choix permet également à la navette de lancer les modules, ce qu'elle n'aurait pu faire si ceux-ci avaient déjà reçu tous leurs aménagements car ils auraient été trop lourds. Mais cette conception n'a pas permis de fournir l'espace ordonné espéré : l'espace habitable de la station spatiale, en particulier celui des laboratoires, est envahi par un fouillis de câbles et d'équipements ajoutés).</w:t>
      </w:r>
    </w:p>
    <w:p w14:paraId="13156A88" w14:textId="61E513FF" w:rsidR="00B90DCA" w:rsidRPr="00D63183" w:rsidRDefault="00B90DCA" w:rsidP="00D63183">
      <w:pPr>
        <w:pStyle w:val="Titre4"/>
        <w:rPr>
          <w:b/>
          <w:bCs/>
        </w:rPr>
      </w:pPr>
      <w:bookmarkStart w:id="48" w:name="_Toc133137845"/>
      <w:bookmarkStart w:id="49" w:name="_Toc133137887"/>
      <w:r w:rsidRPr="00D63183">
        <w:rPr>
          <w:rStyle w:val="mw-headline"/>
          <w:b/>
          <w:bCs/>
        </w:rPr>
        <w:t>Liaisons entre modules et systèmes d'amarrage des vaisseaux</w:t>
      </w:r>
      <w:bookmarkEnd w:id="48"/>
      <w:bookmarkEnd w:id="49"/>
    </w:p>
    <w:p w14:paraId="315ED502" w14:textId="77777777"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La connexion entre les modules et l'amarrage des vaisseaux spatiaux aux modules met en œuvre plusieurs types de liaisons du fait de l'origine hétérogène du matériel mis en œuvre :</w:t>
      </w:r>
    </w:p>
    <w:p w14:paraId="1E1E8073" w14:textId="27D913FD" w:rsidR="00B90DCA" w:rsidRPr="00D63183" w:rsidRDefault="00B90DCA" w:rsidP="00D63183">
      <w:pPr>
        <w:pStyle w:val="Paragraphedeliste"/>
        <w:numPr>
          <w:ilvl w:val="0"/>
          <w:numId w:val="35"/>
        </w:numPr>
        <w:shd w:val="clear" w:color="auto" w:fill="FFFFFF"/>
        <w:spacing w:before="100" w:beforeAutospacing="1" w:after="24" w:line="240" w:lineRule="auto"/>
        <w:jc w:val="both"/>
      </w:pPr>
      <w:proofErr w:type="gramStart"/>
      <w:r w:rsidRPr="00D63183">
        <w:t>le</w:t>
      </w:r>
      <w:proofErr w:type="gramEnd"/>
      <w:r w:rsidRPr="00D63183">
        <w:t> système d'amarrage sonde-cône est un système très ancien développé par les Russes. Il est dissymétrique c'est-à-dire qu'une des deux parties arrimées porte la sonde (vaisseaux russes Soyouz, Progress, européen ATV) tandis que l'autre partie porte la pièce en forme de cône (majorité des ports d'amarrage des modules russes de la station). L'ouverture circulaire d'un diamètre intérieur de 80 cm ne facilite pas le transfert du fret : les équipements encombrants comme les armoires américaines au format ISPR qui équipent la partie non russe, ne peuvent transiter par ce type d'écoutille et cette contrainte impose une géométrie longiligne aux équipements amovibles russes les plus volumineux ;</w:t>
      </w:r>
    </w:p>
    <w:p w14:paraId="15E0662C" w14:textId="0D1B3847" w:rsidR="00B90DCA" w:rsidRPr="00D63183" w:rsidRDefault="00B90DCA" w:rsidP="00D63183">
      <w:pPr>
        <w:pStyle w:val="Paragraphedeliste"/>
        <w:numPr>
          <w:ilvl w:val="0"/>
          <w:numId w:val="35"/>
        </w:numPr>
        <w:shd w:val="clear" w:color="auto" w:fill="FFFFFF"/>
        <w:spacing w:before="100" w:beforeAutospacing="1" w:after="24" w:line="240" w:lineRule="auto"/>
        <w:jc w:val="both"/>
      </w:pPr>
      <w:proofErr w:type="gramStart"/>
      <w:r w:rsidRPr="00D63183">
        <w:t>l'APAS</w:t>
      </w:r>
      <w:proofErr w:type="gramEnd"/>
      <w:r w:rsidRPr="00D63183">
        <w:t xml:space="preserve"> est un système mis au point pour permettre la liaison entre les composants russes et américains. Il est hybride, c'est-à-dire que les composants de part et d'autre sont identiques. L'APAS est installé sur la navette spatiale et sur le module </w:t>
      </w:r>
      <w:proofErr w:type="spellStart"/>
      <w:r w:rsidRPr="00D63183">
        <w:t>Zarya</w:t>
      </w:r>
      <w:proofErr w:type="spellEnd"/>
      <w:r w:rsidRPr="00D63183">
        <w:t xml:space="preserve"> pour sa jonction avec la partie américaine. Le diamètre intérieur de l'ouverture est de même dimension que le système russe (ouverture circulaire de 80 cm de diamètre) et souffre donc des mêmes limitations que celui-ci ;</w:t>
      </w:r>
    </w:p>
    <w:p w14:paraId="5CBC6705" w14:textId="78F3091D" w:rsidR="00B90DCA" w:rsidRPr="00D63183" w:rsidRDefault="00B90DCA" w:rsidP="00D63183">
      <w:pPr>
        <w:pStyle w:val="Paragraphedeliste"/>
        <w:numPr>
          <w:ilvl w:val="0"/>
          <w:numId w:val="35"/>
        </w:numPr>
        <w:shd w:val="clear" w:color="auto" w:fill="FFFFFF"/>
        <w:spacing w:before="100" w:beforeAutospacing="1" w:after="24" w:line="240" w:lineRule="auto"/>
        <w:jc w:val="both"/>
      </w:pPr>
      <w:proofErr w:type="gramStart"/>
      <w:r w:rsidRPr="00D63183">
        <w:t>le</w:t>
      </w:r>
      <w:proofErr w:type="gramEnd"/>
      <w:r w:rsidRPr="00D63183">
        <w:t xml:space="preserve"> CBM est un mécanisme d'amarrage mis au point pour la Station spatiale internationale. Il est mis en œuvre sur tous les modules non russes de la station. C'est également un système dissymétrique : la partie active (Active Common </w:t>
      </w:r>
      <w:proofErr w:type="spellStart"/>
      <w:r w:rsidRPr="00D63183">
        <w:t>Berthing</w:t>
      </w:r>
      <w:proofErr w:type="spellEnd"/>
      <w:r w:rsidRPr="00D63183">
        <w:t xml:space="preserve"> </w:t>
      </w:r>
      <w:proofErr w:type="spellStart"/>
      <w:r w:rsidRPr="00D63183">
        <w:t>Mechanism</w:t>
      </w:r>
      <w:proofErr w:type="spellEnd"/>
      <w:r w:rsidRPr="00D63183">
        <w:t xml:space="preserve"> ou ACBM) est constituée par un anneau sur lequel se situent quatre verrous qui assurent un premier assemblage et 16 boulons qui rigidifient l'ensemble. La partie passive (Passive Common </w:t>
      </w:r>
      <w:proofErr w:type="spellStart"/>
      <w:r w:rsidRPr="00D63183">
        <w:t>Berthing</w:t>
      </w:r>
      <w:proofErr w:type="spellEnd"/>
      <w:r w:rsidRPr="00D63183">
        <w:t xml:space="preserve"> </w:t>
      </w:r>
      <w:proofErr w:type="spellStart"/>
      <w:r w:rsidRPr="00D63183">
        <w:t>Mechanism</w:t>
      </w:r>
      <w:proofErr w:type="spellEnd"/>
      <w:r w:rsidRPr="00D63183">
        <w:t xml:space="preserve"> ou PCBM) reçoit les mécanismes d'accrochage. Les trois modules pressurisés, de type nœud, comportent sur leur partie axiale un port d'amarrage actif et un passif ; chaque nœud dispose par ailleurs de quatre autres ports tous actifs. Ce système d'amarrage est également celui du vaisseau cargo japonais HTV et des vaisseaux de ravitaillement </w:t>
      </w:r>
      <w:proofErr w:type="spellStart"/>
      <w:r w:rsidRPr="00D63183">
        <w:t>Cygnus</w:t>
      </w:r>
      <w:proofErr w:type="spellEnd"/>
      <w:r w:rsidRPr="00D63183">
        <w:t xml:space="preserve"> et Dragon. L'ouverture qui a une forme carrée de 127 cm de côté est d'une taille particulièrement généreuse permettant de faire passer les racks ISPR qui sont les plus gros équipements amovibles. C'est </w:t>
      </w:r>
      <w:r w:rsidRPr="00D63183">
        <w:lastRenderedPageBreak/>
        <w:t>un atout essentiel pour la maintenance de la partie non russe de la station. Le maintien de l'étanchéité a constitué un défi technique à la conception, car compte tenu de sa forme carrée et de sa taille, il s'exerce une poussée de 20 tonnes non uniforme sur l'écoutille, lorsque le port n'est pas connecté à un autre module. Le système permet également la connexion automatique des liaisons électriques, des télécommunications et des canalisations porteuses de fluides.</w:t>
      </w:r>
    </w:p>
    <w:p w14:paraId="42C91E22" w14:textId="2D03F09E"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Pour pouvoir mettre en relation des modules ou vaisseaux porteurs du système d'amarrage APAS d'une part et CBM d'autre part, des adaptateurs pressurisés en forme de cône coudé ont été mis en place (</w:t>
      </w:r>
      <w:proofErr w:type="spellStart"/>
      <w:r w:rsidRPr="00D63183">
        <w:rPr>
          <w:rFonts w:asciiTheme="minorHAnsi" w:eastAsiaTheme="minorHAnsi" w:hAnsiTheme="minorHAnsi" w:cstheme="minorBidi"/>
          <w:sz w:val="22"/>
          <w:szCs w:val="22"/>
          <w:lang w:eastAsia="en-US"/>
        </w:rPr>
        <w:t>Pressurized</w:t>
      </w:r>
      <w:proofErr w:type="spellEnd"/>
      <w:r w:rsidRPr="00D63183">
        <w:rPr>
          <w:rFonts w:asciiTheme="minorHAnsi" w:eastAsiaTheme="minorHAnsi" w:hAnsiTheme="minorHAnsi" w:cstheme="minorBidi"/>
          <w:sz w:val="22"/>
          <w:szCs w:val="22"/>
          <w:lang w:eastAsia="en-US"/>
        </w:rPr>
        <w:t xml:space="preserve"> </w:t>
      </w:r>
      <w:proofErr w:type="spellStart"/>
      <w:r w:rsidRPr="00D63183">
        <w:rPr>
          <w:rFonts w:asciiTheme="minorHAnsi" w:eastAsiaTheme="minorHAnsi" w:hAnsiTheme="minorHAnsi" w:cstheme="minorBidi"/>
          <w:sz w:val="22"/>
          <w:szCs w:val="22"/>
          <w:lang w:eastAsia="en-US"/>
        </w:rPr>
        <w:t>Mating</w:t>
      </w:r>
      <w:proofErr w:type="spellEnd"/>
      <w:r w:rsidRPr="00D63183">
        <w:rPr>
          <w:rFonts w:asciiTheme="minorHAnsi" w:eastAsiaTheme="minorHAnsi" w:hAnsiTheme="minorHAnsi" w:cstheme="minorBidi"/>
          <w:sz w:val="22"/>
          <w:szCs w:val="22"/>
          <w:lang w:eastAsia="en-US"/>
        </w:rPr>
        <w:t xml:space="preserve"> </w:t>
      </w:r>
      <w:proofErr w:type="spellStart"/>
      <w:r w:rsidRPr="00D63183">
        <w:rPr>
          <w:rFonts w:asciiTheme="minorHAnsi" w:eastAsiaTheme="minorHAnsi" w:hAnsiTheme="minorHAnsi" w:cstheme="minorBidi"/>
          <w:sz w:val="22"/>
          <w:szCs w:val="22"/>
          <w:lang w:eastAsia="en-US"/>
        </w:rPr>
        <w:t>Adapters</w:t>
      </w:r>
      <w:proofErr w:type="spellEnd"/>
      <w:r w:rsidRPr="00D63183">
        <w:rPr>
          <w:rFonts w:asciiTheme="minorHAnsi" w:eastAsiaTheme="minorHAnsi" w:hAnsiTheme="minorHAnsi" w:cstheme="minorBidi"/>
          <w:sz w:val="22"/>
          <w:szCs w:val="22"/>
          <w:lang w:eastAsia="en-US"/>
        </w:rPr>
        <w:t> ou PMA). Ils ménagent un corridor pressurisé entre les deux parties, comportent un chauffage et permettent d'établir une liaison électrique et télécom. Le PMA-1 est utilisé pour relier le module russe </w:t>
      </w:r>
      <w:proofErr w:type="spellStart"/>
      <w:r w:rsidRPr="00D63183">
        <w:rPr>
          <w:rFonts w:asciiTheme="minorHAnsi" w:eastAsiaTheme="minorHAnsi" w:hAnsiTheme="minorHAnsi" w:cstheme="minorBidi"/>
          <w:sz w:val="22"/>
          <w:szCs w:val="22"/>
          <w:lang w:eastAsia="en-US"/>
        </w:rPr>
        <w:t>Zarya</w:t>
      </w:r>
      <w:proofErr w:type="spellEnd"/>
      <w:r w:rsidRPr="00D63183">
        <w:rPr>
          <w:rFonts w:asciiTheme="minorHAnsi" w:eastAsiaTheme="minorHAnsi" w:hAnsiTheme="minorHAnsi" w:cstheme="minorBidi"/>
          <w:sz w:val="22"/>
          <w:szCs w:val="22"/>
          <w:lang w:eastAsia="en-US"/>
        </w:rPr>
        <w:t xml:space="preserve"> au module </w:t>
      </w:r>
      <w:proofErr w:type="spellStart"/>
      <w:r w:rsidRPr="00D63183">
        <w:rPr>
          <w:rFonts w:asciiTheme="minorHAnsi" w:eastAsiaTheme="minorHAnsi" w:hAnsiTheme="minorHAnsi" w:cstheme="minorBidi"/>
          <w:sz w:val="22"/>
          <w:szCs w:val="22"/>
          <w:lang w:eastAsia="en-US"/>
        </w:rPr>
        <w:t>Unity</w:t>
      </w:r>
      <w:proofErr w:type="spellEnd"/>
      <w:r w:rsidRPr="00D63183">
        <w:rPr>
          <w:rFonts w:asciiTheme="minorHAnsi" w:eastAsiaTheme="minorHAnsi" w:hAnsiTheme="minorHAnsi" w:cstheme="minorBidi"/>
          <w:sz w:val="22"/>
          <w:szCs w:val="22"/>
          <w:lang w:eastAsia="en-US"/>
        </w:rPr>
        <w:t xml:space="preserve"> faisant la jonction entre la partie russe et la partie internationale de la station. Le PMA-2 installé aujourd'hui sur le module Harmony est le point d'amarrage habituel de navette spatiale. PMA-3, installé sur le nœud </w:t>
      </w:r>
      <w:proofErr w:type="spellStart"/>
      <w:r w:rsidRPr="00D63183">
        <w:rPr>
          <w:rFonts w:asciiTheme="minorHAnsi" w:eastAsiaTheme="minorHAnsi" w:hAnsiTheme="minorHAnsi" w:cstheme="minorBidi"/>
          <w:sz w:val="22"/>
          <w:szCs w:val="22"/>
          <w:lang w:eastAsia="en-US"/>
        </w:rPr>
        <w:t>Tranquility</w:t>
      </w:r>
      <w:proofErr w:type="spellEnd"/>
      <w:r w:rsidRPr="00D63183">
        <w:rPr>
          <w:rFonts w:asciiTheme="minorHAnsi" w:eastAsiaTheme="minorHAnsi" w:hAnsiTheme="minorHAnsi" w:cstheme="minorBidi"/>
          <w:sz w:val="22"/>
          <w:szCs w:val="22"/>
          <w:lang w:eastAsia="en-US"/>
        </w:rPr>
        <w:t xml:space="preserve"> fournit une alternative pour l'amarrage de la navette.</w:t>
      </w:r>
    </w:p>
    <w:p w14:paraId="7DEEBD4F" w14:textId="3D3E90C3" w:rsidR="00B90DCA" w:rsidRPr="00D63183" w:rsidRDefault="00B90DCA" w:rsidP="00D63183">
      <w:pPr>
        <w:pStyle w:val="Titre4"/>
        <w:rPr>
          <w:b/>
          <w:bCs/>
        </w:rPr>
      </w:pPr>
      <w:bookmarkStart w:id="50" w:name="_Toc133137846"/>
      <w:bookmarkStart w:id="51" w:name="_Toc133137888"/>
      <w:r w:rsidRPr="00D63183">
        <w:rPr>
          <w:rStyle w:val="mw-headline"/>
          <w:b/>
          <w:bCs/>
        </w:rPr>
        <w:t xml:space="preserve">Modules russes </w:t>
      </w:r>
      <w:proofErr w:type="spellStart"/>
      <w:r w:rsidRPr="00D63183">
        <w:rPr>
          <w:rStyle w:val="mw-headline"/>
          <w:b/>
          <w:bCs/>
        </w:rPr>
        <w:t>Zvezda</w:t>
      </w:r>
      <w:proofErr w:type="spellEnd"/>
      <w:r w:rsidRPr="00D63183">
        <w:rPr>
          <w:rStyle w:val="mw-headline"/>
          <w:b/>
          <w:bCs/>
        </w:rPr>
        <w:t xml:space="preserve"> et </w:t>
      </w:r>
      <w:proofErr w:type="spellStart"/>
      <w:r w:rsidRPr="00D63183">
        <w:rPr>
          <w:rStyle w:val="mw-headline"/>
          <w:b/>
          <w:bCs/>
        </w:rPr>
        <w:t>Zarya</w:t>
      </w:r>
      <w:bookmarkEnd w:id="50"/>
      <w:bookmarkEnd w:id="51"/>
      <w:proofErr w:type="spellEnd"/>
    </w:p>
    <w:p w14:paraId="4AE180BA" w14:textId="1A54CB81"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spellStart"/>
      <w:r w:rsidRPr="00D63183">
        <w:rPr>
          <w:rFonts w:asciiTheme="minorHAnsi" w:eastAsiaTheme="minorHAnsi" w:hAnsiTheme="minorHAnsi" w:cstheme="minorBidi"/>
          <w:sz w:val="22"/>
          <w:szCs w:val="22"/>
          <w:lang w:eastAsia="en-US"/>
        </w:rPr>
        <w:t>Zarya</w:t>
      </w:r>
      <w:proofErr w:type="spellEnd"/>
      <w:r w:rsidRPr="00D63183">
        <w:rPr>
          <w:rFonts w:asciiTheme="minorHAnsi" w:eastAsiaTheme="minorHAnsi" w:hAnsiTheme="minorHAnsi" w:cstheme="minorBidi"/>
          <w:sz w:val="22"/>
          <w:szCs w:val="22"/>
          <w:lang w:eastAsia="en-US"/>
        </w:rPr>
        <w:t xml:space="preserve"> (soleil levant) est le premier module de la station internationale placé en orbite. Il s'agit d'une nouvelle déclinaison du vaisseau TKS utilisé à plusieurs reprises par l'astronautique russe. Il sert actuellement de lieu de stockage et permet grâce à ses moteurs (32 moteurs de 13 kg de poussée) de réorienter la station lorsque les corrections à apporter dépassent la capacité des gyroscopes électriques installés dans la partie américaine de la station. Des réservoirs situés à l'extérieur permettent de stocker 6 tonnes de carburant qui sont utilisés par les moteurs du module </w:t>
      </w:r>
      <w:proofErr w:type="spellStart"/>
      <w:r w:rsidRPr="00D63183">
        <w:rPr>
          <w:rFonts w:asciiTheme="minorHAnsi" w:eastAsiaTheme="minorHAnsi" w:hAnsiTheme="minorHAnsi" w:cstheme="minorBidi"/>
          <w:sz w:val="22"/>
          <w:szCs w:val="22"/>
          <w:lang w:eastAsia="en-US"/>
        </w:rPr>
        <w:t>Zvezda</w:t>
      </w:r>
      <w:proofErr w:type="spellEnd"/>
      <w:r w:rsidRPr="00D63183">
        <w:rPr>
          <w:rFonts w:asciiTheme="minorHAnsi" w:eastAsiaTheme="minorHAnsi" w:hAnsiTheme="minorHAnsi" w:cstheme="minorBidi"/>
          <w:sz w:val="22"/>
          <w:szCs w:val="22"/>
          <w:lang w:eastAsia="en-US"/>
        </w:rPr>
        <w:t xml:space="preserve"> pour rehausser l'orbite de la station. </w:t>
      </w:r>
      <w:proofErr w:type="spellStart"/>
      <w:r w:rsidRPr="00D63183">
        <w:rPr>
          <w:rFonts w:asciiTheme="minorHAnsi" w:eastAsiaTheme="minorHAnsi" w:hAnsiTheme="minorHAnsi" w:cstheme="minorBidi"/>
          <w:sz w:val="22"/>
          <w:szCs w:val="22"/>
          <w:lang w:eastAsia="en-US"/>
        </w:rPr>
        <w:t>Zarya</w:t>
      </w:r>
      <w:proofErr w:type="spellEnd"/>
      <w:r w:rsidRPr="00D63183">
        <w:rPr>
          <w:rFonts w:asciiTheme="minorHAnsi" w:eastAsiaTheme="minorHAnsi" w:hAnsiTheme="minorHAnsi" w:cstheme="minorBidi"/>
          <w:sz w:val="22"/>
          <w:szCs w:val="22"/>
          <w:lang w:eastAsia="en-US"/>
        </w:rPr>
        <w:t xml:space="preserve"> est d'une part reliée au module </w:t>
      </w:r>
      <w:proofErr w:type="spellStart"/>
      <w:r w:rsidRPr="00D63183">
        <w:rPr>
          <w:rFonts w:asciiTheme="minorHAnsi" w:eastAsiaTheme="minorHAnsi" w:hAnsiTheme="minorHAnsi" w:cstheme="minorBidi"/>
          <w:sz w:val="22"/>
          <w:szCs w:val="22"/>
          <w:lang w:eastAsia="en-US"/>
        </w:rPr>
        <w:t>Zvezda</w:t>
      </w:r>
      <w:proofErr w:type="spellEnd"/>
      <w:r w:rsidRPr="00D63183">
        <w:rPr>
          <w:rFonts w:asciiTheme="minorHAnsi" w:eastAsiaTheme="minorHAnsi" w:hAnsiTheme="minorHAnsi" w:cstheme="minorBidi"/>
          <w:sz w:val="22"/>
          <w:szCs w:val="22"/>
          <w:lang w:eastAsia="en-US"/>
        </w:rPr>
        <w:t xml:space="preserve"> d'autre part au nœud </w:t>
      </w:r>
      <w:proofErr w:type="spellStart"/>
      <w:r w:rsidRPr="00D63183">
        <w:rPr>
          <w:rFonts w:asciiTheme="minorHAnsi" w:eastAsiaTheme="minorHAnsi" w:hAnsiTheme="minorHAnsi" w:cstheme="minorBidi"/>
          <w:sz w:val="22"/>
          <w:szCs w:val="22"/>
          <w:lang w:eastAsia="en-US"/>
        </w:rPr>
        <w:t>Unity</w:t>
      </w:r>
      <w:proofErr w:type="spellEnd"/>
      <w:r w:rsidRPr="00D63183">
        <w:rPr>
          <w:rFonts w:asciiTheme="minorHAnsi" w:eastAsiaTheme="minorHAnsi" w:hAnsiTheme="minorHAnsi" w:cstheme="minorBidi"/>
          <w:sz w:val="22"/>
          <w:szCs w:val="22"/>
          <w:lang w:eastAsia="en-US"/>
        </w:rPr>
        <w:t xml:space="preserve">. Un troisième port permet de recevoir un vaisseau Soyouz ou Progress mais est, depuis 2010, relié en permanence au compartiment d'amarrage Rassvet. </w:t>
      </w:r>
      <w:proofErr w:type="spellStart"/>
      <w:r w:rsidRPr="00D63183">
        <w:rPr>
          <w:rFonts w:asciiTheme="minorHAnsi" w:eastAsiaTheme="minorHAnsi" w:hAnsiTheme="minorHAnsi" w:cstheme="minorBidi"/>
          <w:sz w:val="22"/>
          <w:szCs w:val="22"/>
          <w:lang w:eastAsia="en-US"/>
        </w:rPr>
        <w:t>Zarya</w:t>
      </w:r>
      <w:proofErr w:type="spellEnd"/>
      <w:r w:rsidRPr="00D63183">
        <w:rPr>
          <w:rFonts w:asciiTheme="minorHAnsi" w:eastAsiaTheme="minorHAnsi" w:hAnsiTheme="minorHAnsi" w:cstheme="minorBidi"/>
          <w:sz w:val="22"/>
          <w:szCs w:val="22"/>
          <w:lang w:eastAsia="en-US"/>
        </w:rPr>
        <w:t xml:space="preserve"> possède ses propres panneaux solaires et ses batteries. Il pèse 19,3 tonnes et est long de 12,55 mètres pour un diamètre de 4,1 mètres.</w:t>
      </w:r>
    </w:p>
    <w:p w14:paraId="48143151" w14:textId="7DED4148"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spellStart"/>
      <w:r w:rsidRPr="00D63183">
        <w:rPr>
          <w:rFonts w:asciiTheme="minorHAnsi" w:eastAsiaTheme="minorHAnsi" w:hAnsiTheme="minorHAnsi" w:cstheme="minorBidi"/>
          <w:sz w:val="22"/>
          <w:szCs w:val="22"/>
          <w:lang w:eastAsia="en-US"/>
        </w:rPr>
        <w:t>Zvezda</w:t>
      </w:r>
      <w:proofErr w:type="spellEnd"/>
      <w:r w:rsidRPr="00D63183">
        <w:rPr>
          <w:rFonts w:asciiTheme="minorHAnsi" w:eastAsiaTheme="minorHAnsi" w:hAnsiTheme="minorHAnsi" w:cstheme="minorBidi"/>
          <w:sz w:val="22"/>
          <w:szCs w:val="22"/>
          <w:lang w:eastAsia="en-US"/>
        </w:rPr>
        <w:t xml:space="preserve"> (« étoile ») également appelé « module de service » a durant les premières années été le centre de la station spatiale. On y trouve des équipements vitaux qui resteront longtemps uniques dans la station spatiale tels que les systèmes de support de vie </w:t>
      </w:r>
      <w:proofErr w:type="spellStart"/>
      <w:r w:rsidRPr="00D63183">
        <w:rPr>
          <w:rFonts w:asciiTheme="minorHAnsi" w:eastAsiaTheme="minorHAnsi" w:hAnsiTheme="minorHAnsi" w:cstheme="minorBidi"/>
          <w:sz w:val="22"/>
          <w:szCs w:val="22"/>
          <w:lang w:eastAsia="en-US"/>
        </w:rPr>
        <w:t>Elektron</w:t>
      </w:r>
      <w:proofErr w:type="spellEnd"/>
      <w:r w:rsidRPr="00D63183">
        <w:rPr>
          <w:rFonts w:asciiTheme="minorHAnsi" w:eastAsiaTheme="minorHAnsi" w:hAnsiTheme="minorHAnsi" w:cstheme="minorBidi"/>
          <w:sz w:val="22"/>
          <w:szCs w:val="22"/>
          <w:lang w:eastAsia="en-US"/>
        </w:rPr>
        <w:t xml:space="preserve"> et </w:t>
      </w:r>
      <w:proofErr w:type="spellStart"/>
      <w:r w:rsidRPr="00D63183">
        <w:rPr>
          <w:rFonts w:asciiTheme="minorHAnsi" w:eastAsiaTheme="minorHAnsi" w:hAnsiTheme="minorHAnsi" w:cstheme="minorBidi"/>
          <w:sz w:val="22"/>
          <w:szCs w:val="22"/>
          <w:lang w:eastAsia="en-US"/>
        </w:rPr>
        <w:t>Vozdukh</w:t>
      </w:r>
      <w:proofErr w:type="spellEnd"/>
      <w:r w:rsidRPr="00D63183">
        <w:rPr>
          <w:rFonts w:asciiTheme="minorHAnsi" w:eastAsiaTheme="minorHAnsi" w:hAnsiTheme="minorHAnsi" w:cstheme="minorBidi"/>
          <w:sz w:val="22"/>
          <w:szCs w:val="22"/>
          <w:lang w:eastAsia="en-US"/>
        </w:rPr>
        <w:t xml:space="preserve">, les systèmes de contrôle de vol et de navigation et une toilette. Il reste aujourd'hui le centre de commandement de la partie russe de la station. </w:t>
      </w:r>
      <w:proofErr w:type="spellStart"/>
      <w:r w:rsidRPr="00D63183">
        <w:rPr>
          <w:rFonts w:asciiTheme="minorHAnsi" w:eastAsiaTheme="minorHAnsi" w:hAnsiTheme="minorHAnsi" w:cstheme="minorBidi"/>
          <w:sz w:val="22"/>
          <w:szCs w:val="22"/>
          <w:lang w:eastAsia="en-US"/>
        </w:rPr>
        <w:t>Zvezda</w:t>
      </w:r>
      <w:proofErr w:type="spellEnd"/>
      <w:r w:rsidRPr="00D63183">
        <w:rPr>
          <w:rFonts w:asciiTheme="minorHAnsi" w:eastAsiaTheme="minorHAnsi" w:hAnsiTheme="minorHAnsi" w:cstheme="minorBidi"/>
          <w:sz w:val="22"/>
          <w:szCs w:val="22"/>
          <w:lang w:eastAsia="en-US"/>
        </w:rPr>
        <w:t xml:space="preserve"> est une évolution du module central de la station Mir : le module comporte comme celle-ci trois parties : un compartiment de travail, une chambre de transfert qui donne sur un point d'amarrage à l'arrière et un compartiment de « transfert » situé à l'avant avec trois ports d'amarrage. Les occupants du module résident et travaillent dans le compartiment de travail qui comprend notamment deux petites cabines d'équipage, une toilette, un tapis roulant et un cycloergomètre. Le module </w:t>
      </w:r>
      <w:proofErr w:type="spellStart"/>
      <w:r w:rsidRPr="00D63183">
        <w:rPr>
          <w:rFonts w:asciiTheme="minorHAnsi" w:eastAsiaTheme="minorHAnsi" w:hAnsiTheme="minorHAnsi" w:cstheme="minorBidi"/>
          <w:sz w:val="22"/>
          <w:szCs w:val="22"/>
          <w:lang w:eastAsia="en-US"/>
        </w:rPr>
        <w:t>Zvezda</w:t>
      </w:r>
      <w:proofErr w:type="spellEnd"/>
      <w:r w:rsidRPr="00D63183">
        <w:rPr>
          <w:rFonts w:asciiTheme="minorHAnsi" w:eastAsiaTheme="minorHAnsi" w:hAnsiTheme="minorHAnsi" w:cstheme="minorBidi"/>
          <w:sz w:val="22"/>
          <w:szCs w:val="22"/>
          <w:lang w:eastAsia="en-US"/>
        </w:rPr>
        <w:t xml:space="preserve"> est long de 13,1 mètres pour un diamètre maximum de 4,15 mètres et un poids de 18 tonnes. Il possède deux panneaux solaires d'une envergure de 29,7 mètres. Le port d'amarrage situé à l'arrière peut recevoir un vaisseau Soyouz ou Progress tandis que les trois ports situés à l'avant sont reliés de manière définitive au module </w:t>
      </w:r>
      <w:proofErr w:type="spellStart"/>
      <w:r w:rsidRPr="00D63183">
        <w:rPr>
          <w:rFonts w:asciiTheme="minorHAnsi" w:eastAsiaTheme="minorHAnsi" w:hAnsiTheme="minorHAnsi" w:cstheme="minorBidi"/>
          <w:sz w:val="22"/>
          <w:szCs w:val="22"/>
          <w:lang w:eastAsia="en-US"/>
        </w:rPr>
        <w:t>Zarya</w:t>
      </w:r>
      <w:proofErr w:type="spellEnd"/>
      <w:r w:rsidRPr="00D63183">
        <w:rPr>
          <w:rFonts w:asciiTheme="minorHAnsi" w:eastAsiaTheme="minorHAnsi" w:hAnsiTheme="minorHAnsi" w:cstheme="minorBidi"/>
          <w:sz w:val="22"/>
          <w:szCs w:val="22"/>
          <w:lang w:eastAsia="en-US"/>
        </w:rPr>
        <w:t xml:space="preserve"> ainsi qu'aux modules d'accostage </w:t>
      </w:r>
      <w:proofErr w:type="spellStart"/>
      <w:r w:rsidRPr="00D63183">
        <w:rPr>
          <w:rFonts w:asciiTheme="minorHAnsi" w:eastAsiaTheme="minorHAnsi" w:hAnsiTheme="minorHAnsi" w:cstheme="minorBidi"/>
          <w:sz w:val="22"/>
          <w:szCs w:val="22"/>
          <w:lang w:eastAsia="en-US"/>
        </w:rPr>
        <w:t>Pirs</w:t>
      </w:r>
      <w:proofErr w:type="spellEnd"/>
      <w:r w:rsidRPr="00D63183">
        <w:rPr>
          <w:rFonts w:asciiTheme="minorHAnsi" w:eastAsiaTheme="minorHAnsi" w:hAnsiTheme="minorHAnsi" w:cstheme="minorBidi"/>
          <w:sz w:val="22"/>
          <w:szCs w:val="22"/>
          <w:lang w:eastAsia="en-US"/>
        </w:rPr>
        <w:t> et </w:t>
      </w:r>
      <w:proofErr w:type="spellStart"/>
      <w:r w:rsidRPr="00D63183">
        <w:rPr>
          <w:rFonts w:asciiTheme="minorHAnsi" w:eastAsiaTheme="minorHAnsi" w:hAnsiTheme="minorHAnsi" w:cstheme="minorBidi"/>
          <w:sz w:val="22"/>
          <w:szCs w:val="22"/>
          <w:lang w:eastAsia="en-US"/>
        </w:rPr>
        <w:t>Poisk</w:t>
      </w:r>
      <w:proofErr w:type="spellEnd"/>
      <w:r w:rsidRPr="00D63183">
        <w:rPr>
          <w:rFonts w:asciiTheme="minorHAnsi" w:eastAsiaTheme="minorHAnsi" w:hAnsiTheme="minorHAnsi" w:cstheme="minorBidi"/>
          <w:sz w:val="22"/>
          <w:szCs w:val="22"/>
          <w:lang w:eastAsia="en-US"/>
        </w:rPr>
        <w:t xml:space="preserve">. </w:t>
      </w:r>
      <w:proofErr w:type="spellStart"/>
      <w:r w:rsidRPr="00D63183">
        <w:rPr>
          <w:rFonts w:asciiTheme="minorHAnsi" w:eastAsiaTheme="minorHAnsi" w:hAnsiTheme="minorHAnsi" w:cstheme="minorBidi"/>
          <w:sz w:val="22"/>
          <w:szCs w:val="22"/>
          <w:lang w:eastAsia="en-US"/>
        </w:rPr>
        <w:t>Zvezda</w:t>
      </w:r>
      <w:proofErr w:type="spellEnd"/>
      <w:r w:rsidRPr="00D63183">
        <w:rPr>
          <w:rFonts w:asciiTheme="minorHAnsi" w:eastAsiaTheme="minorHAnsi" w:hAnsiTheme="minorHAnsi" w:cstheme="minorBidi"/>
          <w:sz w:val="22"/>
          <w:szCs w:val="22"/>
          <w:lang w:eastAsia="en-US"/>
        </w:rPr>
        <w:t xml:space="preserve"> dispose de moteurs-fusées qui sont utilisés pour rehausser l'altitude de la station.</w:t>
      </w:r>
    </w:p>
    <w:p w14:paraId="64C58CC0" w14:textId="62183879" w:rsidR="00B90DCA" w:rsidRPr="00D63183" w:rsidRDefault="00B90DCA" w:rsidP="00D63183">
      <w:pPr>
        <w:pStyle w:val="Titre4"/>
        <w:rPr>
          <w:b/>
          <w:bCs/>
        </w:rPr>
      </w:pPr>
      <w:bookmarkStart w:id="52" w:name="_Toc133137847"/>
      <w:bookmarkStart w:id="53" w:name="_Toc133137889"/>
      <w:r w:rsidRPr="00D63183">
        <w:rPr>
          <w:rStyle w:val="mw-headline"/>
          <w:b/>
          <w:bCs/>
        </w:rPr>
        <w:t>Modules de type nœud</w:t>
      </w:r>
      <w:bookmarkEnd w:id="52"/>
      <w:bookmarkEnd w:id="53"/>
    </w:p>
    <w:p w14:paraId="09B59093" w14:textId="77777777"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La partie non russe de la station comporte trois modules de type nœud qui peuvent assurer l'interconnexion entre six modules.</w:t>
      </w:r>
    </w:p>
    <w:p w14:paraId="1577FD52" w14:textId="27E1AAA6"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spellStart"/>
      <w:r w:rsidRPr="00D63183">
        <w:rPr>
          <w:rFonts w:asciiTheme="minorHAnsi" w:eastAsiaTheme="minorHAnsi" w:hAnsiTheme="minorHAnsi" w:cstheme="minorBidi"/>
          <w:sz w:val="22"/>
          <w:szCs w:val="22"/>
          <w:lang w:eastAsia="en-US"/>
        </w:rPr>
        <w:t>Unity</w:t>
      </w:r>
      <w:proofErr w:type="spellEnd"/>
      <w:r w:rsidRPr="00D63183">
        <w:rPr>
          <w:rFonts w:asciiTheme="minorHAnsi" w:eastAsiaTheme="minorHAnsi" w:hAnsiTheme="minorHAnsi" w:cstheme="minorBidi"/>
          <w:sz w:val="22"/>
          <w:szCs w:val="22"/>
          <w:lang w:eastAsia="en-US"/>
        </w:rPr>
        <w:t xml:space="preserve"> (nœud 1) est chronologiquement le second module à avoir été assemblé à la station spatiale internationale, et le premier construit par les États-Unis. C'est un cylindre d'aluminium de 11,6 tonnes, 5,47 m de long et de 4,57 m de diamètre. Il est plus court que les deux autres modules et ne comporte </w:t>
      </w:r>
      <w:r w:rsidRPr="00D63183">
        <w:rPr>
          <w:rFonts w:asciiTheme="minorHAnsi" w:eastAsiaTheme="minorHAnsi" w:hAnsiTheme="minorHAnsi" w:cstheme="minorBidi"/>
          <w:sz w:val="22"/>
          <w:szCs w:val="22"/>
          <w:lang w:eastAsia="en-US"/>
        </w:rPr>
        <w:lastRenderedPageBreak/>
        <w:t>que quatre emplacements pour des racks au format ISPR contre huit pour les autres modules. Il assure la jonction avec la partie russe de la station via un PMA.</w:t>
      </w:r>
    </w:p>
    <w:p w14:paraId="373DE2D2" w14:textId="7BA0DF15"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Harmony (nœud 2) pèse 14,3 tonnes pour une longueur de 7,2 mètres et un diamètre de 4,4 mètres. Il assure la connexion entre le laboratoire européen Columbus, le module américain Destiny et le module japonais </w:t>
      </w:r>
      <w:proofErr w:type="spellStart"/>
      <w:r w:rsidRPr="00D63183">
        <w:rPr>
          <w:rFonts w:asciiTheme="minorHAnsi" w:eastAsiaTheme="minorHAnsi" w:hAnsiTheme="minorHAnsi" w:cstheme="minorBidi"/>
          <w:sz w:val="22"/>
          <w:szCs w:val="22"/>
          <w:lang w:eastAsia="en-US"/>
        </w:rPr>
        <w:t>Kibo</w:t>
      </w:r>
      <w:proofErr w:type="spellEnd"/>
      <w:r w:rsidRPr="00D63183">
        <w:rPr>
          <w:rFonts w:asciiTheme="minorHAnsi" w:eastAsiaTheme="minorHAnsi" w:hAnsiTheme="minorHAnsi" w:cstheme="minorBidi"/>
          <w:sz w:val="22"/>
          <w:szCs w:val="22"/>
          <w:lang w:eastAsia="en-US"/>
        </w:rPr>
        <w:t>. Sur les huit baies disponibles, quatre sont occupées par des racks d'avionique tandis que les autres servent de lieu de rangement.</w:t>
      </w:r>
    </w:p>
    <w:p w14:paraId="5C335653" w14:textId="3DBF1B85"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spellStart"/>
      <w:r w:rsidRPr="00D63183">
        <w:rPr>
          <w:rFonts w:asciiTheme="minorHAnsi" w:eastAsiaTheme="minorHAnsi" w:hAnsiTheme="minorHAnsi" w:cstheme="minorBidi"/>
          <w:sz w:val="22"/>
          <w:szCs w:val="22"/>
          <w:lang w:eastAsia="en-US"/>
        </w:rPr>
        <w:t>Tranquility</w:t>
      </w:r>
      <w:proofErr w:type="spellEnd"/>
      <w:r w:rsidRPr="00D63183">
        <w:rPr>
          <w:rFonts w:asciiTheme="minorHAnsi" w:eastAsiaTheme="minorHAnsi" w:hAnsiTheme="minorHAnsi" w:cstheme="minorBidi"/>
          <w:sz w:val="22"/>
          <w:szCs w:val="22"/>
          <w:lang w:eastAsia="en-US"/>
        </w:rPr>
        <w:t xml:space="preserve"> (nœud 3) a les mêmes dimensions que Harmony et contient comme celui-ci huit racks dont deux occupés par l'avionique du module. Les principaux équipements touchent au système de support de vie américain avec deux racks recyclant les eaux usées, un rack pour la génération d'oxygène à partir de l'eau et un rack pour le système de régénération de l'atmosphère qui enlève les contaminants et contrôle ses constituants. </w:t>
      </w:r>
      <w:proofErr w:type="spellStart"/>
      <w:r w:rsidRPr="00D63183">
        <w:rPr>
          <w:rFonts w:asciiTheme="minorHAnsi" w:eastAsiaTheme="minorHAnsi" w:hAnsiTheme="minorHAnsi" w:cstheme="minorBidi"/>
          <w:sz w:val="22"/>
          <w:szCs w:val="22"/>
          <w:lang w:eastAsia="en-US"/>
        </w:rPr>
        <w:t>Tranquility</w:t>
      </w:r>
      <w:proofErr w:type="spellEnd"/>
      <w:r w:rsidRPr="00D63183">
        <w:rPr>
          <w:rFonts w:asciiTheme="minorHAnsi" w:eastAsiaTheme="minorHAnsi" w:hAnsiTheme="minorHAnsi" w:cstheme="minorBidi"/>
          <w:sz w:val="22"/>
          <w:szCs w:val="22"/>
          <w:lang w:eastAsia="en-US"/>
        </w:rPr>
        <w:t xml:space="preserve"> comporte également un compartiment toilettes pour l'équipage. </w:t>
      </w:r>
      <w:proofErr w:type="spellStart"/>
      <w:r w:rsidRPr="00D63183">
        <w:rPr>
          <w:rFonts w:asciiTheme="minorHAnsi" w:eastAsiaTheme="minorHAnsi" w:hAnsiTheme="minorHAnsi" w:cstheme="minorBidi"/>
          <w:sz w:val="22"/>
          <w:szCs w:val="22"/>
          <w:lang w:eastAsia="en-US"/>
        </w:rPr>
        <w:t>Tranquility</w:t>
      </w:r>
      <w:proofErr w:type="spellEnd"/>
      <w:r w:rsidRPr="00D63183">
        <w:rPr>
          <w:rFonts w:asciiTheme="minorHAnsi" w:eastAsiaTheme="minorHAnsi" w:hAnsiTheme="minorHAnsi" w:cstheme="minorBidi"/>
          <w:sz w:val="22"/>
          <w:szCs w:val="22"/>
          <w:lang w:eastAsia="en-US"/>
        </w:rPr>
        <w:t xml:space="preserve"> tient lieu également de salle de sport puisqu'on y trouve deux appareils destinés à l'exercice physique dont un tapis roulant. Le module dispose d'une coupole d'observation </w:t>
      </w:r>
      <w:proofErr w:type="spellStart"/>
      <w:r w:rsidRPr="00D63183">
        <w:rPr>
          <w:rFonts w:asciiTheme="minorHAnsi" w:eastAsiaTheme="minorHAnsi" w:hAnsiTheme="minorHAnsi" w:cstheme="minorBidi"/>
          <w:sz w:val="22"/>
          <w:szCs w:val="22"/>
          <w:lang w:eastAsia="en-US"/>
        </w:rPr>
        <w:t>Cupola</w:t>
      </w:r>
      <w:proofErr w:type="spellEnd"/>
      <w:r w:rsidRPr="00D63183">
        <w:rPr>
          <w:rFonts w:asciiTheme="minorHAnsi" w:eastAsiaTheme="minorHAnsi" w:hAnsiTheme="minorHAnsi" w:cstheme="minorBidi"/>
          <w:sz w:val="22"/>
          <w:szCs w:val="22"/>
          <w:lang w:eastAsia="en-US"/>
        </w:rPr>
        <w:t xml:space="preserve"> installée sur un des ports d'amarrage radiaux. Celle-ci est une baie vitrée de forme convexe et circulaire, composée de sept hublots : un hublot central zénithal de forme circulaire entouré de six autres plus petits et trapézoïdaux. L'ensemble, installé sous le module </w:t>
      </w:r>
      <w:proofErr w:type="spellStart"/>
      <w:r w:rsidRPr="00D63183">
        <w:rPr>
          <w:rFonts w:asciiTheme="minorHAnsi" w:eastAsiaTheme="minorHAnsi" w:hAnsiTheme="minorHAnsi" w:cstheme="minorBidi"/>
          <w:sz w:val="22"/>
          <w:szCs w:val="22"/>
          <w:lang w:eastAsia="en-US"/>
        </w:rPr>
        <w:t>Unity</w:t>
      </w:r>
      <w:proofErr w:type="spellEnd"/>
      <w:r w:rsidRPr="00D63183">
        <w:rPr>
          <w:rFonts w:asciiTheme="minorHAnsi" w:eastAsiaTheme="minorHAnsi" w:hAnsiTheme="minorHAnsi" w:cstheme="minorBidi"/>
          <w:sz w:val="22"/>
          <w:szCs w:val="22"/>
          <w:lang w:eastAsia="en-US"/>
        </w:rPr>
        <w:t xml:space="preserve"> côté Terre, fournit une vue panoramique à la fois sur la planète et sur une partie du champ d'intervention du bras manipulateur </w:t>
      </w:r>
      <w:proofErr w:type="spellStart"/>
      <w:r w:rsidRPr="00D63183">
        <w:rPr>
          <w:rFonts w:asciiTheme="minorHAnsi" w:eastAsiaTheme="minorHAnsi" w:hAnsiTheme="minorHAnsi" w:cstheme="minorBidi"/>
          <w:sz w:val="22"/>
          <w:szCs w:val="22"/>
          <w:lang w:eastAsia="en-US"/>
        </w:rPr>
        <w:t>Canadarm</w:t>
      </w:r>
      <w:proofErr w:type="spellEnd"/>
      <w:r w:rsidRPr="00D63183">
        <w:rPr>
          <w:rFonts w:asciiTheme="minorHAnsi" w:eastAsiaTheme="minorHAnsi" w:hAnsiTheme="minorHAnsi" w:cstheme="minorBidi"/>
          <w:sz w:val="22"/>
          <w:szCs w:val="22"/>
          <w:lang w:eastAsia="en-US"/>
        </w:rPr>
        <w:t xml:space="preserve"> 2 utilisé pour la maintenance de la station. Sur les six ouvertures du nœud, quatre d'entre elles sont utilisées.</w:t>
      </w:r>
    </w:p>
    <w:p w14:paraId="3B1BF53E" w14:textId="01A5ECB8" w:rsidR="00B90DCA" w:rsidRPr="00D63183" w:rsidRDefault="00B90DCA" w:rsidP="00D63183">
      <w:pPr>
        <w:pStyle w:val="Titre4"/>
        <w:rPr>
          <w:b/>
          <w:bCs/>
        </w:rPr>
      </w:pPr>
      <w:bookmarkStart w:id="54" w:name="_Toc133137848"/>
      <w:bookmarkStart w:id="55" w:name="_Toc133137890"/>
      <w:r w:rsidRPr="00D63183">
        <w:rPr>
          <w:rStyle w:val="mw-headline"/>
          <w:b/>
          <w:bCs/>
        </w:rPr>
        <w:t>Modules laboratoires</w:t>
      </w:r>
      <w:bookmarkEnd w:id="54"/>
      <w:bookmarkEnd w:id="55"/>
    </w:p>
    <w:p w14:paraId="3A9C0C43" w14:textId="77777777"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Les modules laboratoires sont consacrés à la recherche. À cet effet leurs quatre faces internes comportent des emplacements au format standardisé qui peuvent recevoir des expériences et qui disposent d'interfaces informatiques, vidéos, d'une alimentation électrique ainsi que de canalisations pouvant distribuer gaz ou fluides. Certaines de ces baies sont néanmoins occupées par des équipements relevant du support vie servant de stockage en l'absence de module réservé à la logistique et à l'habitat.</w:t>
      </w:r>
    </w:p>
    <w:p w14:paraId="0F8F3DC9" w14:textId="73764A9E"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Le laboratoire américain Destiny est le deuxième module américain installé et le premier laboratoire. Il est conçu pour accueillir les charges utiles et les expériences devant s'accommoder d'une atmosphère terrestre. Sa capacité est de vingt-quatre baies, dont treize sont spécialement conçues pour recevoir des expériences nécessitant un interfaçage complet avec la station et ses ressources. Cet élément a été mis en orbite le 7 février 2001.</w:t>
      </w:r>
    </w:p>
    <w:p w14:paraId="0541FA86" w14:textId="53E18117"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Le laboratoire européen Columbus est le plus petit des laboratoires de recherche avec dix baies disponibles pour la science. C'est le lieu de travail privilégié des astronautes et chercheurs européens. Ce module pressurisé est raccordé en permanence à la station. Ses utilisations sont multiples, et portent entre autres sur la science des matériaux, la physique des fluides, les sciences de la vie, la physique fondamentale et de nombreuses autres technologies. Il renferme aussi la plupart des charges utiles pressurisées européennes.</w:t>
      </w:r>
    </w:p>
    <w:p w14:paraId="0FBF4A73" w14:textId="5ED77012"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Le laboratoire JEM ou </w:t>
      </w:r>
      <w:proofErr w:type="spellStart"/>
      <w:r w:rsidRPr="00D63183">
        <w:rPr>
          <w:rFonts w:asciiTheme="minorHAnsi" w:eastAsiaTheme="minorHAnsi" w:hAnsiTheme="minorHAnsi" w:cstheme="minorBidi"/>
          <w:sz w:val="22"/>
          <w:szCs w:val="22"/>
          <w:lang w:eastAsia="en-US"/>
        </w:rPr>
        <w:t>Kibō</w:t>
      </w:r>
      <w:proofErr w:type="spellEnd"/>
      <w:r w:rsidRPr="00D63183">
        <w:rPr>
          <w:rFonts w:asciiTheme="minorHAnsi" w:eastAsiaTheme="minorHAnsi" w:hAnsiTheme="minorHAnsi" w:cstheme="minorBidi"/>
          <w:sz w:val="22"/>
          <w:szCs w:val="22"/>
          <w:lang w:eastAsia="en-US"/>
        </w:rPr>
        <w:t> est le module fourni par l'Agence d'exploration aérospatiale japonaise (JAXA) : il comporte dix baies à bord, dont cinq seront occupées par du matériel japonais et cinq autres par du matériel de la NASA. Tous les emplacements sont aux standards internationaux en ce qui concerne les branchements énergétiques et l'approvisionnement en divers gaz ou liquides. Le JEM comporte un prolongement pressurisé, l'ELM PS, qui fournit des emplacements supplémentaires pour certaines expériences réclamant, entre autres, une atmosphère ou une pression atmosphérique différentes. Ce module complémentaire est fixé perpendiculairement au JEM.</w:t>
      </w:r>
    </w:p>
    <w:p w14:paraId="3897CA96" w14:textId="6CE60DC9"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Le laboratoire russe </w:t>
      </w:r>
      <w:proofErr w:type="spellStart"/>
      <w:r w:rsidRPr="00D63183">
        <w:rPr>
          <w:rFonts w:asciiTheme="minorHAnsi" w:eastAsiaTheme="minorHAnsi" w:hAnsiTheme="minorHAnsi" w:cstheme="minorBidi"/>
          <w:sz w:val="22"/>
          <w:szCs w:val="22"/>
          <w:lang w:eastAsia="en-US"/>
        </w:rPr>
        <w:t>Nauka</w:t>
      </w:r>
      <w:proofErr w:type="spellEnd"/>
      <w:r w:rsidRPr="00D63183">
        <w:rPr>
          <w:rFonts w:asciiTheme="minorHAnsi" w:eastAsiaTheme="minorHAnsi" w:hAnsiTheme="minorHAnsi" w:cstheme="minorBidi"/>
          <w:sz w:val="22"/>
          <w:szCs w:val="22"/>
          <w:lang w:eastAsia="en-US"/>
        </w:rPr>
        <w:t xml:space="preserve"> ou MLM (Module laboratoire multi-usages) doit être installé courant 2021. Ce sera le dernier élément qui rejoindra la station spatiale. Il est construit à partir de la doublure de </w:t>
      </w:r>
      <w:proofErr w:type="spellStart"/>
      <w:r w:rsidRPr="00D63183">
        <w:rPr>
          <w:rFonts w:asciiTheme="minorHAnsi" w:eastAsiaTheme="minorHAnsi" w:hAnsiTheme="minorHAnsi" w:cstheme="minorBidi"/>
          <w:sz w:val="22"/>
          <w:szCs w:val="22"/>
          <w:lang w:eastAsia="en-US"/>
        </w:rPr>
        <w:t>Zarya</w:t>
      </w:r>
      <w:proofErr w:type="spellEnd"/>
      <w:r w:rsidRPr="00D63183">
        <w:rPr>
          <w:rFonts w:asciiTheme="minorHAnsi" w:eastAsiaTheme="minorHAnsi" w:hAnsiTheme="minorHAnsi" w:cstheme="minorBidi"/>
          <w:sz w:val="22"/>
          <w:szCs w:val="22"/>
          <w:lang w:eastAsia="en-US"/>
        </w:rPr>
        <w:t>. À côté d'installations pour les équipements scientifiques, il comporte des ports d'amarrages, des installations de support de vie pour l'équipage et doit également servir de lieu de stockage.</w:t>
      </w:r>
    </w:p>
    <w:p w14:paraId="3243A7CC" w14:textId="5431CF2B" w:rsidR="00B90DCA" w:rsidRPr="00D63183" w:rsidRDefault="00B90DCA" w:rsidP="00D63183">
      <w:pPr>
        <w:pStyle w:val="Titre4"/>
        <w:rPr>
          <w:b/>
          <w:bCs/>
        </w:rPr>
      </w:pPr>
      <w:bookmarkStart w:id="56" w:name="_Toc133137849"/>
      <w:bookmarkStart w:id="57" w:name="_Toc133137891"/>
      <w:r w:rsidRPr="00D63183">
        <w:rPr>
          <w:rStyle w:val="mw-headline"/>
          <w:b/>
          <w:bCs/>
        </w:rPr>
        <w:lastRenderedPageBreak/>
        <w:t>Compartiments d'amarrage russes</w:t>
      </w:r>
      <w:bookmarkEnd w:id="56"/>
      <w:bookmarkEnd w:id="57"/>
    </w:p>
    <w:p w14:paraId="688905A3" w14:textId="717E99D8"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Le compartiment d'amarrage </w:t>
      </w:r>
      <w:proofErr w:type="spellStart"/>
      <w:r w:rsidRPr="00D63183">
        <w:rPr>
          <w:rFonts w:asciiTheme="minorHAnsi" w:eastAsiaTheme="minorHAnsi" w:hAnsiTheme="minorHAnsi" w:cstheme="minorBidi"/>
          <w:sz w:val="22"/>
          <w:szCs w:val="22"/>
          <w:lang w:eastAsia="en-US"/>
        </w:rPr>
        <w:t>Pirs</w:t>
      </w:r>
      <w:proofErr w:type="spellEnd"/>
      <w:r w:rsidRPr="00D63183">
        <w:rPr>
          <w:rFonts w:asciiTheme="minorHAnsi" w:eastAsiaTheme="minorHAnsi" w:hAnsiTheme="minorHAnsi" w:cstheme="minorBidi"/>
          <w:sz w:val="22"/>
          <w:szCs w:val="22"/>
          <w:lang w:eastAsia="en-US"/>
        </w:rPr>
        <w:t xml:space="preserve"> est un module assez court (moins de 5 mètres de long) qui sert à la fois de port d'amarrage pour les vaisseaux russes et de sas pour les sorties extravéhiculaires russes. Assemblé à la station en 2001, sa durée de vie théorique est de 5 ans. Arrivé en fin de vie, il est largué et détruit avant l'installation du module </w:t>
      </w:r>
      <w:proofErr w:type="spellStart"/>
      <w:r w:rsidRPr="00D63183">
        <w:rPr>
          <w:rFonts w:asciiTheme="minorHAnsi" w:eastAsiaTheme="minorHAnsi" w:hAnsiTheme="minorHAnsi" w:cstheme="minorBidi"/>
          <w:sz w:val="22"/>
          <w:szCs w:val="22"/>
          <w:lang w:eastAsia="en-US"/>
        </w:rPr>
        <w:t>Nauka</w:t>
      </w:r>
      <w:proofErr w:type="spellEnd"/>
      <w:r w:rsidRPr="00D63183">
        <w:rPr>
          <w:rFonts w:asciiTheme="minorHAnsi" w:eastAsiaTheme="minorHAnsi" w:hAnsiTheme="minorHAnsi" w:cstheme="minorBidi"/>
          <w:sz w:val="22"/>
          <w:szCs w:val="22"/>
          <w:lang w:eastAsia="en-US"/>
        </w:rPr>
        <w:t xml:space="preserve"> début 2021. Il est remplacé par un module </w:t>
      </w:r>
      <w:proofErr w:type="spellStart"/>
      <w:r w:rsidRPr="00D63183">
        <w:rPr>
          <w:rFonts w:asciiTheme="minorHAnsi" w:eastAsiaTheme="minorHAnsi" w:hAnsiTheme="minorHAnsi" w:cstheme="minorBidi"/>
          <w:sz w:val="22"/>
          <w:szCs w:val="22"/>
          <w:lang w:eastAsia="en-US"/>
        </w:rPr>
        <w:t>Poisk</w:t>
      </w:r>
      <w:proofErr w:type="spellEnd"/>
      <w:r w:rsidRPr="00D63183">
        <w:rPr>
          <w:rFonts w:asciiTheme="minorHAnsi" w:eastAsiaTheme="minorHAnsi" w:hAnsiTheme="minorHAnsi" w:cstheme="minorBidi"/>
          <w:sz w:val="22"/>
          <w:szCs w:val="22"/>
          <w:lang w:eastAsia="en-US"/>
        </w:rPr>
        <w:t xml:space="preserve">, aux caractéristiques similaires, installé en novembre 2009 pour remplacer à terme </w:t>
      </w:r>
      <w:proofErr w:type="spellStart"/>
      <w:r w:rsidRPr="00D63183">
        <w:rPr>
          <w:rFonts w:asciiTheme="minorHAnsi" w:eastAsiaTheme="minorHAnsi" w:hAnsiTheme="minorHAnsi" w:cstheme="minorBidi"/>
          <w:sz w:val="22"/>
          <w:szCs w:val="22"/>
          <w:lang w:eastAsia="en-US"/>
        </w:rPr>
        <w:t>Pirs</w:t>
      </w:r>
      <w:proofErr w:type="spellEnd"/>
      <w:r w:rsidRPr="00D63183">
        <w:rPr>
          <w:rFonts w:asciiTheme="minorHAnsi" w:eastAsiaTheme="minorHAnsi" w:hAnsiTheme="minorHAnsi" w:cstheme="minorBidi"/>
          <w:sz w:val="22"/>
          <w:szCs w:val="22"/>
          <w:lang w:eastAsia="en-US"/>
        </w:rPr>
        <w:t xml:space="preserve"> dont il partage les caractéristiques. Le compartiment d'amarrage Rassvet dont l'installation a eu lieu en 2010, doit servir de port d'amarrage pour les vaisseaux Soyouz et Progress. Il joue également le rôle de module de stockage. Sa présence a été rendue nécessaire pour permettre l'accostage des vaisseaux qui ne peuvent plus s'amarrer directement à </w:t>
      </w:r>
      <w:proofErr w:type="spellStart"/>
      <w:r w:rsidRPr="00D63183">
        <w:rPr>
          <w:rFonts w:asciiTheme="minorHAnsi" w:eastAsiaTheme="minorHAnsi" w:hAnsiTheme="minorHAnsi" w:cstheme="minorBidi"/>
          <w:sz w:val="22"/>
          <w:szCs w:val="22"/>
          <w:lang w:eastAsia="en-US"/>
        </w:rPr>
        <w:t>Zarya</w:t>
      </w:r>
      <w:proofErr w:type="spellEnd"/>
      <w:r w:rsidRPr="00D63183">
        <w:rPr>
          <w:rFonts w:asciiTheme="minorHAnsi" w:eastAsiaTheme="minorHAnsi" w:hAnsiTheme="minorHAnsi" w:cstheme="minorBidi"/>
          <w:sz w:val="22"/>
          <w:szCs w:val="22"/>
          <w:lang w:eastAsia="en-US"/>
        </w:rPr>
        <w:t xml:space="preserve"> depuis la mise en place du module </w:t>
      </w:r>
      <w:proofErr w:type="spellStart"/>
      <w:r w:rsidRPr="00D63183">
        <w:rPr>
          <w:rFonts w:asciiTheme="minorHAnsi" w:eastAsiaTheme="minorHAnsi" w:hAnsiTheme="minorHAnsi" w:cstheme="minorBidi"/>
          <w:sz w:val="22"/>
          <w:szCs w:val="22"/>
          <w:lang w:eastAsia="en-US"/>
        </w:rPr>
        <w:t>Tranquility</w:t>
      </w:r>
      <w:proofErr w:type="spellEnd"/>
      <w:r w:rsidRPr="00D63183">
        <w:rPr>
          <w:rFonts w:asciiTheme="minorHAnsi" w:eastAsiaTheme="minorHAnsi" w:hAnsiTheme="minorHAnsi" w:cstheme="minorBidi"/>
          <w:sz w:val="22"/>
          <w:szCs w:val="22"/>
          <w:lang w:eastAsia="en-US"/>
        </w:rPr>
        <w:t>.</w:t>
      </w:r>
    </w:p>
    <w:p w14:paraId="453F39AA" w14:textId="15E5746C" w:rsidR="00B90DCA" w:rsidRPr="00D63183" w:rsidRDefault="00B90DCA" w:rsidP="00D63183">
      <w:pPr>
        <w:pStyle w:val="Titre4"/>
        <w:rPr>
          <w:b/>
          <w:bCs/>
        </w:rPr>
      </w:pPr>
      <w:bookmarkStart w:id="58" w:name="_Toc133137850"/>
      <w:bookmarkStart w:id="59" w:name="_Toc133137892"/>
      <w:r w:rsidRPr="00D63183">
        <w:rPr>
          <w:rStyle w:val="mw-headline"/>
          <w:b/>
          <w:bCs/>
        </w:rPr>
        <w:t xml:space="preserve">Sas américain </w:t>
      </w:r>
      <w:proofErr w:type="spellStart"/>
      <w:r w:rsidRPr="00D63183">
        <w:rPr>
          <w:rStyle w:val="mw-headline"/>
          <w:b/>
          <w:bCs/>
        </w:rPr>
        <w:t>Quest</w:t>
      </w:r>
      <w:bookmarkEnd w:id="58"/>
      <w:bookmarkEnd w:id="59"/>
      <w:proofErr w:type="spellEnd"/>
    </w:p>
    <w:p w14:paraId="2593FC3C" w14:textId="4678C606" w:rsidR="00B90DCA" w:rsidRPr="00D63183" w:rsidRDefault="00B90DCA" w:rsidP="00D6318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63183">
        <w:rPr>
          <w:rFonts w:asciiTheme="minorHAnsi" w:eastAsiaTheme="minorHAnsi" w:hAnsiTheme="minorHAnsi" w:cstheme="minorBidi"/>
          <w:sz w:val="22"/>
          <w:szCs w:val="22"/>
          <w:lang w:eastAsia="en-US"/>
        </w:rPr>
        <w:t xml:space="preserve">Le module américain </w:t>
      </w:r>
      <w:proofErr w:type="spellStart"/>
      <w:r w:rsidRPr="00D63183">
        <w:rPr>
          <w:rFonts w:asciiTheme="minorHAnsi" w:eastAsiaTheme="minorHAnsi" w:hAnsiTheme="minorHAnsi" w:cstheme="minorBidi"/>
          <w:sz w:val="22"/>
          <w:szCs w:val="22"/>
          <w:lang w:eastAsia="en-US"/>
        </w:rPr>
        <w:t>Quest</w:t>
      </w:r>
      <w:proofErr w:type="spellEnd"/>
      <w:r w:rsidRPr="00D63183">
        <w:rPr>
          <w:rFonts w:asciiTheme="minorHAnsi" w:eastAsiaTheme="minorHAnsi" w:hAnsiTheme="minorHAnsi" w:cstheme="minorBidi"/>
          <w:sz w:val="22"/>
          <w:szCs w:val="22"/>
          <w:lang w:eastAsia="en-US"/>
        </w:rPr>
        <w:t xml:space="preserve">, qui est fixé au nœud </w:t>
      </w:r>
      <w:proofErr w:type="spellStart"/>
      <w:r w:rsidRPr="00D63183">
        <w:rPr>
          <w:rFonts w:asciiTheme="minorHAnsi" w:eastAsiaTheme="minorHAnsi" w:hAnsiTheme="minorHAnsi" w:cstheme="minorBidi"/>
          <w:sz w:val="22"/>
          <w:szCs w:val="22"/>
          <w:lang w:eastAsia="en-US"/>
        </w:rPr>
        <w:t>Unity</w:t>
      </w:r>
      <w:proofErr w:type="spellEnd"/>
      <w:r w:rsidRPr="00D63183">
        <w:rPr>
          <w:rFonts w:asciiTheme="minorHAnsi" w:eastAsiaTheme="minorHAnsi" w:hAnsiTheme="minorHAnsi" w:cstheme="minorBidi"/>
          <w:sz w:val="22"/>
          <w:szCs w:val="22"/>
          <w:lang w:eastAsia="en-US"/>
        </w:rPr>
        <w:t>, permet aux astronautes d'effectuer les sorties extravéhiculaires. Il joue le même rôle que le </w:t>
      </w:r>
      <w:proofErr w:type="spellStart"/>
      <w:r w:rsidRPr="00D63183">
        <w:rPr>
          <w:rFonts w:asciiTheme="minorHAnsi" w:eastAsiaTheme="minorHAnsi" w:hAnsiTheme="minorHAnsi" w:cstheme="minorBidi"/>
          <w:sz w:val="22"/>
          <w:szCs w:val="22"/>
          <w:lang w:eastAsia="en-US"/>
        </w:rPr>
        <w:t>Pirs</w:t>
      </w:r>
      <w:proofErr w:type="spellEnd"/>
      <w:r w:rsidRPr="00D63183">
        <w:rPr>
          <w:rFonts w:asciiTheme="minorHAnsi" w:eastAsiaTheme="minorHAnsi" w:hAnsiTheme="minorHAnsi" w:cstheme="minorBidi"/>
          <w:sz w:val="22"/>
          <w:szCs w:val="22"/>
          <w:lang w:eastAsia="en-US"/>
        </w:rPr>
        <w:t xml:space="preserve"> de la partie russe de la station mais, contrairement à celui-ci, il est compatible à la fois avec les combinaisons russes et américaines. Il comporte deux parties : la plus large permet aux astronautes de s'équiper de leurs combinaisons spatiales et d'effectuer la longue préparation pour débarrasser leur organisme de l'azote. La deuxième partie, plus étroite, est le sas proprement dit similaire à celui de la navette spatiale qui permet, après avoir chassé l'atmosphère, d'accéder à l'extérieur. Attachés au module se trouvent deux grands réservoirs d'oxygène et deux réservoirs d'azote dont le contenu est utilisé à la fois par </w:t>
      </w:r>
      <w:proofErr w:type="spellStart"/>
      <w:r w:rsidRPr="00D63183">
        <w:rPr>
          <w:rFonts w:asciiTheme="minorHAnsi" w:eastAsiaTheme="minorHAnsi" w:hAnsiTheme="minorHAnsi" w:cstheme="minorBidi"/>
          <w:sz w:val="22"/>
          <w:szCs w:val="22"/>
          <w:lang w:eastAsia="en-US"/>
        </w:rPr>
        <w:t>Quest</w:t>
      </w:r>
      <w:proofErr w:type="spellEnd"/>
      <w:r w:rsidRPr="00D63183">
        <w:rPr>
          <w:rFonts w:asciiTheme="minorHAnsi" w:eastAsiaTheme="minorHAnsi" w:hAnsiTheme="minorHAnsi" w:cstheme="minorBidi"/>
          <w:sz w:val="22"/>
          <w:szCs w:val="22"/>
          <w:lang w:eastAsia="en-US"/>
        </w:rPr>
        <w:t xml:space="preserve"> et par la partie américaine de la station. Le module </w:t>
      </w:r>
      <w:proofErr w:type="spellStart"/>
      <w:r w:rsidRPr="00D63183">
        <w:rPr>
          <w:rFonts w:asciiTheme="minorHAnsi" w:eastAsiaTheme="minorHAnsi" w:hAnsiTheme="minorHAnsi" w:cstheme="minorBidi"/>
          <w:sz w:val="22"/>
          <w:szCs w:val="22"/>
          <w:lang w:eastAsia="en-US"/>
        </w:rPr>
        <w:t>Quest</w:t>
      </w:r>
      <w:proofErr w:type="spellEnd"/>
      <w:r w:rsidRPr="00D63183">
        <w:rPr>
          <w:rFonts w:asciiTheme="minorHAnsi" w:eastAsiaTheme="minorHAnsi" w:hAnsiTheme="minorHAnsi" w:cstheme="minorBidi"/>
          <w:sz w:val="22"/>
          <w:szCs w:val="22"/>
          <w:lang w:eastAsia="en-US"/>
        </w:rPr>
        <w:t xml:space="preserve"> pèse 6,1 tonnes à vide, est long de 5,5 mètres pour un diamètre maximum de 4 mètres.</w:t>
      </w:r>
    </w:p>
    <w:p w14:paraId="5AB43D21" w14:textId="29792533" w:rsidR="00B90DCA" w:rsidRPr="00705F1D" w:rsidRDefault="00B90DCA" w:rsidP="00705F1D">
      <w:pPr>
        <w:pStyle w:val="Titre4"/>
        <w:rPr>
          <w:b/>
          <w:bCs/>
        </w:rPr>
      </w:pPr>
      <w:bookmarkStart w:id="60" w:name="_Toc133137851"/>
      <w:bookmarkStart w:id="61" w:name="_Toc133137893"/>
      <w:r w:rsidRPr="00705F1D">
        <w:rPr>
          <w:rStyle w:val="mw-headline"/>
          <w:b/>
          <w:bCs/>
        </w:rPr>
        <w:t>Module Logistique Multi-Usages Leonardo</w:t>
      </w:r>
      <w:bookmarkEnd w:id="60"/>
      <w:bookmarkEnd w:id="61"/>
    </w:p>
    <w:p w14:paraId="4F9A12CC" w14:textId="462F5819"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Le Module Logistique Multi-Usages Leonardo est un des trois modules (Leonardo, </w:t>
      </w:r>
      <w:proofErr w:type="spellStart"/>
      <w:r w:rsidRPr="00705F1D">
        <w:rPr>
          <w:rFonts w:asciiTheme="minorHAnsi" w:eastAsiaTheme="minorHAnsi" w:hAnsiTheme="minorHAnsi" w:cstheme="minorBidi"/>
          <w:sz w:val="22"/>
          <w:szCs w:val="22"/>
          <w:lang w:eastAsia="en-US"/>
        </w:rPr>
        <w:t>Raffaello</w:t>
      </w:r>
      <w:proofErr w:type="spellEnd"/>
      <w:r w:rsidRPr="00705F1D">
        <w:rPr>
          <w:rFonts w:asciiTheme="minorHAnsi" w:eastAsiaTheme="minorHAnsi" w:hAnsiTheme="minorHAnsi" w:cstheme="minorBidi"/>
          <w:sz w:val="22"/>
          <w:szCs w:val="22"/>
          <w:lang w:eastAsia="en-US"/>
        </w:rPr>
        <w:t xml:space="preserve"> et Donatello) pressurisés construits par l'Italie utilisés pour transporter dans la </w:t>
      </w:r>
      <w:proofErr w:type="spellStart"/>
      <w:r w:rsidRPr="00705F1D">
        <w:rPr>
          <w:rFonts w:asciiTheme="minorHAnsi" w:eastAsiaTheme="minorHAnsi" w:hAnsiTheme="minorHAnsi" w:cstheme="minorBidi"/>
          <w:sz w:val="22"/>
          <w:szCs w:val="22"/>
          <w:lang w:eastAsia="en-US"/>
        </w:rPr>
        <w:t>soute</w:t>
      </w:r>
      <w:proofErr w:type="spellEnd"/>
      <w:r w:rsidRPr="00705F1D">
        <w:rPr>
          <w:rFonts w:asciiTheme="minorHAnsi" w:eastAsiaTheme="minorHAnsi" w:hAnsiTheme="minorHAnsi" w:cstheme="minorBidi"/>
          <w:sz w:val="22"/>
          <w:szCs w:val="22"/>
          <w:lang w:eastAsia="en-US"/>
        </w:rPr>
        <w:t xml:space="preserve"> de la navette spatiale américaine le fret qui ne peut être exposé au vide. Leonardo, l'un des trois modules, après avoir reçu une protection contre les micrométéorites, est amarré en permanence à un sas d'amarrage du module </w:t>
      </w:r>
      <w:proofErr w:type="spellStart"/>
      <w:r w:rsidRPr="00705F1D">
        <w:rPr>
          <w:rFonts w:asciiTheme="minorHAnsi" w:eastAsiaTheme="minorHAnsi" w:hAnsiTheme="minorHAnsi" w:cstheme="minorBidi"/>
          <w:sz w:val="22"/>
          <w:szCs w:val="22"/>
          <w:lang w:eastAsia="en-US"/>
        </w:rPr>
        <w:t>tranquility</w:t>
      </w:r>
      <w:proofErr w:type="spellEnd"/>
      <w:r w:rsidRPr="00705F1D">
        <w:rPr>
          <w:rFonts w:asciiTheme="minorHAnsi" w:eastAsiaTheme="minorHAnsi" w:hAnsiTheme="minorHAnsi" w:cstheme="minorBidi"/>
          <w:sz w:val="22"/>
          <w:szCs w:val="22"/>
          <w:lang w:eastAsia="en-US"/>
        </w:rPr>
        <w:t>, depuis le retrait des navettes spatiales mi 2011. Le module sert de zone de stockage.</w:t>
      </w:r>
    </w:p>
    <w:p w14:paraId="142EE32C" w14:textId="77777777" w:rsidR="00D63183" w:rsidRDefault="00D63183" w:rsidP="00B90DCA">
      <w:pPr>
        <w:pStyle w:val="NormalWeb"/>
        <w:shd w:val="clear" w:color="auto" w:fill="FFFFFF"/>
        <w:spacing w:before="120" w:beforeAutospacing="0" w:after="120" w:afterAutospacing="0"/>
        <w:rPr>
          <w:rFonts w:ascii="Arial" w:hAnsi="Arial" w:cs="Arial"/>
          <w:color w:val="202122"/>
          <w:sz w:val="21"/>
          <w:szCs w:val="21"/>
        </w:rPr>
      </w:pPr>
    </w:p>
    <w:p w14:paraId="64D006F5" w14:textId="7641ED54" w:rsidR="00B90DCA" w:rsidRPr="00705F1D" w:rsidRDefault="00B90DCA" w:rsidP="00705F1D">
      <w:pPr>
        <w:pStyle w:val="Titre3"/>
        <w:rPr>
          <w:b/>
          <w:bCs/>
        </w:rPr>
      </w:pPr>
      <w:bookmarkStart w:id="62" w:name="_Toc133137852"/>
      <w:bookmarkStart w:id="63" w:name="_Toc133137894"/>
      <w:r w:rsidRPr="00705F1D">
        <w:rPr>
          <w:rStyle w:val="mw-headline"/>
          <w:b/>
          <w:bCs/>
        </w:rPr>
        <w:t>Parties non pressurisées</w:t>
      </w:r>
      <w:bookmarkEnd w:id="62"/>
      <w:bookmarkEnd w:id="63"/>
    </w:p>
    <w:p w14:paraId="1BA7BF98" w14:textId="130EBF75" w:rsidR="00B90DCA" w:rsidRPr="00705F1D" w:rsidRDefault="00705F1D" w:rsidP="00705F1D">
      <w:pPr>
        <w:pStyle w:val="Titre4"/>
        <w:rPr>
          <w:b/>
          <w:bCs/>
        </w:rPr>
      </w:pPr>
      <w:bookmarkStart w:id="64" w:name="_Toc133137853"/>
      <w:bookmarkStart w:id="65" w:name="_Toc133137895"/>
      <w:r w:rsidRPr="00705F1D">
        <w:rPr>
          <w:b/>
          <w:bCs/>
        </w:rPr>
        <w:drawing>
          <wp:anchor distT="0" distB="0" distL="114300" distR="114300" simplePos="0" relativeHeight="251673600" behindDoc="0" locked="0" layoutInCell="1" allowOverlap="1" wp14:anchorId="12F5DDF0" wp14:editId="37D39B29">
            <wp:simplePos x="0" y="0"/>
            <wp:positionH relativeFrom="margin">
              <wp:align>right</wp:align>
            </wp:positionH>
            <wp:positionV relativeFrom="paragraph">
              <wp:posOffset>55880</wp:posOffset>
            </wp:positionV>
            <wp:extent cx="2095500" cy="1379220"/>
            <wp:effectExtent l="0" t="0" r="0" b="0"/>
            <wp:wrapSquare wrapText="bothSides"/>
            <wp:docPr id="588535877" name="Image 20">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095500" cy="1379220"/>
                    </a:xfrm>
                    <a:prstGeom prst="rect">
                      <a:avLst/>
                    </a:prstGeom>
                    <a:noFill/>
                    <a:ln>
                      <a:noFill/>
                    </a:ln>
                  </pic:spPr>
                </pic:pic>
              </a:graphicData>
            </a:graphic>
          </wp:anchor>
        </w:drawing>
      </w:r>
      <w:r w:rsidR="00B90DCA" w:rsidRPr="00705F1D">
        <w:rPr>
          <w:rStyle w:val="mw-headline"/>
          <w:b/>
          <w:bCs/>
        </w:rPr>
        <w:t>Poutre</w:t>
      </w:r>
      <w:bookmarkEnd w:id="64"/>
      <w:bookmarkEnd w:id="65"/>
    </w:p>
    <w:p w14:paraId="7B586EBA" w14:textId="78E2D210"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La poutre est la structure la plus imposante de la station avec une longueur de 108,5 mètres. Son rôle principal est de porter les panneaux solaires qui fournissent l'énergie à la station et les radiateurs qui assurent la régulation thermique des modules pressurisés. Sa dimension permet aux panneaux solaires de s'orienter sans être gênés par les modules pressurisés et les panneaux qui y sont rattachés. Elle est constituée de onze segments qui ont été assemblés en orbite. La poutre est perpendiculaire au tronc central de la partie pressurisée de la station. Elle est constituée d'une partie centrale fixe (segments de poutre S0, P0 et P1) solidement fixée en son milieu au sommet du laboratoire américain Destiny et de deux extrémités (bâbord et tribord) qui portent les panneaux solaires et qui pivotent autour de l'axe de manière à toujours aligner les cellules photovoltaïques face au Soleil. Les panneaux solaires peuvent eux-mêmes pivoter par paire.</w:t>
      </w:r>
    </w:p>
    <w:p w14:paraId="0A9CE01E" w14:textId="2EDABA51"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La poutre sert également de support à trois plateformes externes qui permettent d'entreposer des pièces de rechange ainsi qu'à quatre plateformes, les EXPRESS </w:t>
      </w:r>
      <w:proofErr w:type="spellStart"/>
      <w:r w:rsidRPr="00705F1D">
        <w:rPr>
          <w:rFonts w:asciiTheme="minorHAnsi" w:eastAsiaTheme="minorHAnsi" w:hAnsiTheme="minorHAnsi" w:cstheme="minorBidi"/>
          <w:sz w:val="22"/>
          <w:szCs w:val="22"/>
          <w:lang w:eastAsia="en-US"/>
        </w:rPr>
        <w:t>Logistics</w:t>
      </w:r>
      <w:proofErr w:type="spellEnd"/>
      <w:r w:rsidRPr="00705F1D">
        <w:rPr>
          <w:rFonts w:asciiTheme="minorHAnsi" w:eastAsiaTheme="minorHAnsi" w:hAnsiTheme="minorHAnsi" w:cstheme="minorBidi"/>
          <w:sz w:val="22"/>
          <w:szCs w:val="22"/>
          <w:lang w:eastAsia="en-US"/>
        </w:rPr>
        <w:t xml:space="preserve"> Carrier, sur lesquelles se trouvent des expériences scientifiques qui n'ont pas besoin d'être installées dans un environnement </w:t>
      </w:r>
      <w:r w:rsidRPr="00705F1D">
        <w:rPr>
          <w:rFonts w:asciiTheme="minorHAnsi" w:eastAsiaTheme="minorHAnsi" w:hAnsiTheme="minorHAnsi" w:cstheme="minorBidi"/>
          <w:sz w:val="22"/>
          <w:szCs w:val="22"/>
          <w:lang w:eastAsia="en-US"/>
        </w:rPr>
        <w:lastRenderedPageBreak/>
        <w:t>pressurisé ou qui sont volontairement exposées au vide. Une expérience scientifique particulière, le spectromètre magnétique Alpha, dispose d'un emplacement spécifique sur la poutre. Enfin le bras télémanipulateur </w:t>
      </w:r>
      <w:proofErr w:type="spellStart"/>
      <w:r w:rsidRPr="00705F1D">
        <w:rPr>
          <w:rFonts w:asciiTheme="minorHAnsi" w:eastAsiaTheme="minorHAnsi" w:hAnsiTheme="minorHAnsi" w:cstheme="minorBidi"/>
          <w:sz w:val="22"/>
          <w:szCs w:val="22"/>
          <w:lang w:eastAsia="en-US"/>
        </w:rPr>
        <w:t>Canadarm</w:t>
      </w:r>
      <w:proofErr w:type="spellEnd"/>
      <w:r w:rsidRPr="00705F1D">
        <w:rPr>
          <w:rFonts w:asciiTheme="minorHAnsi" w:eastAsiaTheme="minorHAnsi" w:hAnsiTheme="minorHAnsi" w:cstheme="minorBidi"/>
          <w:sz w:val="22"/>
          <w:szCs w:val="22"/>
          <w:lang w:eastAsia="en-US"/>
        </w:rPr>
        <w:t xml:space="preserve"> 2 est généralement installé sur un chariot mobile qui peut coulisser à petite vitesse le long des trois segments non rotatifs de la poutre permettant ainsi d'accroitre son rayon d'action d'environ 40 mètres.</w:t>
      </w:r>
    </w:p>
    <w:p w14:paraId="3F4E8CD4" w14:textId="77777777"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 module non pressurisé Z1, fixé au port d'amarrage zénithal d'</w:t>
      </w:r>
      <w:proofErr w:type="spellStart"/>
      <w:r w:rsidRPr="00705F1D">
        <w:rPr>
          <w:rFonts w:asciiTheme="minorHAnsi" w:eastAsiaTheme="minorHAnsi" w:hAnsiTheme="minorHAnsi" w:cstheme="minorBidi"/>
          <w:sz w:val="22"/>
          <w:szCs w:val="22"/>
          <w:lang w:eastAsia="en-US"/>
        </w:rPr>
        <w:t>Unity</w:t>
      </w:r>
      <w:proofErr w:type="spellEnd"/>
      <w:r w:rsidRPr="00705F1D">
        <w:rPr>
          <w:rFonts w:asciiTheme="minorHAnsi" w:eastAsiaTheme="minorHAnsi" w:hAnsiTheme="minorHAnsi" w:cstheme="minorBidi"/>
          <w:sz w:val="22"/>
          <w:szCs w:val="22"/>
          <w:lang w:eastAsia="en-US"/>
        </w:rPr>
        <w:t>, sert de support aux quatre gyroscopes de la station ainsi qu'aux principales antennes de télécommunications.</w:t>
      </w:r>
    </w:p>
    <w:p w14:paraId="2621E879" w14:textId="38C99E79" w:rsidR="00B90DCA" w:rsidRPr="00705F1D" w:rsidRDefault="00B90DCA" w:rsidP="00705F1D">
      <w:pPr>
        <w:pStyle w:val="Titre4"/>
        <w:rPr>
          <w:b/>
          <w:bCs/>
        </w:rPr>
      </w:pPr>
      <w:bookmarkStart w:id="66" w:name="_Toc133137854"/>
      <w:bookmarkStart w:id="67" w:name="_Toc133137896"/>
      <w:r w:rsidRPr="00705F1D">
        <w:rPr>
          <w:rStyle w:val="mw-headline"/>
          <w:b/>
          <w:bCs/>
        </w:rPr>
        <w:t>Bras et robots télémanipulateurs</w:t>
      </w:r>
      <w:bookmarkEnd w:id="66"/>
      <w:bookmarkEnd w:id="67"/>
    </w:p>
    <w:p w14:paraId="7DE02DC4" w14:textId="77777777"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La station dispose de plusieurs bras contrôlés à distance qui permettent l'assemblage de la station et sa maintenance. Compte tenu de la taille de la station, de l'origine multinationale de ses composants et de la diversité des besoins, plusieurs bras ont été installés.</w:t>
      </w:r>
    </w:p>
    <w:p w14:paraId="1C48A0CE" w14:textId="439E020E"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 bras </w:t>
      </w:r>
      <w:proofErr w:type="spellStart"/>
      <w:r w:rsidRPr="00705F1D">
        <w:rPr>
          <w:rFonts w:asciiTheme="minorHAnsi" w:eastAsiaTheme="minorHAnsi" w:hAnsiTheme="minorHAnsi" w:cstheme="minorBidi"/>
          <w:sz w:val="22"/>
          <w:szCs w:val="22"/>
          <w:lang w:eastAsia="en-US"/>
        </w:rPr>
        <w:t>Canadarm</w:t>
      </w:r>
      <w:proofErr w:type="spellEnd"/>
      <w:r w:rsidRPr="00705F1D">
        <w:rPr>
          <w:rFonts w:asciiTheme="minorHAnsi" w:eastAsiaTheme="minorHAnsi" w:hAnsiTheme="minorHAnsi" w:cstheme="minorBidi"/>
          <w:sz w:val="22"/>
          <w:szCs w:val="22"/>
          <w:lang w:eastAsia="en-US"/>
        </w:rPr>
        <w:t xml:space="preserve"> 2 est le plus important des systèmes de ce type présents dans la station et constitue la principale contribution du Canada. C'est une version plus puissante du bras </w:t>
      </w:r>
      <w:proofErr w:type="spellStart"/>
      <w:r w:rsidRPr="00705F1D">
        <w:rPr>
          <w:rFonts w:asciiTheme="minorHAnsi" w:eastAsiaTheme="minorHAnsi" w:hAnsiTheme="minorHAnsi" w:cstheme="minorBidi"/>
          <w:sz w:val="22"/>
          <w:szCs w:val="22"/>
          <w:lang w:eastAsia="en-US"/>
        </w:rPr>
        <w:t>Canadarm</w:t>
      </w:r>
      <w:proofErr w:type="spellEnd"/>
      <w:r w:rsidRPr="00705F1D">
        <w:rPr>
          <w:rFonts w:asciiTheme="minorHAnsi" w:eastAsiaTheme="minorHAnsi" w:hAnsiTheme="minorHAnsi" w:cstheme="minorBidi"/>
          <w:sz w:val="22"/>
          <w:szCs w:val="22"/>
          <w:lang w:eastAsia="en-US"/>
        </w:rPr>
        <w:t xml:space="preserve"> installé sur la navette spatiale américaine. Long de près de 17,6 mètres, il dispose de 7 articulations motorisées et est capable de déplacer des charges de 116 tonnes. Il est généralement fixé sur un chariot - le Mobile </w:t>
      </w:r>
      <w:proofErr w:type="spellStart"/>
      <w:r w:rsidRPr="00705F1D">
        <w:rPr>
          <w:rFonts w:asciiTheme="minorHAnsi" w:eastAsiaTheme="minorHAnsi" w:hAnsiTheme="minorHAnsi" w:cstheme="minorBidi"/>
          <w:sz w:val="22"/>
          <w:szCs w:val="22"/>
          <w:lang w:eastAsia="en-US"/>
        </w:rPr>
        <w:t>Remote</w:t>
      </w:r>
      <w:proofErr w:type="spellEnd"/>
      <w:r w:rsidRPr="00705F1D">
        <w:rPr>
          <w:rFonts w:asciiTheme="minorHAnsi" w:eastAsiaTheme="minorHAnsi" w:hAnsiTheme="minorHAnsi" w:cstheme="minorBidi"/>
          <w:sz w:val="22"/>
          <w:szCs w:val="22"/>
          <w:lang w:eastAsia="en-US"/>
        </w:rPr>
        <w:t xml:space="preserve"> </w:t>
      </w:r>
      <w:proofErr w:type="spellStart"/>
      <w:r w:rsidRPr="00705F1D">
        <w:rPr>
          <w:rFonts w:asciiTheme="minorHAnsi" w:eastAsiaTheme="minorHAnsi" w:hAnsiTheme="minorHAnsi" w:cstheme="minorBidi"/>
          <w:sz w:val="22"/>
          <w:szCs w:val="22"/>
          <w:lang w:eastAsia="en-US"/>
        </w:rPr>
        <w:t>Servicer</w:t>
      </w:r>
      <w:proofErr w:type="spellEnd"/>
      <w:r w:rsidRPr="00705F1D">
        <w:rPr>
          <w:rFonts w:asciiTheme="minorHAnsi" w:eastAsiaTheme="minorHAnsi" w:hAnsiTheme="minorHAnsi" w:cstheme="minorBidi"/>
          <w:sz w:val="22"/>
          <w:szCs w:val="22"/>
          <w:lang w:eastAsia="en-US"/>
        </w:rPr>
        <w:t xml:space="preserve"> MRS - qui se déplace le long de la poutre mais l'embase présente à ses deux extrémités peut être également attachée à un des points d'accrochage répartis sur la station : les Power Data </w:t>
      </w:r>
      <w:proofErr w:type="spellStart"/>
      <w:r w:rsidRPr="00705F1D">
        <w:rPr>
          <w:rFonts w:asciiTheme="minorHAnsi" w:eastAsiaTheme="minorHAnsi" w:hAnsiTheme="minorHAnsi" w:cstheme="minorBidi"/>
          <w:sz w:val="22"/>
          <w:szCs w:val="22"/>
          <w:lang w:eastAsia="en-US"/>
        </w:rPr>
        <w:t>Grapple</w:t>
      </w:r>
      <w:proofErr w:type="spellEnd"/>
      <w:r w:rsidRPr="00705F1D">
        <w:rPr>
          <w:rFonts w:asciiTheme="minorHAnsi" w:eastAsiaTheme="minorHAnsi" w:hAnsiTheme="minorHAnsi" w:cstheme="minorBidi"/>
          <w:sz w:val="22"/>
          <w:szCs w:val="22"/>
          <w:lang w:eastAsia="en-US"/>
        </w:rPr>
        <w:t xml:space="preserve"> PDGF lui fournissent énergie électrique et des liaisons vidéo et informatiques. Il peut changer de point d'accrochage en se déplaçant comme une chenille : cette mobilité combinée à sa grande longueur lui permet d'atteindre une grande partie des installations. Mis en place en 2006, il a depuis été particulièrement sollicité pour la mise en place des principaux éléments de la station. Il a reçu en 2008 une extension, le (Dextre (SPDM)), beaucoup plus précise (15 degrés de liberté), permettant des manipulations exigeant une grande dextérité lorsque la masse ne dépasse pas 600 kg. Dextre peut soit prolonger le bras </w:t>
      </w:r>
      <w:proofErr w:type="spellStart"/>
      <w:r w:rsidRPr="00705F1D">
        <w:rPr>
          <w:rFonts w:asciiTheme="minorHAnsi" w:eastAsiaTheme="minorHAnsi" w:hAnsiTheme="minorHAnsi" w:cstheme="minorBidi"/>
          <w:sz w:val="22"/>
          <w:szCs w:val="22"/>
          <w:lang w:eastAsia="en-US"/>
        </w:rPr>
        <w:t>Canadarm</w:t>
      </w:r>
      <w:proofErr w:type="spellEnd"/>
      <w:r w:rsidRPr="00705F1D">
        <w:rPr>
          <w:rFonts w:asciiTheme="minorHAnsi" w:eastAsiaTheme="minorHAnsi" w:hAnsiTheme="minorHAnsi" w:cstheme="minorBidi"/>
          <w:sz w:val="22"/>
          <w:szCs w:val="22"/>
          <w:lang w:eastAsia="en-US"/>
        </w:rPr>
        <w:t xml:space="preserve"> 2 soit fonctionner de manière autonome en s'ancrant sur un des points d'accrochage de la station. Le bras Canadarm2 peut être contrôlé depuis deux postes de travail mobiles situés dans la station. Un de ces postes est situé dans la </w:t>
      </w:r>
      <w:proofErr w:type="spellStart"/>
      <w:r w:rsidRPr="00705F1D">
        <w:rPr>
          <w:rFonts w:asciiTheme="minorHAnsi" w:eastAsiaTheme="minorHAnsi" w:hAnsiTheme="minorHAnsi" w:cstheme="minorBidi"/>
          <w:sz w:val="22"/>
          <w:szCs w:val="22"/>
          <w:lang w:eastAsia="en-US"/>
        </w:rPr>
        <w:t>Cupola</w:t>
      </w:r>
      <w:proofErr w:type="spellEnd"/>
      <w:r w:rsidRPr="00705F1D">
        <w:rPr>
          <w:rFonts w:asciiTheme="minorHAnsi" w:eastAsiaTheme="minorHAnsi" w:hAnsiTheme="minorHAnsi" w:cstheme="minorBidi"/>
          <w:sz w:val="22"/>
          <w:szCs w:val="22"/>
          <w:lang w:eastAsia="en-US"/>
        </w:rPr>
        <w:t>, qui fournit une vue directe sur une grande partie de la station à l'opérateur. Ce dernier peut également travailler en utilisant les images restituées par des caméras installées sur le bras ainsi que les données fournies par des capteurs.</w:t>
      </w:r>
    </w:p>
    <w:p w14:paraId="027B65C4" w14:textId="3E4C6CC5"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Les deux bras télémanipulateurs russes </w:t>
      </w:r>
      <w:proofErr w:type="spellStart"/>
      <w:r w:rsidRPr="00705F1D">
        <w:rPr>
          <w:rFonts w:asciiTheme="minorHAnsi" w:eastAsiaTheme="minorHAnsi" w:hAnsiTheme="minorHAnsi" w:cstheme="minorBidi"/>
          <w:sz w:val="22"/>
          <w:szCs w:val="22"/>
          <w:lang w:eastAsia="en-US"/>
        </w:rPr>
        <w:t>Strela</w:t>
      </w:r>
      <w:proofErr w:type="spellEnd"/>
      <w:r w:rsidRPr="00705F1D">
        <w:rPr>
          <w:rFonts w:asciiTheme="minorHAnsi" w:eastAsiaTheme="minorHAnsi" w:hAnsiTheme="minorHAnsi" w:cstheme="minorBidi"/>
          <w:sz w:val="22"/>
          <w:szCs w:val="22"/>
          <w:lang w:eastAsia="en-US"/>
        </w:rPr>
        <w:t xml:space="preserve"> sont installés sur le module </w:t>
      </w:r>
      <w:proofErr w:type="spellStart"/>
      <w:r w:rsidRPr="00705F1D">
        <w:rPr>
          <w:rFonts w:asciiTheme="minorHAnsi" w:eastAsiaTheme="minorHAnsi" w:hAnsiTheme="minorHAnsi" w:cstheme="minorBidi"/>
          <w:sz w:val="22"/>
          <w:szCs w:val="22"/>
          <w:lang w:eastAsia="en-US"/>
        </w:rPr>
        <w:t>Pirs</w:t>
      </w:r>
      <w:proofErr w:type="spellEnd"/>
      <w:r w:rsidRPr="00705F1D">
        <w:rPr>
          <w:rFonts w:asciiTheme="minorHAnsi" w:eastAsiaTheme="minorHAnsi" w:hAnsiTheme="minorHAnsi" w:cstheme="minorBidi"/>
          <w:sz w:val="22"/>
          <w:szCs w:val="22"/>
          <w:lang w:eastAsia="en-US"/>
        </w:rPr>
        <w:t xml:space="preserve">. L'un d'entre eux permet d'intervenir sur le module </w:t>
      </w:r>
      <w:proofErr w:type="spellStart"/>
      <w:r w:rsidRPr="00705F1D">
        <w:rPr>
          <w:rFonts w:asciiTheme="minorHAnsi" w:eastAsiaTheme="minorHAnsi" w:hAnsiTheme="minorHAnsi" w:cstheme="minorBidi"/>
          <w:sz w:val="22"/>
          <w:szCs w:val="22"/>
          <w:lang w:eastAsia="en-US"/>
        </w:rPr>
        <w:t>Zarya</w:t>
      </w:r>
      <w:proofErr w:type="spellEnd"/>
      <w:r w:rsidRPr="00705F1D">
        <w:rPr>
          <w:rFonts w:asciiTheme="minorHAnsi" w:eastAsiaTheme="minorHAnsi" w:hAnsiTheme="minorHAnsi" w:cstheme="minorBidi"/>
          <w:sz w:val="22"/>
          <w:szCs w:val="22"/>
          <w:lang w:eastAsia="en-US"/>
        </w:rPr>
        <w:t xml:space="preserve"> tandis que l'autre permet d'atteindre </w:t>
      </w:r>
      <w:proofErr w:type="spellStart"/>
      <w:r w:rsidRPr="00705F1D">
        <w:rPr>
          <w:rFonts w:asciiTheme="minorHAnsi" w:eastAsiaTheme="minorHAnsi" w:hAnsiTheme="minorHAnsi" w:cstheme="minorBidi"/>
          <w:sz w:val="22"/>
          <w:szCs w:val="22"/>
          <w:lang w:eastAsia="en-US"/>
        </w:rPr>
        <w:t>Zvezda</w:t>
      </w:r>
      <w:proofErr w:type="spellEnd"/>
      <w:r w:rsidRPr="00705F1D">
        <w:rPr>
          <w:rFonts w:asciiTheme="minorHAnsi" w:eastAsiaTheme="minorHAnsi" w:hAnsiTheme="minorHAnsi" w:cstheme="minorBidi"/>
          <w:sz w:val="22"/>
          <w:szCs w:val="22"/>
          <w:lang w:eastAsia="en-US"/>
        </w:rPr>
        <w:t>. Le Bras télémanipulateur européen (ERA en anglais) a une longueur de onze mètres pour une masse de 630 kg et est capable de déplacer des charges pesant jusqu'à huit tonnes. Il dispose de 7 degrés de liberté. Il doit être amené prochainement par un lanceur Proton avec le module russe </w:t>
      </w:r>
      <w:proofErr w:type="spellStart"/>
      <w:r w:rsidRPr="00705F1D">
        <w:rPr>
          <w:rFonts w:asciiTheme="minorHAnsi" w:eastAsiaTheme="minorHAnsi" w:hAnsiTheme="minorHAnsi" w:cstheme="minorBidi"/>
          <w:sz w:val="22"/>
          <w:szCs w:val="22"/>
          <w:lang w:eastAsia="en-US"/>
        </w:rPr>
        <w:t>Nauka</w:t>
      </w:r>
      <w:proofErr w:type="spellEnd"/>
      <w:r w:rsidRPr="00705F1D">
        <w:rPr>
          <w:rFonts w:asciiTheme="minorHAnsi" w:eastAsiaTheme="minorHAnsi" w:hAnsiTheme="minorHAnsi" w:cstheme="minorBidi"/>
          <w:sz w:val="22"/>
          <w:szCs w:val="22"/>
          <w:lang w:eastAsia="en-US"/>
        </w:rPr>
        <w:t xml:space="preserve">. L'ERA prendra alors en charge les interventions sur les modules russes. Les deux extrémités du bras peuvent se fixer sur les points d'attache dispersés à la surface de la station ou sur le chariot mobile comme le bras </w:t>
      </w:r>
      <w:proofErr w:type="spellStart"/>
      <w:r w:rsidRPr="00705F1D">
        <w:rPr>
          <w:rFonts w:asciiTheme="minorHAnsi" w:eastAsiaTheme="minorHAnsi" w:hAnsiTheme="minorHAnsi" w:cstheme="minorBidi"/>
          <w:sz w:val="22"/>
          <w:szCs w:val="22"/>
          <w:lang w:eastAsia="en-US"/>
        </w:rPr>
        <w:t>Canadarm</w:t>
      </w:r>
      <w:proofErr w:type="spellEnd"/>
      <w:r w:rsidRPr="00705F1D">
        <w:rPr>
          <w:rFonts w:asciiTheme="minorHAnsi" w:eastAsiaTheme="minorHAnsi" w:hAnsiTheme="minorHAnsi" w:cstheme="minorBidi"/>
          <w:sz w:val="22"/>
          <w:szCs w:val="22"/>
          <w:lang w:eastAsia="en-US"/>
        </w:rPr>
        <w:t xml:space="preserve"> 2. Les deux extrémités ont les mêmes capacités et peuvent donc tour à tour servir de point d'ancrage ce qui permet au bras de se déplacer à la surface de la station sans intervention humaine. Les cosmonautes peuvent le contrôler depuis l'intérieur de la station spatiale mais également depuis l'extérieur. Le bras, qui est équipé de caméras vidéo, permet d'attraper des objets munis du système d'accrochage adéquat ou utiliser un outil multi-tâches. L'opérateur utilise un poste de travail mobile.</w:t>
      </w:r>
    </w:p>
    <w:p w14:paraId="404130C0" w14:textId="7C731C96"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Il existe également un bras associé à la palette japonaise (JEM-RMS) située à l'extérieur du laboratoire </w:t>
      </w:r>
      <w:proofErr w:type="spellStart"/>
      <w:r w:rsidRPr="00705F1D">
        <w:rPr>
          <w:rFonts w:asciiTheme="minorHAnsi" w:eastAsiaTheme="minorHAnsi" w:hAnsiTheme="minorHAnsi" w:cstheme="minorBidi"/>
          <w:sz w:val="22"/>
          <w:szCs w:val="22"/>
          <w:lang w:eastAsia="en-US"/>
        </w:rPr>
        <w:t>Kibo</w:t>
      </w:r>
      <w:proofErr w:type="spellEnd"/>
      <w:r w:rsidRPr="00705F1D">
        <w:rPr>
          <w:rFonts w:asciiTheme="minorHAnsi" w:eastAsiaTheme="minorHAnsi" w:hAnsiTheme="minorHAnsi" w:cstheme="minorBidi"/>
          <w:sz w:val="22"/>
          <w:szCs w:val="22"/>
          <w:lang w:eastAsia="en-US"/>
        </w:rPr>
        <w:t xml:space="preserve"> qui héberge les expériences pouvant être exposées dans le vide. Cet outil est composé d'un premier bras de 10 mètres disposant de 6 degrés de liberté et d'un petit bras. Il est commandé depuis un poste de contrôle installé dans le module </w:t>
      </w:r>
      <w:proofErr w:type="spellStart"/>
      <w:r w:rsidRPr="00705F1D">
        <w:rPr>
          <w:rFonts w:asciiTheme="minorHAnsi" w:eastAsiaTheme="minorHAnsi" w:hAnsiTheme="minorHAnsi" w:cstheme="minorBidi"/>
          <w:sz w:val="22"/>
          <w:szCs w:val="22"/>
          <w:lang w:eastAsia="en-US"/>
        </w:rPr>
        <w:t>Kibo</w:t>
      </w:r>
      <w:proofErr w:type="spellEnd"/>
      <w:r w:rsidRPr="00705F1D">
        <w:rPr>
          <w:rFonts w:asciiTheme="minorHAnsi" w:eastAsiaTheme="minorHAnsi" w:hAnsiTheme="minorHAnsi" w:cstheme="minorBidi"/>
          <w:sz w:val="22"/>
          <w:szCs w:val="22"/>
          <w:lang w:eastAsia="en-US"/>
        </w:rPr>
        <w:t>. L'opérateur dispose de deux hublots fournissant une vue directe sur la palette57. De 2011 à 2018, un système de manipulation à distance de forme anthropomorphique, </w:t>
      </w:r>
      <w:proofErr w:type="spellStart"/>
      <w:r w:rsidRPr="00705F1D">
        <w:rPr>
          <w:rFonts w:asciiTheme="minorHAnsi" w:eastAsiaTheme="minorHAnsi" w:hAnsiTheme="minorHAnsi" w:cstheme="minorBidi"/>
          <w:sz w:val="22"/>
          <w:szCs w:val="22"/>
          <w:lang w:eastAsia="en-US"/>
        </w:rPr>
        <w:t>Robonaut</w:t>
      </w:r>
      <w:proofErr w:type="spellEnd"/>
      <w:r w:rsidRPr="00705F1D">
        <w:rPr>
          <w:rFonts w:asciiTheme="minorHAnsi" w:eastAsiaTheme="minorHAnsi" w:hAnsiTheme="minorHAnsi" w:cstheme="minorBidi"/>
          <w:sz w:val="22"/>
          <w:szCs w:val="22"/>
          <w:lang w:eastAsia="en-US"/>
        </w:rPr>
        <w:t xml:space="preserve"> 2, a été à bord de la station pour des tests opérationnels. Par rapport aux bras existants, il dispose de 43 degrés de liberté et permet au téléopérateur de le </w:t>
      </w:r>
      <w:r w:rsidRPr="00705F1D">
        <w:rPr>
          <w:rFonts w:asciiTheme="minorHAnsi" w:eastAsiaTheme="minorHAnsi" w:hAnsiTheme="minorHAnsi" w:cstheme="minorBidi"/>
          <w:sz w:val="22"/>
          <w:szCs w:val="22"/>
          <w:lang w:eastAsia="en-US"/>
        </w:rPr>
        <w:lastRenderedPageBreak/>
        <w:t>manipuler à l'aide de gants et un casque par le biais d'un système de réalité virtuelle. Il pourrait repartir vers le complexe orbital une fois réparé.</w:t>
      </w:r>
    </w:p>
    <w:p w14:paraId="1FF81775" w14:textId="19285D2F"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En juin 2018, un robot doté d'une intelligence artificielle, CIMON a été lancé sur le cargo Dragon CRS-15 vers l'ISS.</w:t>
      </w:r>
    </w:p>
    <w:p w14:paraId="754B2DCD" w14:textId="6F4D0449" w:rsidR="00B90DCA" w:rsidRPr="00705F1D" w:rsidRDefault="00B90DCA" w:rsidP="00705F1D">
      <w:pPr>
        <w:pStyle w:val="Titre2"/>
        <w:rPr>
          <w:b/>
          <w:bCs/>
        </w:rPr>
      </w:pPr>
      <w:bookmarkStart w:id="68" w:name="_Toc133137855"/>
      <w:bookmarkStart w:id="69" w:name="_Toc133137897"/>
      <w:r w:rsidRPr="00705F1D">
        <w:rPr>
          <w:rStyle w:val="mw-headline"/>
          <w:b/>
          <w:bCs/>
        </w:rPr>
        <w:t>Énergie</w:t>
      </w:r>
      <w:bookmarkEnd w:id="68"/>
      <w:bookmarkEnd w:id="69"/>
    </w:p>
    <w:p w14:paraId="602912CC" w14:textId="7E64DB6D" w:rsidR="00B90DCA" w:rsidRPr="00705F1D" w:rsidRDefault="00705F1D"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1"/>
          <w:szCs w:val="21"/>
        </w:rPr>
        <w:drawing>
          <wp:anchor distT="0" distB="0" distL="114300" distR="114300" simplePos="0" relativeHeight="251677696" behindDoc="0" locked="0" layoutInCell="1" allowOverlap="1" wp14:anchorId="75D63993" wp14:editId="3E319494">
            <wp:simplePos x="0" y="0"/>
            <wp:positionH relativeFrom="column">
              <wp:posOffset>3504565</wp:posOffset>
            </wp:positionH>
            <wp:positionV relativeFrom="paragraph">
              <wp:posOffset>2548255</wp:posOffset>
            </wp:positionV>
            <wp:extent cx="2804160" cy="1861185"/>
            <wp:effectExtent l="0" t="0" r="0" b="5715"/>
            <wp:wrapSquare wrapText="bothSides"/>
            <wp:docPr id="1126004767" name="Image 44" descr="Les panneaux du système de régulation thermique">
              <a:hlinkClick xmlns:a="http://schemas.openxmlformats.org/drawingml/2006/main" r:id="rId100" tooltip="&quot;Les panneaux du système de régulation thermiq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es panneaux du système de régulation thermique">
                      <a:hlinkClick r:id="rId100" tooltip="&quot;Les panneaux du système de régulation thermique&quo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804160" cy="1861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5054B4A1" wp14:editId="54856DE8">
                <wp:simplePos x="0" y="0"/>
                <wp:positionH relativeFrom="column">
                  <wp:posOffset>3496945</wp:posOffset>
                </wp:positionH>
                <wp:positionV relativeFrom="paragraph">
                  <wp:posOffset>2005330</wp:posOffset>
                </wp:positionV>
                <wp:extent cx="2811780" cy="635"/>
                <wp:effectExtent l="0" t="0" r="0" b="0"/>
                <wp:wrapSquare wrapText="bothSides"/>
                <wp:docPr id="992358055" name="Zone de texte 1"/>
                <wp:cNvGraphicFramePr/>
                <a:graphic xmlns:a="http://schemas.openxmlformats.org/drawingml/2006/main">
                  <a:graphicData uri="http://schemas.microsoft.com/office/word/2010/wordprocessingShape">
                    <wps:wsp>
                      <wps:cNvSpPr txBox="1"/>
                      <wps:spPr>
                        <a:xfrm>
                          <a:off x="0" y="0"/>
                          <a:ext cx="2811780" cy="635"/>
                        </a:xfrm>
                        <a:prstGeom prst="rect">
                          <a:avLst/>
                        </a:prstGeom>
                        <a:solidFill>
                          <a:prstClr val="white"/>
                        </a:solidFill>
                        <a:ln>
                          <a:noFill/>
                        </a:ln>
                      </wps:spPr>
                      <wps:txbx>
                        <w:txbxContent>
                          <w:p w14:paraId="3D0EBD2F" w14:textId="7316AF9C" w:rsidR="00705F1D" w:rsidRPr="00561F61" w:rsidRDefault="00705F1D" w:rsidP="00705F1D">
                            <w:pPr>
                              <w:pStyle w:val="Lgende"/>
                              <w:rPr>
                                <w:rFonts w:ascii="Arial" w:eastAsia="Times New Roman" w:hAnsi="Arial" w:cs="Arial"/>
                                <w:noProof/>
                                <w:color w:val="3366CC"/>
                                <w:sz w:val="21"/>
                                <w:szCs w:val="21"/>
                              </w:rPr>
                            </w:pPr>
                            <w:r>
                              <w:t xml:space="preserve">Figure </w:t>
                            </w:r>
                            <w:fldSimple w:instr=" SEQ Figure \* ARABIC ">
                              <w:r>
                                <w:rPr>
                                  <w:noProof/>
                                </w:rPr>
                                <w:t>2</w:t>
                              </w:r>
                            </w:fldSimple>
                            <w:r>
                              <w:t xml:space="preserve">: </w:t>
                            </w:r>
                            <w:r w:rsidRPr="009226B9">
                              <w:t>Aperçu de deux des panneaux solaires doubles. L'astronaute Steve Bowen, de la mission STS-126, qui travaille sur la poutre, donne l'échelle.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4B4A1" id="_x0000_s1028" type="#_x0000_t202" style="position:absolute;left:0;text-align:left;margin-left:275.35pt;margin-top:157.9pt;width:221.4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EtIGQIAAD8EAAAOAAAAZHJzL2Uyb0RvYy54bWysU01v2zAMvQ/YfxB0X5xkWFcY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X8djb7fEsuSb6bj59i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" stroked="f">
                <v:textbox style="mso-fit-shape-to-text:t" inset="0,0,0,0">
                  <w:txbxContent>
                    <w:p w14:paraId="3D0EBD2F" w14:textId="7316AF9C" w:rsidR="00705F1D" w:rsidRPr="00561F61" w:rsidRDefault="00705F1D" w:rsidP="00705F1D">
                      <w:pPr>
                        <w:pStyle w:val="Lgende"/>
                        <w:rPr>
                          <w:rFonts w:ascii="Arial" w:eastAsia="Times New Roman" w:hAnsi="Arial" w:cs="Arial"/>
                          <w:noProof/>
                          <w:color w:val="3366CC"/>
                          <w:sz w:val="21"/>
                          <w:szCs w:val="21"/>
                        </w:rPr>
                      </w:pPr>
                      <w:r>
                        <w:t xml:space="preserve">Figure </w:t>
                      </w:r>
                      <w:fldSimple w:instr=" SEQ Figure \* ARABIC ">
                        <w:r>
                          <w:rPr>
                            <w:noProof/>
                          </w:rPr>
                          <w:t>2</w:t>
                        </w:r>
                      </w:fldSimple>
                      <w:r>
                        <w:t xml:space="preserve">: </w:t>
                      </w:r>
                      <w:r w:rsidRPr="009226B9">
                        <w:t>Aperçu de deux des panneaux solaires doubles. L'astronaute Steve Bowen, de la mission STS-126, qui travaille sur la poutre, donne l'échelle.</w:t>
                      </w:r>
                    </w:p>
                  </w:txbxContent>
                </v:textbox>
                <w10:wrap type="square"/>
              </v:shape>
            </w:pict>
          </mc:Fallback>
        </mc:AlternateContent>
      </w:r>
      <w:r>
        <w:rPr>
          <w:rFonts w:ascii="Arial" w:hAnsi="Arial" w:cs="Arial"/>
          <w:noProof/>
          <w:color w:val="3366CC"/>
          <w:sz w:val="21"/>
          <w:szCs w:val="21"/>
        </w:rPr>
        <w:drawing>
          <wp:anchor distT="0" distB="0" distL="114300" distR="114300" simplePos="0" relativeHeight="251674624" behindDoc="0" locked="0" layoutInCell="1" allowOverlap="1" wp14:anchorId="3495E746" wp14:editId="59D220A4">
            <wp:simplePos x="0" y="0"/>
            <wp:positionH relativeFrom="margin">
              <wp:posOffset>3496945</wp:posOffset>
            </wp:positionH>
            <wp:positionV relativeFrom="paragraph">
              <wp:posOffset>82550</wp:posOffset>
            </wp:positionV>
            <wp:extent cx="2811780" cy="1865630"/>
            <wp:effectExtent l="0" t="0" r="7620" b="1270"/>
            <wp:wrapSquare wrapText="bothSides"/>
            <wp:docPr id="1879591459" name="Image 45" descr="Aperçu de deux des panneaux solaires doubles. L'astronaute Steve Bowen, de la mission STS-126, qui travaille sur la poutre, donne l'échelle.">
              <a:hlinkClick xmlns:a="http://schemas.openxmlformats.org/drawingml/2006/main" r:id="rId102" tooltip="&quot;Aperçu de deux des panneaux solaires doubles. L'astronaute Steve Bowen, de la mission STS-126, qui travaille sur la poutre, donne l'échel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perçu de deux des panneaux solaires doubles. L'astronaute Steve Bowen, de la mission STS-126, qui travaille sur la poutre, donne l'échelle.">
                      <a:hlinkClick r:id="rId102" tooltip="&quot;Aperçu de deux des panneaux solaires doubles. L'astronaute Steve Bowen, de la mission STS-126, qui travaille sur la poutre, donne l'échelle.&quo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11780" cy="1865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DCA" w:rsidRPr="00705F1D">
        <w:rPr>
          <w:rFonts w:asciiTheme="minorHAnsi" w:eastAsiaTheme="minorHAnsi" w:hAnsiTheme="minorHAnsi" w:cstheme="minorBidi"/>
          <w:sz w:val="22"/>
          <w:szCs w:val="22"/>
          <w:lang w:eastAsia="en-US"/>
        </w:rPr>
        <w:t xml:space="preserve">L'énergie est vitale pour le fonctionnement de la station spatiale et la survie de ses occupants : par ailleurs elle conditionne souvent la réalisation des expériences scientifiques. Pour la partie non russe de la station, l'énergie provient des panneaux solaires photovoltaïques installés sur la poutre de la station. Sur celle-ci, huit panneaux solaires doubles (Solar </w:t>
      </w:r>
      <w:proofErr w:type="spellStart"/>
      <w:r w:rsidR="00B90DCA" w:rsidRPr="00705F1D">
        <w:rPr>
          <w:rFonts w:asciiTheme="minorHAnsi" w:eastAsiaTheme="minorHAnsi" w:hAnsiTheme="minorHAnsi" w:cstheme="minorBidi"/>
          <w:sz w:val="22"/>
          <w:szCs w:val="22"/>
          <w:lang w:eastAsia="en-US"/>
        </w:rPr>
        <w:t>Array</w:t>
      </w:r>
      <w:proofErr w:type="spellEnd"/>
      <w:r w:rsidR="00B90DCA" w:rsidRPr="00705F1D">
        <w:rPr>
          <w:rFonts w:asciiTheme="minorHAnsi" w:eastAsiaTheme="minorHAnsi" w:hAnsiTheme="minorHAnsi" w:cstheme="minorBidi"/>
          <w:sz w:val="22"/>
          <w:szCs w:val="22"/>
          <w:lang w:eastAsia="en-US"/>
        </w:rPr>
        <w:t xml:space="preserve"> Wing ou « SAW ») sont installés de part et d'autre des éléments de poutre P3/P4, S3/S4, P5/P6 et S5/S6. Un « SAW » comporte deux panneaux composés chacun de 16 400 cellules photovoltaïques maintenus en position par un mât formant un ensemble long de 34 mètres, large de 12 mètres et pouvant produire chacun jusqu'à 32,8 kW de courant continu. Le courant est régulé à 160 volts, puis converti à une tension de 120 volts (pour faire face aux baisses d'alimentation), avant d'être convoyé jusqu'aux différents équipements utilisateurs. Les équipements de régulation du courant sont refroidis à l'aide d'un circuit dans lequel circule un fluide caloporteur (de l'ammoniac), qui évacue la chaleur grâce à un ensemble de radiateurs attachés à chaque élément de poutre porteur de panneaux solaires. Chacun de ces quatre radiateurs photovoltaïques (PVR), comportant sept éléments d'une surface totale de 13 mètres sur 3,4 mètres et pesant 0,8 tonnes, permet d'évacuer jusqu'à 9 kW d'énergie.</w:t>
      </w:r>
    </w:p>
    <w:p w14:paraId="22C309BB" w14:textId="3AE19A81" w:rsidR="00B90DCA" w:rsidRPr="00705F1D" w:rsidRDefault="00705F1D"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noProof/>
        </w:rPr>
        <mc:AlternateContent>
          <mc:Choice Requires="wps">
            <w:drawing>
              <wp:anchor distT="0" distB="0" distL="114300" distR="114300" simplePos="0" relativeHeight="251679744" behindDoc="0" locked="0" layoutInCell="1" allowOverlap="1" wp14:anchorId="2B83A10F" wp14:editId="0E58B400">
                <wp:simplePos x="0" y="0"/>
                <wp:positionH relativeFrom="column">
                  <wp:posOffset>3496945</wp:posOffset>
                </wp:positionH>
                <wp:positionV relativeFrom="paragraph">
                  <wp:posOffset>8255</wp:posOffset>
                </wp:positionV>
                <wp:extent cx="2804160" cy="635"/>
                <wp:effectExtent l="0" t="0" r="0" b="0"/>
                <wp:wrapSquare wrapText="bothSides"/>
                <wp:docPr id="1738224381" name="Zone de texte 1"/>
                <wp:cNvGraphicFramePr/>
                <a:graphic xmlns:a="http://schemas.openxmlformats.org/drawingml/2006/main">
                  <a:graphicData uri="http://schemas.microsoft.com/office/word/2010/wordprocessingShape">
                    <wps:wsp>
                      <wps:cNvSpPr txBox="1"/>
                      <wps:spPr>
                        <a:xfrm>
                          <a:off x="0" y="0"/>
                          <a:ext cx="2804160" cy="635"/>
                        </a:xfrm>
                        <a:prstGeom prst="rect">
                          <a:avLst/>
                        </a:prstGeom>
                        <a:solidFill>
                          <a:prstClr val="white"/>
                        </a:solidFill>
                        <a:ln>
                          <a:noFill/>
                        </a:ln>
                      </wps:spPr>
                      <wps:txbx>
                        <w:txbxContent>
                          <w:p w14:paraId="4DF3D67B" w14:textId="77F4B83C" w:rsidR="00705F1D" w:rsidRPr="007C347B" w:rsidRDefault="00705F1D" w:rsidP="00705F1D">
                            <w:pPr>
                              <w:pStyle w:val="Lgende"/>
                              <w:rPr>
                                <w:rFonts w:ascii="Arial" w:eastAsia="Times New Roman" w:hAnsi="Arial" w:cs="Arial"/>
                                <w:noProof/>
                                <w:color w:val="3366CC"/>
                                <w:sz w:val="21"/>
                                <w:szCs w:val="21"/>
                              </w:rPr>
                            </w:pPr>
                            <w:r>
                              <w:t xml:space="preserve">Figure </w:t>
                            </w:r>
                            <w:fldSimple w:instr=" SEQ Figure \* ARABIC ">
                              <w:r>
                                <w:rPr>
                                  <w:noProof/>
                                </w:rPr>
                                <w:t>3</w:t>
                              </w:r>
                            </w:fldSimple>
                            <w:r>
                              <w:t xml:space="preserve">: </w:t>
                            </w:r>
                            <w:r w:rsidRPr="00433C6B">
                              <w:t>Les panneaux du système de régulation thermique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3A10F" id="_x0000_s1029" type="#_x0000_t202" style="position:absolute;left:0;text-align:left;margin-left:275.35pt;margin-top:.65pt;width:220.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lSGgIAAD8EAAAOAAAAZHJzL2Uyb0RvYy54bWysU8Fu2zAMvQ/YPwi6L07Sr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" stroked="f">
                <v:textbox style="mso-fit-shape-to-text:t" inset="0,0,0,0">
                  <w:txbxContent>
                    <w:p w14:paraId="4DF3D67B" w14:textId="77F4B83C" w:rsidR="00705F1D" w:rsidRPr="007C347B" w:rsidRDefault="00705F1D" w:rsidP="00705F1D">
                      <w:pPr>
                        <w:pStyle w:val="Lgende"/>
                        <w:rPr>
                          <w:rFonts w:ascii="Arial" w:eastAsia="Times New Roman" w:hAnsi="Arial" w:cs="Arial"/>
                          <w:noProof/>
                          <w:color w:val="3366CC"/>
                          <w:sz w:val="21"/>
                          <w:szCs w:val="21"/>
                        </w:rPr>
                      </w:pPr>
                      <w:r>
                        <w:t xml:space="preserve">Figure </w:t>
                      </w:r>
                      <w:fldSimple w:instr=" SEQ Figure \* ARABIC ">
                        <w:r>
                          <w:rPr>
                            <w:noProof/>
                          </w:rPr>
                          <w:t>3</w:t>
                        </w:r>
                      </w:fldSimple>
                      <w:r>
                        <w:t xml:space="preserve">: </w:t>
                      </w:r>
                      <w:r w:rsidRPr="00433C6B">
                        <w:t>Les panneaux du système de régulation thermique</w:t>
                      </w:r>
                    </w:p>
                  </w:txbxContent>
                </v:textbox>
                <w10:wrap type="square"/>
              </v:shape>
            </w:pict>
          </mc:Fallback>
        </mc:AlternateContent>
      </w:r>
      <w:r>
        <w:rPr>
          <w:rFonts w:ascii="Arial" w:hAnsi="Arial" w:cs="Arial"/>
          <w:noProof/>
          <w:color w:val="3366CC"/>
          <w:sz w:val="21"/>
          <w:szCs w:val="21"/>
        </w:rPr>
        <w:drawing>
          <wp:anchor distT="0" distB="0" distL="114300" distR="114300" simplePos="0" relativeHeight="251680768" behindDoc="0" locked="0" layoutInCell="1" allowOverlap="1" wp14:anchorId="366BB1BE" wp14:editId="44FBEC9A">
            <wp:simplePos x="0" y="0"/>
            <wp:positionH relativeFrom="column">
              <wp:posOffset>3504565</wp:posOffset>
            </wp:positionH>
            <wp:positionV relativeFrom="paragraph">
              <wp:posOffset>436880</wp:posOffset>
            </wp:positionV>
            <wp:extent cx="2796540" cy="1857375"/>
            <wp:effectExtent l="0" t="0" r="3810" b="9525"/>
            <wp:wrapSquare wrapText="bothSides"/>
            <wp:docPr id="1294505686" name="Image 43" descr="Les modules russes Rassvet et Pirs et un vaisseau Progress">
              <a:hlinkClick xmlns:a="http://schemas.openxmlformats.org/drawingml/2006/main" r:id="rId104" tooltip="&quot;Les modules russes Rassvet et Pirs et un vaisseau Progres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es modules russes Rassvet et Pirs et un vaisseau Progress">
                      <a:hlinkClick r:id="rId104" tooltip="&quot;Les modules russes Rassvet et Pirs et un vaisseau Progress&quot;"/>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796540" cy="1857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2816" behindDoc="0" locked="0" layoutInCell="1" allowOverlap="1" wp14:anchorId="57677B73" wp14:editId="38E1B084">
                <wp:simplePos x="0" y="0"/>
                <wp:positionH relativeFrom="column">
                  <wp:posOffset>3527425</wp:posOffset>
                </wp:positionH>
                <wp:positionV relativeFrom="paragraph">
                  <wp:posOffset>2366645</wp:posOffset>
                </wp:positionV>
                <wp:extent cx="2796540" cy="635"/>
                <wp:effectExtent l="0" t="0" r="0" b="0"/>
                <wp:wrapSquare wrapText="bothSides"/>
                <wp:docPr id="1879557800" name="Zone de texte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0C03CB33" w14:textId="46599606" w:rsidR="00705F1D" w:rsidRPr="00CF0CDE" w:rsidRDefault="00705F1D" w:rsidP="00705F1D">
                            <w:pPr>
                              <w:pStyle w:val="Lgende"/>
                              <w:rPr>
                                <w:rFonts w:ascii="Arial" w:eastAsia="Times New Roman" w:hAnsi="Arial" w:cs="Arial"/>
                                <w:noProof/>
                                <w:color w:val="3366CC"/>
                                <w:sz w:val="21"/>
                                <w:szCs w:val="21"/>
                              </w:rPr>
                            </w:pPr>
                            <w:r>
                              <w:t xml:space="preserve">Figure </w:t>
                            </w:r>
                            <w:fldSimple w:instr=" SEQ Figure \* ARABIC ">
                              <w:r>
                                <w:rPr>
                                  <w:noProof/>
                                </w:rPr>
                                <w:t>4</w:t>
                              </w:r>
                            </w:fldSimple>
                            <w:r>
                              <w:t xml:space="preserve">: </w:t>
                            </w:r>
                            <w:r w:rsidRPr="008D35B3">
                              <w:t xml:space="preserve">Les modules russes Rassvet et </w:t>
                            </w:r>
                            <w:proofErr w:type="spellStart"/>
                            <w:r w:rsidRPr="008D35B3">
                              <w:t>Pirs</w:t>
                            </w:r>
                            <w:proofErr w:type="spellEnd"/>
                            <w:r w:rsidRPr="008D35B3">
                              <w:t xml:space="preserve"> et un vaisseau Progress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677B73" id="_x0000_s1030" type="#_x0000_t202" style="position:absolute;left:0;text-align:left;margin-left:277.75pt;margin-top:186.35pt;width:220.2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9K2GgIAAD8EAAAOAAAAZHJzL2Uyb0RvYy54bWysU8Fu2zAMvQ/YPwi6L06yNt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" stroked="f">
                <v:textbox style="mso-fit-shape-to-text:t" inset="0,0,0,0">
                  <w:txbxContent>
                    <w:p w14:paraId="0C03CB33" w14:textId="46599606" w:rsidR="00705F1D" w:rsidRPr="00CF0CDE" w:rsidRDefault="00705F1D" w:rsidP="00705F1D">
                      <w:pPr>
                        <w:pStyle w:val="Lgende"/>
                        <w:rPr>
                          <w:rFonts w:ascii="Arial" w:eastAsia="Times New Roman" w:hAnsi="Arial" w:cs="Arial"/>
                          <w:noProof/>
                          <w:color w:val="3366CC"/>
                          <w:sz w:val="21"/>
                          <w:szCs w:val="21"/>
                        </w:rPr>
                      </w:pPr>
                      <w:r>
                        <w:t xml:space="preserve">Figure </w:t>
                      </w:r>
                      <w:fldSimple w:instr=" SEQ Figure \* ARABIC ">
                        <w:r>
                          <w:rPr>
                            <w:noProof/>
                          </w:rPr>
                          <w:t>4</w:t>
                        </w:r>
                      </w:fldSimple>
                      <w:r>
                        <w:t xml:space="preserve">: </w:t>
                      </w:r>
                      <w:r w:rsidRPr="008D35B3">
                        <w:t xml:space="preserve">Les modules russes Rassvet et </w:t>
                      </w:r>
                      <w:proofErr w:type="spellStart"/>
                      <w:r w:rsidRPr="008D35B3">
                        <w:t>Pirs</w:t>
                      </w:r>
                      <w:proofErr w:type="spellEnd"/>
                      <w:r w:rsidRPr="008D35B3">
                        <w:t xml:space="preserve"> et un vaisseau Progress</w:t>
                      </w:r>
                    </w:p>
                  </w:txbxContent>
                </v:textbox>
                <w10:wrap type="square"/>
              </v:shape>
            </w:pict>
          </mc:Fallback>
        </mc:AlternateContent>
      </w:r>
      <w:r w:rsidR="00B90DCA" w:rsidRPr="00705F1D">
        <w:rPr>
          <w:rFonts w:asciiTheme="minorHAnsi" w:eastAsiaTheme="minorHAnsi" w:hAnsiTheme="minorHAnsi" w:cstheme="minorBidi"/>
          <w:sz w:val="22"/>
          <w:szCs w:val="22"/>
          <w:lang w:eastAsia="en-US"/>
        </w:rPr>
        <w:t xml:space="preserve">Généralement, les panneaux solaires sont orientés de manière à maximiser l'énergie solaire. Deux types de joints tournants motorisés (alpha et bêta) permettent d'orienter les panneaux avec deux degrés de liberté. Si les impératifs de fourniture d'énergie ne sont pas prioritaires, les panneaux peuvent être orientés de manière à réduire la traînée. C'est la disposition généralement adoptée lorsque la station se trouve à l'ombre de la Terre (configuration « Night </w:t>
      </w:r>
      <w:proofErr w:type="spellStart"/>
      <w:r w:rsidR="00B90DCA" w:rsidRPr="00705F1D">
        <w:rPr>
          <w:rFonts w:asciiTheme="minorHAnsi" w:eastAsiaTheme="minorHAnsi" w:hAnsiTheme="minorHAnsi" w:cstheme="minorBidi"/>
          <w:sz w:val="22"/>
          <w:szCs w:val="22"/>
          <w:lang w:eastAsia="en-US"/>
        </w:rPr>
        <w:t>Glider</w:t>
      </w:r>
      <w:proofErr w:type="spellEnd"/>
      <w:r w:rsidR="00B90DCA" w:rsidRPr="00705F1D">
        <w:rPr>
          <w:rFonts w:asciiTheme="minorHAnsi" w:eastAsiaTheme="minorHAnsi" w:hAnsiTheme="minorHAnsi" w:cstheme="minorBidi"/>
          <w:sz w:val="22"/>
          <w:szCs w:val="22"/>
          <w:lang w:eastAsia="en-US"/>
        </w:rPr>
        <w:t xml:space="preserve"> mode »). Il peut toutefois arriver que la station déploie volontairement ce « frein aérodynamique » pour abaisser son orbite et permettre à un vaisseau lourdement chargé de l'atteindre plus facilement. Durant les éclipses, lorsque la Terre intercepte le flux lumineux, qui se produisent en moyenne durant un tiers d'une révolution de la station autour de la Terre, les panneaux solaires ne sont plus éclairés et la station utilise l'énergie stockée dans un ensemble de batteries nickel-hydrogène qui sont rechargées durant les périodes de « jour ».</w:t>
      </w:r>
    </w:p>
    <w:p w14:paraId="2F591ACF" w14:textId="367DC1A3"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lastRenderedPageBreak/>
        <w:t xml:space="preserve">Les panneaux solaires qui ont été conçus pour être utilisés durant 15 ans montrent des signes de vieillissement à la fin des années 2010 (la première paire a été installée début 2000 et les suivantes entre 2006 et 2009). La NASA a fait développer un nouveau type de panneau solaire souple déployable de 20 kW de puissance. Les cellules solaires ont un meilleur rendement, ils sont plus minces et donc plus souples et sont deux fois moins longs que les panneaux existants (6 m x 13.7 m). Un de ces panneaux est testé en orbite avec succès en 2017. Six de ces panneaux baptisés IROSA (ISS Roll-Out Solar </w:t>
      </w:r>
      <w:proofErr w:type="spellStart"/>
      <w:r w:rsidRPr="00705F1D">
        <w:rPr>
          <w:rFonts w:asciiTheme="minorHAnsi" w:eastAsiaTheme="minorHAnsi" w:hAnsiTheme="minorHAnsi" w:cstheme="minorBidi"/>
          <w:sz w:val="22"/>
          <w:szCs w:val="22"/>
          <w:lang w:eastAsia="en-US"/>
        </w:rPr>
        <w:t>Array</w:t>
      </w:r>
      <w:proofErr w:type="spellEnd"/>
      <w:r w:rsidRPr="00705F1D">
        <w:rPr>
          <w:rFonts w:asciiTheme="minorHAnsi" w:eastAsiaTheme="minorHAnsi" w:hAnsiTheme="minorHAnsi" w:cstheme="minorBidi"/>
          <w:sz w:val="22"/>
          <w:szCs w:val="22"/>
          <w:lang w:eastAsia="en-US"/>
        </w:rPr>
        <w:t>) doivent être installés à compter de 2021 devant six des panneaux solaires existants qu'ils masqueront sur la moitié de leur longueur. Ces nouveaux équipements devraient ajouter une puissance de 120 kilowatts aux 95 kW fournis par les panneaux solaires en place.</w:t>
      </w:r>
    </w:p>
    <w:p w14:paraId="67FE143B" w14:textId="63997BED"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La partie russe de la station est alimentée par 4 panneaux solaires installés sur les modules </w:t>
      </w:r>
      <w:proofErr w:type="spellStart"/>
      <w:r w:rsidRPr="00705F1D">
        <w:rPr>
          <w:rFonts w:asciiTheme="minorHAnsi" w:eastAsiaTheme="minorHAnsi" w:hAnsiTheme="minorHAnsi" w:cstheme="minorBidi"/>
          <w:sz w:val="22"/>
          <w:szCs w:val="22"/>
          <w:lang w:eastAsia="en-US"/>
        </w:rPr>
        <w:t>Zarya</w:t>
      </w:r>
      <w:proofErr w:type="spellEnd"/>
      <w:r w:rsidRPr="00705F1D">
        <w:rPr>
          <w:rFonts w:asciiTheme="minorHAnsi" w:eastAsiaTheme="minorHAnsi" w:hAnsiTheme="minorHAnsi" w:cstheme="minorBidi"/>
          <w:sz w:val="22"/>
          <w:szCs w:val="22"/>
          <w:lang w:eastAsia="en-US"/>
        </w:rPr>
        <w:t xml:space="preserve"> et </w:t>
      </w:r>
      <w:proofErr w:type="spellStart"/>
      <w:r w:rsidRPr="00705F1D">
        <w:rPr>
          <w:rFonts w:asciiTheme="minorHAnsi" w:eastAsiaTheme="minorHAnsi" w:hAnsiTheme="minorHAnsi" w:cstheme="minorBidi"/>
          <w:sz w:val="22"/>
          <w:szCs w:val="22"/>
          <w:lang w:eastAsia="en-US"/>
        </w:rPr>
        <w:t>Zvezda</w:t>
      </w:r>
      <w:proofErr w:type="spellEnd"/>
      <w:r w:rsidRPr="00705F1D">
        <w:rPr>
          <w:rFonts w:asciiTheme="minorHAnsi" w:eastAsiaTheme="minorHAnsi" w:hAnsiTheme="minorHAnsi" w:cstheme="minorBidi"/>
          <w:sz w:val="22"/>
          <w:szCs w:val="22"/>
          <w:lang w:eastAsia="en-US"/>
        </w:rPr>
        <w:t>. Il était prévu que la Russie installe le Science Power Platform (SPP), un ensemble de panneaux solaires de taille conséquente permettant à la partie russe de la station d'être autonome sur le plan énergétique, mais le module qui devait les porter a été abandonné ainsi que le laboratoire spatial associé, pour des raisons budgétaires. Il est finalement prévu que les modules russes utilisent l'énergie électrique produite par les panneaux solaires installés sur la poutre avec une tension ramenée à 28 volts.</w:t>
      </w:r>
    </w:p>
    <w:p w14:paraId="600E14A5" w14:textId="50940DC0" w:rsidR="00B90DCA" w:rsidRPr="00705F1D" w:rsidRDefault="00B90DCA" w:rsidP="00705F1D">
      <w:pPr>
        <w:pStyle w:val="Titre2"/>
        <w:rPr>
          <w:b/>
          <w:bCs/>
        </w:rPr>
      </w:pPr>
      <w:bookmarkStart w:id="70" w:name="_Toc133137856"/>
      <w:bookmarkStart w:id="71" w:name="_Toc133137898"/>
      <w:r w:rsidRPr="00705F1D">
        <w:rPr>
          <w:rStyle w:val="mw-headline"/>
          <w:b/>
          <w:bCs/>
        </w:rPr>
        <w:t>Contrôle thermique</w:t>
      </w:r>
      <w:bookmarkEnd w:id="70"/>
      <w:bookmarkEnd w:id="71"/>
    </w:p>
    <w:p w14:paraId="173AFA07" w14:textId="0E5BFB39"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L'activité humaine et les expériences scientifiques génèrent à l'intérieur des modules pressurisés un excédent de chaleur qui doit être évacué. À l'extérieur, les équipements et les modules doivent être protégés des contrastes thermiques générés par l'exposition directe ou l'absence d'exposition au Soleil, qui engendrent des écarts de température compris entre −126 °C et 149 °C. Le système de contrôle thermique a pour rôle de maintenir dans une fourchette de température acceptable les différents composants de la station. Cet objectif est accompli par plusieurs types de moyens, soit passifs, soit actifs.</w:t>
      </w:r>
    </w:p>
    <w:p w14:paraId="4C968A3A" w14:textId="62C55E8C"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 moyen passif le plus courant est l'utilisation de revêtements isolants multicouches constitués de feuilles d'aluminium et de </w:t>
      </w:r>
      <w:proofErr w:type="spellStart"/>
      <w:r w:rsidRPr="00705F1D">
        <w:rPr>
          <w:rFonts w:asciiTheme="minorHAnsi" w:eastAsiaTheme="minorHAnsi" w:hAnsiTheme="minorHAnsi" w:cstheme="minorBidi"/>
          <w:sz w:val="22"/>
          <w:szCs w:val="22"/>
          <w:lang w:eastAsia="en-US"/>
        </w:rPr>
        <w:t>kapton</w:t>
      </w:r>
      <w:proofErr w:type="spellEnd"/>
      <w:r w:rsidRPr="00705F1D">
        <w:rPr>
          <w:rFonts w:asciiTheme="minorHAnsi" w:eastAsiaTheme="minorHAnsi" w:hAnsiTheme="minorHAnsi" w:cstheme="minorBidi"/>
          <w:sz w:val="22"/>
          <w:szCs w:val="22"/>
          <w:lang w:eastAsia="en-US"/>
        </w:rPr>
        <w:t> séparées par des plots en polyester, qui réduisent sinon annulent le transfert thermique. Par ailleurs, des peintures ou des dépôts de couches superficielles choisies permettent de modifier l'émissivité ou au contraire la réceptivité thermique. Lorsque les solutions précédentes ne suffisent pas à faire face aux grands gradients de température, des résistances thermiques sont ajoutées. Enfin on peut avoir recours à un liquide caloporteur pour transporter sur de courtes distances la chaleur qui est évacuée par changement d'état du liquide (passage en phase gazeuse) et l'utilisation de radiateurs.</w:t>
      </w:r>
    </w:p>
    <w:p w14:paraId="4641A8F0" w14:textId="6A34D0AE"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À l'intérieur des modules pressurisés, les méthodes passives sont remplacées par un système actif. Dans la partie non russe de la station, la chaleur est évacuée par un circuit dans lequel circule de l'eau qui est mise au contact des équipements générateurs de chaleur. Un échangeur transfère les calories collectées à un deuxième circuit situé à l'extérieur dans lequel circule de l'ammoniaque plus efficace que l'eau dans ce rôle mais trop dangereux pour être utilisé à l'intérieur des modules : ce circuit amène la chaleur jusqu'à deux ensembles de radiateurs (Heat rejection system HRS) installés respectivement sur les segments S1 et P1 de la poutre. Chaque radiateur peut évacuer 35 kW et est composé de 24 panneaux formant un ensemble de 22 mètres sur 10 mètres, et pesant 3,7 tonnes. La partie russe de la station utilise pratiquement le même système et dispose de ses propres radiateurs. Les systèmes russes et américains ne sont pas interconnectés.</w:t>
      </w:r>
    </w:p>
    <w:p w14:paraId="45CA0967" w14:textId="396AAA92" w:rsidR="00B90DCA" w:rsidRPr="00705F1D" w:rsidRDefault="00705F1D" w:rsidP="00705F1D">
      <w:pPr>
        <w:pStyle w:val="Titre2"/>
        <w:rPr>
          <w:b/>
          <w:bCs/>
        </w:rPr>
      </w:pPr>
      <w:bookmarkStart w:id="72" w:name="_Toc133137857"/>
      <w:bookmarkStart w:id="73" w:name="_Toc133137899"/>
      <w:r w:rsidRPr="00705F1D">
        <w:rPr>
          <w:b/>
          <w:bCs/>
        </w:rPr>
        <w:lastRenderedPageBreak/>
        <w:drawing>
          <wp:anchor distT="0" distB="0" distL="114300" distR="114300" simplePos="0" relativeHeight="251683840" behindDoc="0" locked="0" layoutInCell="1" allowOverlap="1" wp14:anchorId="6372D72B" wp14:editId="03511F55">
            <wp:simplePos x="0" y="0"/>
            <wp:positionH relativeFrom="column">
              <wp:posOffset>3862705</wp:posOffset>
            </wp:positionH>
            <wp:positionV relativeFrom="paragraph">
              <wp:posOffset>6985</wp:posOffset>
            </wp:positionV>
            <wp:extent cx="2095500" cy="2476500"/>
            <wp:effectExtent l="0" t="0" r="0" b="0"/>
            <wp:wrapSquare wrapText="bothSides"/>
            <wp:docPr id="1226733886" name="Image 41">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095500" cy="2476500"/>
                    </a:xfrm>
                    <a:prstGeom prst="rect">
                      <a:avLst/>
                    </a:prstGeom>
                    <a:noFill/>
                    <a:ln>
                      <a:noFill/>
                    </a:ln>
                  </pic:spPr>
                </pic:pic>
              </a:graphicData>
            </a:graphic>
          </wp:anchor>
        </w:drawing>
      </w:r>
      <w:r w:rsidR="00B90DCA" w:rsidRPr="00705F1D">
        <w:rPr>
          <w:rStyle w:val="mw-headline"/>
          <w:b/>
          <w:bCs/>
        </w:rPr>
        <w:t>Télécommunications</w:t>
      </w:r>
      <w:bookmarkEnd w:id="72"/>
      <w:bookmarkEnd w:id="73"/>
    </w:p>
    <w:p w14:paraId="72D7A15C" w14:textId="58932F7A"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Les communications radio sont essentielles pour les opérations de la station spatiale : elles permettent les échanges des données télémétriques et scientifiques entre la station et les centres de contrôle de mission répartis autour du globe. Elles sont également utilisées durant les manœuvres de rendez-vous et d'accostage ainsi que pour les échanges entre les membres de l'équipage, les contrôleurs de vol et avec les membres de la famille. Pour assurer ces liaisons, la station spatiale dispose de plusieurs systèmes de télécommunications.</w:t>
      </w:r>
    </w:p>
    <w:p w14:paraId="55564AAB" w14:textId="1E1ABA04"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 premier système installé chronologiquement est l'équipement russe VHF </w:t>
      </w:r>
      <w:proofErr w:type="spellStart"/>
      <w:r w:rsidRPr="00705F1D">
        <w:rPr>
          <w:rFonts w:asciiTheme="minorHAnsi" w:eastAsiaTheme="minorHAnsi" w:hAnsiTheme="minorHAnsi" w:cstheme="minorBidi"/>
          <w:sz w:val="22"/>
          <w:szCs w:val="22"/>
          <w:lang w:eastAsia="en-US"/>
        </w:rPr>
        <w:t>Regul</w:t>
      </w:r>
      <w:proofErr w:type="spellEnd"/>
      <w:r w:rsidRPr="00705F1D">
        <w:rPr>
          <w:rFonts w:asciiTheme="minorHAnsi" w:eastAsiaTheme="minorHAnsi" w:hAnsiTheme="minorHAnsi" w:cstheme="minorBidi"/>
          <w:sz w:val="22"/>
          <w:szCs w:val="22"/>
          <w:lang w:eastAsia="en-US"/>
        </w:rPr>
        <w:t> qui permet, entre autres, les transmissions de données télémétriques entre la partie russe de la station et le centre de contrôle de mission installé à Moscou (</w:t>
      </w:r>
      <w:proofErr w:type="spellStart"/>
      <w:r w:rsidRPr="00705F1D">
        <w:rPr>
          <w:rFonts w:asciiTheme="minorHAnsi" w:eastAsiaTheme="minorHAnsi" w:hAnsiTheme="minorHAnsi" w:cstheme="minorBidi"/>
          <w:sz w:val="22"/>
          <w:szCs w:val="22"/>
          <w:lang w:eastAsia="en-US"/>
        </w:rPr>
        <w:t>TsUP</w:t>
      </w:r>
      <w:proofErr w:type="spellEnd"/>
      <w:r w:rsidRPr="00705F1D">
        <w:rPr>
          <w:rFonts w:asciiTheme="minorHAnsi" w:eastAsiaTheme="minorHAnsi" w:hAnsiTheme="minorHAnsi" w:cstheme="minorBidi"/>
          <w:sz w:val="22"/>
          <w:szCs w:val="22"/>
          <w:lang w:eastAsia="en-US"/>
        </w:rPr>
        <w:t>) via un réseau de stations de réception terrestres et les constellations de satellites de télécommunications </w:t>
      </w:r>
      <w:proofErr w:type="spellStart"/>
      <w:r w:rsidRPr="00705F1D">
        <w:rPr>
          <w:rFonts w:asciiTheme="minorHAnsi" w:eastAsiaTheme="minorHAnsi" w:hAnsiTheme="minorHAnsi" w:cstheme="minorBidi"/>
          <w:sz w:val="22"/>
          <w:szCs w:val="22"/>
          <w:lang w:eastAsia="en-US"/>
        </w:rPr>
        <w:t>Loutch</w:t>
      </w:r>
      <w:proofErr w:type="spellEnd"/>
      <w:r w:rsidRPr="00705F1D">
        <w:rPr>
          <w:rFonts w:asciiTheme="minorHAnsi" w:eastAsiaTheme="minorHAnsi" w:hAnsiTheme="minorHAnsi" w:cstheme="minorBidi"/>
          <w:sz w:val="22"/>
          <w:szCs w:val="22"/>
          <w:lang w:eastAsia="en-US"/>
        </w:rPr>
        <w:t> et </w:t>
      </w:r>
      <w:proofErr w:type="spellStart"/>
      <w:r w:rsidRPr="00705F1D">
        <w:rPr>
          <w:rFonts w:asciiTheme="minorHAnsi" w:eastAsiaTheme="minorHAnsi" w:hAnsiTheme="minorHAnsi" w:cstheme="minorBidi"/>
          <w:sz w:val="22"/>
          <w:szCs w:val="22"/>
          <w:lang w:eastAsia="en-US"/>
        </w:rPr>
        <w:t>Molnia</w:t>
      </w:r>
      <w:proofErr w:type="spellEnd"/>
      <w:r w:rsidRPr="00705F1D">
        <w:rPr>
          <w:rFonts w:asciiTheme="minorHAnsi" w:eastAsiaTheme="minorHAnsi" w:hAnsiTheme="minorHAnsi" w:cstheme="minorBidi"/>
          <w:sz w:val="22"/>
          <w:szCs w:val="22"/>
          <w:lang w:eastAsia="en-US"/>
        </w:rPr>
        <w:t xml:space="preserve">. Les transmissions passent par l'antenne Lira installée sur le module </w:t>
      </w:r>
      <w:proofErr w:type="spellStart"/>
      <w:r w:rsidRPr="00705F1D">
        <w:rPr>
          <w:rFonts w:asciiTheme="minorHAnsi" w:eastAsiaTheme="minorHAnsi" w:hAnsiTheme="minorHAnsi" w:cstheme="minorBidi"/>
          <w:sz w:val="22"/>
          <w:szCs w:val="22"/>
          <w:lang w:eastAsia="en-US"/>
        </w:rPr>
        <w:t>Zvezda</w:t>
      </w:r>
      <w:proofErr w:type="spellEnd"/>
      <w:r w:rsidRPr="00705F1D">
        <w:rPr>
          <w:rFonts w:asciiTheme="minorHAnsi" w:eastAsiaTheme="minorHAnsi" w:hAnsiTheme="minorHAnsi" w:cstheme="minorBidi"/>
          <w:sz w:val="22"/>
          <w:szCs w:val="22"/>
          <w:lang w:eastAsia="en-US"/>
        </w:rPr>
        <w:t>. À l'intérieur de la partie russe de la station, les échanges radios sont assurés par un système analogique utilisant une liaison en cuivre.</w:t>
      </w:r>
    </w:p>
    <w:p w14:paraId="6A7B72E3" w14:textId="5D9B92A1"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La partie non russe de la station spatiale a recours à deux systèmes de communication radio distincts dont les antennes sont montées sur le segment central Z1 de la poutre : une liaison en bande S utilisée pour les communications en audio et une liaison en bande Ku utilisée à la fois pour l'audio, la vidéo et les données. Ces communications sont relayées par le réseau de satellites de télécommunications géostationnaires TDRS permettant une liaison quasiment continue avec le centre de contrôle de mission de la NASA (MCC-H) à Houston97. Ce système de télécommunication peut être également utilisé pour transmettre des données au centre de contrôle de Moscou par le biais d'une liaison téléphonique permanente entre le centre de contrôle de Houston et celui de Moscou. Les données échangées avec le bras téléopéré </w:t>
      </w:r>
      <w:proofErr w:type="spellStart"/>
      <w:r w:rsidRPr="00705F1D">
        <w:rPr>
          <w:rFonts w:asciiTheme="minorHAnsi" w:eastAsiaTheme="minorHAnsi" w:hAnsiTheme="minorHAnsi" w:cstheme="minorBidi"/>
          <w:sz w:val="22"/>
          <w:szCs w:val="22"/>
          <w:lang w:eastAsia="en-US"/>
        </w:rPr>
        <w:t>Canadarm</w:t>
      </w:r>
      <w:proofErr w:type="spellEnd"/>
      <w:r w:rsidRPr="00705F1D">
        <w:rPr>
          <w:rFonts w:asciiTheme="minorHAnsi" w:eastAsiaTheme="minorHAnsi" w:hAnsiTheme="minorHAnsi" w:cstheme="minorBidi"/>
          <w:sz w:val="22"/>
          <w:szCs w:val="22"/>
          <w:lang w:eastAsia="en-US"/>
        </w:rPr>
        <w:t xml:space="preserve"> 2, les laboratoires Colombus et </w:t>
      </w:r>
      <w:proofErr w:type="spellStart"/>
      <w:r w:rsidRPr="00705F1D">
        <w:rPr>
          <w:rFonts w:asciiTheme="minorHAnsi" w:eastAsiaTheme="minorHAnsi" w:hAnsiTheme="minorHAnsi" w:cstheme="minorBidi"/>
          <w:sz w:val="22"/>
          <w:szCs w:val="22"/>
          <w:lang w:eastAsia="en-US"/>
        </w:rPr>
        <w:t>Kibō</w:t>
      </w:r>
      <w:proofErr w:type="spellEnd"/>
      <w:r w:rsidRPr="00705F1D">
        <w:rPr>
          <w:rFonts w:asciiTheme="minorHAnsi" w:eastAsiaTheme="minorHAnsi" w:hAnsiTheme="minorHAnsi" w:cstheme="minorBidi"/>
          <w:sz w:val="22"/>
          <w:szCs w:val="22"/>
          <w:lang w:eastAsia="en-US"/>
        </w:rPr>
        <w:t xml:space="preserve"> sont routées également via les réseaux en bande S et Ku ; s'ils sont mis en place, le futur système </w:t>
      </w:r>
      <w:proofErr w:type="spellStart"/>
      <w:r w:rsidRPr="00705F1D">
        <w:rPr>
          <w:rFonts w:asciiTheme="minorHAnsi" w:eastAsiaTheme="minorHAnsi" w:hAnsiTheme="minorHAnsi" w:cstheme="minorBidi"/>
          <w:sz w:val="22"/>
          <w:szCs w:val="22"/>
          <w:lang w:eastAsia="en-US"/>
        </w:rPr>
        <w:t>European</w:t>
      </w:r>
      <w:proofErr w:type="spellEnd"/>
      <w:r w:rsidRPr="00705F1D">
        <w:rPr>
          <w:rFonts w:asciiTheme="minorHAnsi" w:eastAsiaTheme="minorHAnsi" w:hAnsiTheme="minorHAnsi" w:cstheme="minorBidi"/>
          <w:sz w:val="22"/>
          <w:szCs w:val="22"/>
          <w:lang w:eastAsia="en-US"/>
        </w:rPr>
        <w:t xml:space="preserve"> Data Relay Satellite et son équivalent japonais pourront être également utilisés. À l'intérieur de la station les communications sont assurées par un réseau sans fil numérique interne.</w:t>
      </w:r>
    </w:p>
    <w:p w14:paraId="1CF35678" w14:textId="7DF63E73"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Un système radio en UHF est utilisé durant les sorties extravéhiculaires : les Russes peuvent ainsi communiquer soit avec la partie russe de la station soit avec le centre de contrôle au sol sur Terre à condition qu'une station terrestre soit à portée (mais dans ce dernier cas avec parfois des interférences créées par la radio du contrôle du trafic aérien au sol) tandis que les autres astronautes sont en liaison avec la partie non russe de la station.</w:t>
      </w:r>
    </w:p>
    <w:p w14:paraId="3E48F191" w14:textId="46851603"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Les liaisons UHF sont également utilisées durant les manœuvres d'accostage et de séparation avec la station par les vaisseaux Soyouz, Progress, HTV, ATV et la navette spatiale (celle-ci utilise toutefois également les bandes S et Ku via le réseau TDRSS) pour recevoir des instructions des centres de contrôle de mission sur Terre et de l'équipage de la station spatiale28. Les vaisseaux qui fonctionnent en mode automatique comme l'HTV et l'ATV disposent par ailleurs de leur propre système de communications : l'ATV utilise un laser installé sur le vaisseau et un jeu de miroirs installés sur le module </w:t>
      </w:r>
      <w:proofErr w:type="spellStart"/>
      <w:r w:rsidRPr="00705F1D">
        <w:rPr>
          <w:rFonts w:asciiTheme="minorHAnsi" w:eastAsiaTheme="minorHAnsi" w:hAnsiTheme="minorHAnsi" w:cstheme="minorBidi"/>
          <w:sz w:val="22"/>
          <w:szCs w:val="22"/>
          <w:lang w:eastAsia="en-US"/>
        </w:rPr>
        <w:t>Zvezda</w:t>
      </w:r>
      <w:proofErr w:type="spellEnd"/>
      <w:r w:rsidRPr="00705F1D">
        <w:rPr>
          <w:rFonts w:asciiTheme="minorHAnsi" w:eastAsiaTheme="minorHAnsi" w:hAnsiTheme="minorHAnsi" w:cstheme="minorBidi"/>
          <w:sz w:val="22"/>
          <w:szCs w:val="22"/>
          <w:lang w:eastAsia="en-US"/>
        </w:rPr>
        <w:t xml:space="preserve">, désigné sous l'appellation </w:t>
      </w:r>
      <w:proofErr w:type="spellStart"/>
      <w:r w:rsidRPr="00705F1D">
        <w:rPr>
          <w:rFonts w:asciiTheme="minorHAnsi" w:eastAsiaTheme="minorHAnsi" w:hAnsiTheme="minorHAnsi" w:cstheme="minorBidi"/>
          <w:sz w:val="22"/>
          <w:szCs w:val="22"/>
          <w:lang w:eastAsia="en-US"/>
        </w:rPr>
        <w:t>Proximity</w:t>
      </w:r>
      <w:proofErr w:type="spellEnd"/>
      <w:r w:rsidRPr="00705F1D">
        <w:rPr>
          <w:rFonts w:asciiTheme="minorHAnsi" w:eastAsiaTheme="minorHAnsi" w:hAnsiTheme="minorHAnsi" w:cstheme="minorBidi"/>
          <w:sz w:val="22"/>
          <w:szCs w:val="22"/>
          <w:lang w:eastAsia="en-US"/>
        </w:rPr>
        <w:t xml:space="preserve"> Communications Equipment pour accoster la station tandis que l'HTV utilise pour son approche un système basé sur le réseau GPS.</w:t>
      </w:r>
    </w:p>
    <w:p w14:paraId="0F681574" w14:textId="72A9E78B" w:rsidR="00B90DCA" w:rsidRPr="00705F1D" w:rsidRDefault="00B90DCA" w:rsidP="00705F1D">
      <w:pPr>
        <w:pStyle w:val="Titre2"/>
        <w:rPr>
          <w:b/>
          <w:bCs/>
        </w:rPr>
      </w:pPr>
      <w:bookmarkStart w:id="74" w:name="_Toc133137858"/>
      <w:bookmarkStart w:id="75" w:name="_Toc133137900"/>
      <w:r w:rsidRPr="00705F1D">
        <w:rPr>
          <w:rStyle w:val="mw-headline"/>
          <w:b/>
          <w:bCs/>
        </w:rPr>
        <w:t>Informatique embarquée</w:t>
      </w:r>
      <w:bookmarkEnd w:id="74"/>
      <w:bookmarkEnd w:id="75"/>
    </w:p>
    <w:p w14:paraId="270BCB73" w14:textId="39D3E048"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L'automatisation des différentes tâches, la gestion des systèmes critiques et la surveillance technique de la station sont assurés par un ensemble d'ordinateurs embarqués, centralisé dans le module </w:t>
      </w:r>
      <w:proofErr w:type="spellStart"/>
      <w:r w:rsidRPr="00705F1D">
        <w:rPr>
          <w:rFonts w:asciiTheme="minorHAnsi" w:eastAsiaTheme="minorHAnsi" w:hAnsiTheme="minorHAnsi" w:cstheme="minorBidi"/>
          <w:sz w:val="22"/>
          <w:szCs w:val="22"/>
          <w:lang w:eastAsia="en-US"/>
        </w:rPr>
        <w:t>Zvezda</w:t>
      </w:r>
      <w:proofErr w:type="spellEnd"/>
      <w:r w:rsidRPr="00705F1D">
        <w:rPr>
          <w:rFonts w:asciiTheme="minorHAnsi" w:eastAsiaTheme="minorHAnsi" w:hAnsiTheme="minorHAnsi" w:cstheme="minorBidi"/>
          <w:sz w:val="22"/>
          <w:szCs w:val="22"/>
          <w:lang w:eastAsia="en-US"/>
        </w:rPr>
        <w:t xml:space="preserve"> pour la partie russe et décentralisé dans plusieurs modules dans la partie américaine103. Le système chargé de la section russe est composé de trois ordinateurs de vol effectuant l'ensemble des calculs </w:t>
      </w:r>
      <w:r w:rsidRPr="00705F1D">
        <w:rPr>
          <w:rFonts w:asciiTheme="minorHAnsi" w:eastAsiaTheme="minorHAnsi" w:hAnsiTheme="minorHAnsi" w:cstheme="minorBidi"/>
          <w:sz w:val="22"/>
          <w:szCs w:val="22"/>
          <w:lang w:eastAsia="en-US"/>
        </w:rPr>
        <w:lastRenderedPageBreak/>
        <w:t>en parallèle, s'accordant via un système de vote. Ces ordinateurs opèrent sous </w:t>
      </w:r>
      <w:proofErr w:type="spellStart"/>
      <w:r w:rsidRPr="00705F1D">
        <w:rPr>
          <w:rFonts w:asciiTheme="minorHAnsi" w:eastAsiaTheme="minorHAnsi" w:hAnsiTheme="minorHAnsi" w:cstheme="minorBidi"/>
          <w:sz w:val="22"/>
          <w:szCs w:val="22"/>
          <w:lang w:eastAsia="en-US"/>
        </w:rPr>
        <w:t>VxWorks</w:t>
      </w:r>
      <w:proofErr w:type="spellEnd"/>
      <w:r w:rsidRPr="00705F1D">
        <w:rPr>
          <w:rFonts w:asciiTheme="minorHAnsi" w:eastAsiaTheme="minorHAnsi" w:hAnsiTheme="minorHAnsi" w:cstheme="minorBidi"/>
          <w:sz w:val="22"/>
          <w:szCs w:val="22"/>
          <w:lang w:eastAsia="en-US"/>
        </w:rPr>
        <w:t>. La section américaine est monitorée par une cinquantaine d'ordinateurs en réseau bas niveau, dont le logiciel est implémenté en Ada.</w:t>
      </w:r>
    </w:p>
    <w:p w14:paraId="0A88B91F" w14:textId="4095EF99"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Pour la gestion de la station par l'équipage et les opérations scientifiques, des ordinateurs portables Lenovo et HP sont utilisés, la plupart de ceux-ci utilisant une variante de Debian pour fonctionner. Certaines expériences scientifiques sont également menées sur les ordinateurs équipés de Windows.</w:t>
      </w:r>
    </w:p>
    <w:p w14:paraId="5CC7D845" w14:textId="60D126BD" w:rsidR="00B90DCA" w:rsidRPr="00705F1D" w:rsidRDefault="00705F1D" w:rsidP="00705F1D">
      <w:pPr>
        <w:pStyle w:val="Titre2"/>
        <w:rPr>
          <w:b/>
          <w:bCs/>
        </w:rPr>
      </w:pPr>
      <w:bookmarkStart w:id="76" w:name="_Toc133137859"/>
      <w:bookmarkStart w:id="77" w:name="_Toc133137901"/>
      <w:r>
        <w:rPr>
          <w:rFonts w:ascii="Arial" w:hAnsi="Arial" w:cs="Arial"/>
          <w:noProof/>
          <w:color w:val="3366CC"/>
          <w:sz w:val="20"/>
          <w:szCs w:val="20"/>
        </w:rPr>
        <w:drawing>
          <wp:anchor distT="0" distB="0" distL="114300" distR="114300" simplePos="0" relativeHeight="251684864" behindDoc="0" locked="0" layoutInCell="1" allowOverlap="1" wp14:anchorId="47B56902" wp14:editId="28019C2D">
            <wp:simplePos x="0" y="0"/>
            <wp:positionH relativeFrom="margin">
              <wp:align>right</wp:align>
            </wp:positionH>
            <wp:positionV relativeFrom="paragraph">
              <wp:posOffset>43180</wp:posOffset>
            </wp:positionV>
            <wp:extent cx="2857500" cy="1714500"/>
            <wp:effectExtent l="0" t="0" r="0" b="0"/>
            <wp:wrapSquare wrapText="bothSides"/>
            <wp:docPr id="1898525744" name="Image 40">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57500" cy="1714500"/>
                    </a:xfrm>
                    <a:prstGeom prst="rect">
                      <a:avLst/>
                    </a:prstGeom>
                    <a:noFill/>
                    <a:ln>
                      <a:noFill/>
                    </a:ln>
                  </pic:spPr>
                </pic:pic>
              </a:graphicData>
            </a:graphic>
          </wp:anchor>
        </w:drawing>
      </w:r>
      <w:r w:rsidR="00B90DCA" w:rsidRPr="00705F1D">
        <w:rPr>
          <w:rStyle w:val="mw-headline"/>
          <w:b/>
          <w:bCs/>
        </w:rPr>
        <w:t>Système de support de vie</w:t>
      </w:r>
      <w:bookmarkEnd w:id="76"/>
      <w:bookmarkEnd w:id="77"/>
    </w:p>
    <w:p w14:paraId="79C0B544" w14:textId="3608B29C"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 système de support de vie de la station spatiale est chargé du maintien d'un environnement viable pour l'équipage à l'intérieur des modules pressurisés. Dans l'espace entièrement clos et isolé de la station, cela implique principalement de remplacer périodiquement le dioxygène consommé par les astronautes, d'éliminer le dioxyde de carbone expiré, de filtrer les micro-organismes, particules et gaz organiques, de mettre à disposition l'eau nécessaire aux différents usages, de contrôler et maintenir la température, la pression et la composition de l'atmosphère dans une fourchette fixe et enfin de surveiller l'apparition d'incendie et éventuellement de le combattre.</w:t>
      </w:r>
    </w:p>
    <w:p w14:paraId="70F6E89D" w14:textId="514DA823"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Pour limiter la masse des consommables (eau et oxygène) transportés par les vaisseaux cargo, la station est équipée de systèmes permettant de recycler l'eau et de régénérer l'atmosphère de la station. Ceci permet de réduire la masse des consommables à placer en orbite annuellement de 6,7 tonnes pour un équipage permanent de 6 </w:t>
      </w:r>
      <w:proofErr w:type="spellStart"/>
      <w:proofErr w:type="gramStart"/>
      <w:r w:rsidRPr="00705F1D">
        <w:rPr>
          <w:rFonts w:asciiTheme="minorHAnsi" w:eastAsiaTheme="minorHAnsi" w:hAnsiTheme="minorHAnsi" w:cstheme="minorBidi"/>
          <w:sz w:val="22"/>
          <w:szCs w:val="22"/>
          <w:lang w:eastAsia="en-US"/>
        </w:rPr>
        <w:t>personnes.Au</w:t>
      </w:r>
      <w:proofErr w:type="spellEnd"/>
      <w:proofErr w:type="gramEnd"/>
      <w:r w:rsidRPr="00705F1D">
        <w:rPr>
          <w:rFonts w:asciiTheme="minorHAnsi" w:eastAsiaTheme="minorHAnsi" w:hAnsiTheme="minorHAnsi" w:cstheme="minorBidi"/>
          <w:sz w:val="22"/>
          <w:szCs w:val="22"/>
          <w:lang w:eastAsia="en-US"/>
        </w:rPr>
        <w:t xml:space="preserve"> total, 75 à 80% des eaux usées sont reconverties.</w:t>
      </w:r>
    </w:p>
    <w:p w14:paraId="0F87A5C1" w14:textId="59A69289"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Jusqu'en 2008, cette fonction était uniquement prise en charge par le système </w:t>
      </w:r>
      <w:proofErr w:type="spellStart"/>
      <w:r w:rsidRPr="00705F1D">
        <w:rPr>
          <w:rFonts w:asciiTheme="minorHAnsi" w:eastAsiaTheme="minorHAnsi" w:hAnsiTheme="minorHAnsi" w:cstheme="minorBidi"/>
          <w:sz w:val="22"/>
          <w:szCs w:val="22"/>
          <w:lang w:eastAsia="en-US"/>
        </w:rPr>
        <w:t>Elektron</w:t>
      </w:r>
      <w:proofErr w:type="spellEnd"/>
      <w:r w:rsidRPr="00705F1D">
        <w:rPr>
          <w:rFonts w:asciiTheme="minorHAnsi" w:eastAsiaTheme="minorHAnsi" w:hAnsiTheme="minorHAnsi" w:cstheme="minorBidi"/>
          <w:sz w:val="22"/>
          <w:szCs w:val="22"/>
          <w:lang w:eastAsia="en-US"/>
        </w:rPr>
        <w:t xml:space="preserve"> installé dans le module russe </w:t>
      </w:r>
      <w:proofErr w:type="spellStart"/>
      <w:r w:rsidRPr="00705F1D">
        <w:rPr>
          <w:rFonts w:asciiTheme="minorHAnsi" w:eastAsiaTheme="minorHAnsi" w:hAnsiTheme="minorHAnsi" w:cstheme="minorBidi"/>
          <w:sz w:val="22"/>
          <w:szCs w:val="22"/>
          <w:lang w:eastAsia="en-US"/>
        </w:rPr>
        <w:t>Zvezda</w:t>
      </w:r>
      <w:proofErr w:type="spellEnd"/>
      <w:r w:rsidRPr="00705F1D">
        <w:rPr>
          <w:rFonts w:asciiTheme="minorHAnsi" w:eastAsiaTheme="minorHAnsi" w:hAnsiTheme="minorHAnsi" w:cstheme="minorBidi"/>
          <w:sz w:val="22"/>
          <w:szCs w:val="22"/>
          <w:lang w:eastAsia="en-US"/>
        </w:rPr>
        <w:t xml:space="preserve">, tandis que le dioxyde de carbone était éliminé grâce au système </w:t>
      </w:r>
      <w:proofErr w:type="spellStart"/>
      <w:r w:rsidRPr="00705F1D">
        <w:rPr>
          <w:rFonts w:asciiTheme="minorHAnsi" w:eastAsiaTheme="minorHAnsi" w:hAnsiTheme="minorHAnsi" w:cstheme="minorBidi"/>
          <w:sz w:val="22"/>
          <w:szCs w:val="22"/>
          <w:lang w:eastAsia="en-US"/>
        </w:rPr>
        <w:t>Vozdukh</w:t>
      </w:r>
      <w:proofErr w:type="spellEnd"/>
      <w:r w:rsidRPr="00705F1D">
        <w:rPr>
          <w:rFonts w:asciiTheme="minorHAnsi" w:eastAsiaTheme="minorHAnsi" w:hAnsiTheme="minorHAnsi" w:cstheme="minorBidi"/>
          <w:sz w:val="22"/>
          <w:szCs w:val="22"/>
          <w:lang w:eastAsia="en-US"/>
        </w:rPr>
        <w:t xml:space="preserve"> à bord du même module. Cet équipement a été par la suite renforcé par le système américain ECLSS installé dans trois racks du module </w:t>
      </w:r>
      <w:proofErr w:type="spellStart"/>
      <w:r w:rsidRPr="00705F1D">
        <w:rPr>
          <w:rFonts w:asciiTheme="minorHAnsi" w:eastAsiaTheme="minorHAnsi" w:hAnsiTheme="minorHAnsi" w:cstheme="minorBidi"/>
          <w:sz w:val="22"/>
          <w:szCs w:val="22"/>
          <w:lang w:eastAsia="en-US"/>
        </w:rPr>
        <w:t>Tranquility</w:t>
      </w:r>
      <w:proofErr w:type="spellEnd"/>
      <w:r w:rsidRPr="00705F1D">
        <w:rPr>
          <w:rFonts w:asciiTheme="minorHAnsi" w:eastAsiaTheme="minorHAnsi" w:hAnsiTheme="minorHAnsi" w:cstheme="minorBidi"/>
          <w:sz w:val="22"/>
          <w:szCs w:val="22"/>
          <w:lang w:eastAsia="en-US"/>
        </w:rPr>
        <w:t xml:space="preserve"> et composé du système OGS pour la régénération de l'atmosphère et WRS (Water </w:t>
      </w:r>
      <w:proofErr w:type="spellStart"/>
      <w:r w:rsidRPr="00705F1D">
        <w:rPr>
          <w:rFonts w:asciiTheme="minorHAnsi" w:eastAsiaTheme="minorHAnsi" w:hAnsiTheme="minorHAnsi" w:cstheme="minorBidi"/>
          <w:sz w:val="22"/>
          <w:szCs w:val="22"/>
          <w:lang w:eastAsia="en-US"/>
        </w:rPr>
        <w:t>Recovery</w:t>
      </w:r>
      <w:proofErr w:type="spellEnd"/>
      <w:r w:rsidRPr="00705F1D">
        <w:rPr>
          <w:rFonts w:asciiTheme="minorHAnsi" w:eastAsiaTheme="minorHAnsi" w:hAnsiTheme="minorHAnsi" w:cstheme="minorBidi"/>
          <w:sz w:val="22"/>
          <w:szCs w:val="22"/>
          <w:lang w:eastAsia="en-US"/>
        </w:rPr>
        <w:t xml:space="preserve"> System), qui collecte toutes les eaux usées, eaux de toilette, urine, vapeur d'eau contenue dans l'atmosphère de la cabine. L'urine est distillée dans un premier sous-ensemble (UPA) puis le Water Processor </w:t>
      </w:r>
      <w:proofErr w:type="spellStart"/>
      <w:r w:rsidRPr="00705F1D">
        <w:rPr>
          <w:rFonts w:asciiTheme="minorHAnsi" w:eastAsiaTheme="minorHAnsi" w:hAnsiTheme="minorHAnsi" w:cstheme="minorBidi"/>
          <w:sz w:val="22"/>
          <w:szCs w:val="22"/>
          <w:lang w:eastAsia="en-US"/>
        </w:rPr>
        <w:t>Assembly</w:t>
      </w:r>
      <w:proofErr w:type="spellEnd"/>
      <w:r w:rsidRPr="00705F1D">
        <w:rPr>
          <w:rFonts w:asciiTheme="minorHAnsi" w:eastAsiaTheme="minorHAnsi" w:hAnsiTheme="minorHAnsi" w:cstheme="minorBidi"/>
          <w:sz w:val="22"/>
          <w:szCs w:val="22"/>
          <w:lang w:eastAsia="en-US"/>
        </w:rPr>
        <w:t xml:space="preserve"> (WPA) traite les autres eaux usées et le produit de l'UPA. Après avoir séparé les gaz et les particules solides, WPA élimine les déchets organiques et les micro-organismes grâce à un ensemble de filtres et à un réacteur catalytique à haute température, puis génère de l'eau potable.</w:t>
      </w:r>
    </w:p>
    <w:p w14:paraId="61EE8D97" w14:textId="7C74BF3C"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Cette installation a permis de faire passer l'équipage permanent à six personnes. La consommation en eau par personne est estimée à 3,5 litres par jour : sur ce volume, WRS permet d'économiser 1,3 litre en recyclant l'urine et autres eaux usées, tandis qu'</w:t>
      </w:r>
      <w:proofErr w:type="spellStart"/>
      <w:r w:rsidRPr="00705F1D">
        <w:rPr>
          <w:rFonts w:asciiTheme="minorHAnsi" w:eastAsiaTheme="minorHAnsi" w:hAnsiTheme="minorHAnsi" w:cstheme="minorBidi"/>
          <w:sz w:val="22"/>
          <w:szCs w:val="22"/>
          <w:lang w:eastAsia="en-US"/>
        </w:rPr>
        <w:t>Elektron</w:t>
      </w:r>
      <w:proofErr w:type="spellEnd"/>
      <w:r w:rsidRPr="00705F1D">
        <w:rPr>
          <w:rFonts w:asciiTheme="minorHAnsi" w:eastAsiaTheme="minorHAnsi" w:hAnsiTheme="minorHAnsi" w:cstheme="minorBidi"/>
          <w:sz w:val="22"/>
          <w:szCs w:val="22"/>
          <w:lang w:eastAsia="en-US"/>
        </w:rPr>
        <w:t xml:space="preserve"> en récupère 1,5 en condensant l'humidité de la cabine.</w:t>
      </w:r>
    </w:p>
    <w:p w14:paraId="17BAC7B4" w14:textId="25D95816"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Les deux systèmes produisent de l'oxygène par électrolyse de l'eau ; le système américain est capable de combiner l'hydrogène produit par l'électrolyse avec le CO2 expiré par l'équipage, en générant de l'eau et du méthane, ce dernier étant expulsé à l'extérieur. Il existe un système de secours reposant sur des réserves d'oxygène stockées en bouteilles et des générateurs d'oxygène à partir de produits solides.</w:t>
      </w:r>
    </w:p>
    <w:p w14:paraId="738C02CE" w14:textId="7F42FEA0"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 xml:space="preserve">D'autres sous-produits du métabolisme humain, comme le méthane produit par le système intestinal, et l'ammoniaque contenu dans la sueur, sont éliminés par des filtres à cartouche de charbon activé. L'atmosphère à bord de la station est maintenue à une pression similaire à celle de l'atmosphère terrestre au niveau de la mer soit 101,3 kPa. L'utilisation d'une composition analogue à celle de </w:t>
      </w:r>
      <w:r w:rsidRPr="00705F1D">
        <w:rPr>
          <w:rFonts w:asciiTheme="minorHAnsi" w:eastAsiaTheme="minorHAnsi" w:hAnsiTheme="minorHAnsi" w:cstheme="minorBidi"/>
          <w:sz w:val="22"/>
          <w:szCs w:val="22"/>
          <w:lang w:eastAsia="en-US"/>
        </w:rPr>
        <w:lastRenderedPageBreak/>
        <w:t>l'atmosphère terrestre est plus confortable pour l'équipage et bien plus sûre qu'une atmosphère d'oxygène pure.</w:t>
      </w:r>
    </w:p>
    <w:p w14:paraId="5D547E70" w14:textId="7FB6139C"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En juin 2021, une nouvelle cuvette de toilettes est installée, capable de recycler 98% des eaux usées.</w:t>
      </w:r>
    </w:p>
    <w:p w14:paraId="67C32374" w14:textId="77777777" w:rsidR="00B90DCA" w:rsidRDefault="00B90DCA" w:rsidP="0002779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13039137" w14:textId="3659588D" w:rsidR="00B90DCA" w:rsidRPr="00705F1D" w:rsidRDefault="00B90DCA" w:rsidP="00705F1D">
      <w:pPr>
        <w:pStyle w:val="Titre3"/>
        <w:rPr>
          <w:b/>
          <w:bCs/>
        </w:rPr>
      </w:pPr>
      <w:bookmarkStart w:id="78" w:name="_Toc133137860"/>
      <w:bookmarkStart w:id="79" w:name="_Toc133137902"/>
      <w:r w:rsidRPr="00705F1D">
        <w:rPr>
          <w:rStyle w:val="mw-headline"/>
          <w:b/>
          <w:bCs/>
        </w:rPr>
        <w:t>Opérations de maintenance et d'entretien</w:t>
      </w:r>
      <w:bookmarkEnd w:id="78"/>
      <w:bookmarkEnd w:id="79"/>
    </w:p>
    <w:p w14:paraId="19D0C80D" w14:textId="4562EB59" w:rsidR="00B90DCA" w:rsidRPr="00705F1D" w:rsidRDefault="00705F1D"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1"/>
          <w:szCs w:val="21"/>
        </w:rPr>
        <w:drawing>
          <wp:anchor distT="0" distB="0" distL="114300" distR="114300" simplePos="0" relativeHeight="251688960" behindDoc="0" locked="0" layoutInCell="1" allowOverlap="1" wp14:anchorId="632EBC88" wp14:editId="56EDAF79">
            <wp:simplePos x="0" y="0"/>
            <wp:positionH relativeFrom="column">
              <wp:posOffset>2811145</wp:posOffset>
            </wp:positionH>
            <wp:positionV relativeFrom="paragraph">
              <wp:posOffset>3254375</wp:posOffset>
            </wp:positionV>
            <wp:extent cx="2717800" cy="1809750"/>
            <wp:effectExtent l="0" t="0" r="6350" b="0"/>
            <wp:wrapSquare wrapText="bothSides"/>
            <wp:docPr id="329275792" name="Image 46" descr="Lors de l'Expédition 54 en 2018, les cosmonautes Alexandre Missourkine et Anton Chkaplerov effectuèrent la plus longue EVA russe de l'histoire.">
              <a:hlinkClick xmlns:a="http://schemas.openxmlformats.org/drawingml/2006/main" r:id="rId110" tooltip="&quot;Lors de l'Expédition 54 en 2018, les cosmonautes Alexandre Missourkine et Anton Chkaplerov effectuèrent la plus longue EVA russe de l'histoi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ors de l'Expédition 54 en 2018, les cosmonautes Alexandre Missourkine et Anton Chkaplerov effectuèrent la plus longue EVA russe de l'histoire.">
                      <a:hlinkClick r:id="rId110" tooltip="&quot;Lors de l'Expédition 54 en 2018, les cosmonautes Alexandre Missourkine et Anton Chkaplerov effectuèrent la plus longue EVA russe de l'histoire.&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717800" cy="1809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3366CC"/>
          <w:sz w:val="21"/>
          <w:szCs w:val="21"/>
        </w:rPr>
        <w:drawing>
          <wp:anchor distT="0" distB="0" distL="114300" distR="114300" simplePos="0" relativeHeight="251685888" behindDoc="0" locked="0" layoutInCell="1" allowOverlap="1" wp14:anchorId="3CEFB278" wp14:editId="320D23DE">
            <wp:simplePos x="0" y="0"/>
            <wp:positionH relativeFrom="margin">
              <wp:align>left</wp:align>
            </wp:positionH>
            <wp:positionV relativeFrom="paragraph">
              <wp:posOffset>1375056</wp:posOffset>
            </wp:positionV>
            <wp:extent cx="2713783" cy="1783080"/>
            <wp:effectExtent l="0" t="0" r="0" b="7620"/>
            <wp:wrapSquare wrapText="bothSides"/>
            <wp:docPr id="883871515" name="Image 49" descr="James F. Reilly s'extrait du sas Quest pour entamer une sortie extravéhiculaire.">
              <a:hlinkClick xmlns:a="http://schemas.openxmlformats.org/drawingml/2006/main" r:id="rId112" tooltip="&quot;James F. Reilly s'extrait du sas Quest pour entamer une sortie extravéhiculai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James F. Reilly s'extrait du sas Quest pour entamer une sortie extravéhiculaire.">
                      <a:hlinkClick r:id="rId112" tooltip="&quot;James F. Reilly s'extrait du sas Quest pour entamer une sortie extravéhiculaire.&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713783" cy="1783080"/>
                    </a:xfrm>
                    <a:prstGeom prst="rect">
                      <a:avLst/>
                    </a:prstGeom>
                    <a:noFill/>
                    <a:ln>
                      <a:noFill/>
                    </a:ln>
                  </pic:spPr>
                </pic:pic>
              </a:graphicData>
            </a:graphic>
          </wp:anchor>
        </w:drawing>
      </w:r>
      <w:r>
        <w:rPr>
          <w:rFonts w:ascii="Arial" w:hAnsi="Arial" w:cs="Arial"/>
          <w:noProof/>
          <w:color w:val="3366CC"/>
          <w:sz w:val="21"/>
          <w:szCs w:val="21"/>
        </w:rPr>
        <w:drawing>
          <wp:anchor distT="0" distB="0" distL="114300" distR="114300" simplePos="0" relativeHeight="251686912" behindDoc="0" locked="0" layoutInCell="1" allowOverlap="1" wp14:anchorId="529E8B6C" wp14:editId="4D3FD043">
            <wp:simplePos x="0" y="0"/>
            <wp:positionH relativeFrom="column">
              <wp:posOffset>2811145</wp:posOffset>
            </wp:positionH>
            <wp:positionV relativeFrom="paragraph">
              <wp:posOffset>1356995</wp:posOffset>
            </wp:positionV>
            <wp:extent cx="2717800" cy="1798320"/>
            <wp:effectExtent l="0" t="0" r="6350" b="0"/>
            <wp:wrapSquare wrapText="bothSides"/>
            <wp:docPr id="1267179539" name="Image 48" descr="Sortie extra-véhiculaire pour travailler sur le module japonais Kibo">
              <a:hlinkClick xmlns:a="http://schemas.openxmlformats.org/drawingml/2006/main" r:id="rId114" tooltip="&quot;Sortie extra-véhiculaire pour travailler sur le module japonais Kib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ortie extra-véhiculaire pour travailler sur le module japonais Kibo">
                      <a:hlinkClick r:id="rId114" tooltip="&quot;Sortie extra-véhiculaire pour travailler sur le module japonais Kibo&quo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71780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DCA" w:rsidRPr="00705F1D">
        <w:rPr>
          <w:rFonts w:asciiTheme="minorHAnsi" w:eastAsiaTheme="minorHAnsi" w:hAnsiTheme="minorHAnsi" w:cstheme="minorBidi"/>
          <w:sz w:val="22"/>
          <w:szCs w:val="22"/>
          <w:lang w:eastAsia="en-US"/>
        </w:rPr>
        <w:t>Les opérations de maintenance occupent une partie importante du temps de l'équipage permanent de la station spatiale. La station contient des composants qui nécessitent d'être remplacés périodiquement - filtres, lampes - ou doivent être entretenus. Des défaillances se produisent régulièrement, un phénomène normal compte tenu du nombre de composants. Certains composants jouant un rôle critique se sont révélés particulièrement fragiles comme le système de support de vie (ECLSS) ou les gyroscopes victimes de deux défaillances bien avant leur fin de vie théorique dont l'une a mis à l'épreuve la résistance mécanique de la poutre de la station.</w:t>
      </w:r>
      <w:r w:rsidR="00B90DCA">
        <w:rPr>
          <w:rFonts w:ascii="Arial" w:hAnsi="Arial" w:cs="Arial"/>
          <w:color w:val="202122"/>
          <w:sz w:val="21"/>
          <w:szCs w:val="21"/>
        </w:rPr>
        <w:t> </w:t>
      </w:r>
    </w:p>
    <w:p w14:paraId="0F3B40E5" w14:textId="7EEB9C81" w:rsidR="00B90DCA" w:rsidRPr="00705F1D" w:rsidRDefault="00B90DCA" w:rsidP="00705F1D">
      <w:pPr>
        <w:pStyle w:val="gallerybox"/>
        <w:spacing w:after="24" w:afterAutospacing="0"/>
        <w:ind w:left="390" w:right="30"/>
        <w:jc w:val="center"/>
        <w:textAlignment w:val="top"/>
        <w:rPr>
          <w:rFonts w:ascii="Arial" w:hAnsi="Arial" w:cs="Arial"/>
          <w:color w:val="202122"/>
          <w:sz w:val="21"/>
          <w:szCs w:val="21"/>
        </w:rPr>
      </w:pPr>
      <w:r>
        <w:rPr>
          <w:rFonts w:ascii="Arial" w:hAnsi="Arial" w:cs="Arial"/>
          <w:noProof/>
          <w:color w:val="3366CC"/>
          <w:sz w:val="21"/>
          <w:szCs w:val="21"/>
        </w:rPr>
        <w:drawing>
          <wp:anchor distT="0" distB="0" distL="114300" distR="114300" simplePos="0" relativeHeight="251687936" behindDoc="0" locked="0" layoutInCell="1" allowOverlap="1" wp14:anchorId="2757824E" wp14:editId="534D9869">
            <wp:simplePos x="0" y="0"/>
            <wp:positionH relativeFrom="margin">
              <wp:align>left</wp:align>
            </wp:positionH>
            <wp:positionV relativeFrom="paragraph">
              <wp:posOffset>1908175</wp:posOffset>
            </wp:positionV>
            <wp:extent cx="2717800" cy="1798320"/>
            <wp:effectExtent l="0" t="0" r="6350" b="0"/>
            <wp:wrapSquare wrapText="bothSides"/>
            <wp:docPr id="618073213" name="Image 47" descr="Nicholas Patrick enlevant les blocs d'isolants et de protection entourant les sept fenêtres de la coupole du module « Tranquility »">
              <a:hlinkClick xmlns:a="http://schemas.openxmlformats.org/drawingml/2006/main" r:id="rId116" tooltip="&quot;Nicholas Patrick enlevant les blocs d'isolants et de protection entourant les sept fenêtres de la coupole du module « Tranquility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Nicholas Patrick enlevant les blocs d'isolants et de protection entourant les sept fenêtres de la coupole du module « Tranquility »">
                      <a:hlinkClick r:id="rId116" tooltip="&quot;Nicholas Patrick enlevant les blocs d'isolants et de protection entourant les sept fenêtres de la coupole du module « Tranquility »&quo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71780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0F73B4" w14:textId="39E77F98" w:rsidR="00B90DCA" w:rsidRPr="00705F1D" w:rsidRDefault="00705F1D" w:rsidP="00705F1D">
      <w:pPr>
        <w:pStyle w:val="Titre2"/>
        <w:rPr>
          <w:b/>
          <w:bCs/>
        </w:rPr>
      </w:pPr>
      <w:bookmarkStart w:id="80" w:name="_Toc133137861"/>
      <w:bookmarkStart w:id="81" w:name="_Toc133137903"/>
      <w:r w:rsidRPr="00705F1D">
        <w:rPr>
          <w:b/>
          <w:bCs/>
        </w:rPr>
        <mc:AlternateContent>
          <mc:Choice Requires="wps">
            <w:drawing>
              <wp:anchor distT="0" distB="0" distL="114300" distR="114300" simplePos="0" relativeHeight="251692032" behindDoc="0" locked="0" layoutInCell="1" allowOverlap="1" wp14:anchorId="0116CB41" wp14:editId="1C34F7A8">
                <wp:simplePos x="0" y="0"/>
                <wp:positionH relativeFrom="column">
                  <wp:posOffset>3839845</wp:posOffset>
                </wp:positionH>
                <wp:positionV relativeFrom="paragraph">
                  <wp:posOffset>1769745</wp:posOffset>
                </wp:positionV>
                <wp:extent cx="2095500" cy="635"/>
                <wp:effectExtent l="0" t="0" r="0" b="0"/>
                <wp:wrapSquare wrapText="bothSides"/>
                <wp:docPr id="1987123593"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2C3AF0F9" w14:textId="6A1B229C" w:rsidR="00705F1D" w:rsidRPr="00FD30AF" w:rsidRDefault="00705F1D" w:rsidP="00705F1D">
                            <w:pPr>
                              <w:pStyle w:val="Lgende"/>
                              <w:rPr>
                                <w:rFonts w:ascii="Arial" w:hAnsi="Arial" w:cs="Arial"/>
                                <w:noProof/>
                                <w:color w:val="3366CC"/>
                                <w:sz w:val="20"/>
                                <w:szCs w:val="20"/>
                              </w:rPr>
                            </w:pPr>
                            <w:r>
                              <w:t xml:space="preserve">Figure </w:t>
                            </w:r>
                            <w:fldSimple w:instr=" SEQ Figure \* ARABIC ">
                              <w:r>
                                <w:rPr>
                                  <w:noProof/>
                                </w:rPr>
                                <w:t>5</w:t>
                              </w:r>
                            </w:fldSimple>
                            <w:r>
                              <w:t xml:space="preserve">: </w:t>
                            </w:r>
                            <w:r w:rsidRPr="00D23EF3">
                              <w:t xml:space="preserve">Parties les plus exposées à un risque de collision avec un débris spatial (en </w:t>
                            </w:r>
                            <w:proofErr w:type="gramStart"/>
                            <w:r w:rsidRPr="00D23EF3">
                              <w:t>rouge)Parties</w:t>
                            </w:r>
                            <w:proofErr w:type="gramEnd"/>
                            <w:r w:rsidRPr="00D23EF3">
                              <w:t xml:space="preserve"> les plus exposées à un risque de collision avec un débris spatial (en rouge)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16CB41" id="_x0000_s1031" type="#_x0000_t202" style="position:absolute;margin-left:302.35pt;margin-top:139.35pt;width:16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" stroked="f">
                <v:textbox style="mso-fit-shape-to-text:t" inset="0,0,0,0">
                  <w:txbxContent>
                    <w:p w14:paraId="2C3AF0F9" w14:textId="6A1B229C" w:rsidR="00705F1D" w:rsidRPr="00FD30AF" w:rsidRDefault="00705F1D" w:rsidP="00705F1D">
                      <w:pPr>
                        <w:pStyle w:val="Lgende"/>
                        <w:rPr>
                          <w:rFonts w:ascii="Arial" w:hAnsi="Arial" w:cs="Arial"/>
                          <w:noProof/>
                          <w:color w:val="3366CC"/>
                          <w:sz w:val="20"/>
                          <w:szCs w:val="20"/>
                        </w:rPr>
                      </w:pPr>
                      <w:r>
                        <w:t xml:space="preserve">Figure </w:t>
                      </w:r>
                      <w:fldSimple w:instr=" SEQ Figure \* ARABIC ">
                        <w:r>
                          <w:rPr>
                            <w:noProof/>
                          </w:rPr>
                          <w:t>5</w:t>
                        </w:r>
                      </w:fldSimple>
                      <w:r>
                        <w:t xml:space="preserve">: </w:t>
                      </w:r>
                      <w:r w:rsidRPr="00D23EF3">
                        <w:t xml:space="preserve">Parties les plus exposées à un risque de collision avec un débris spatial (en </w:t>
                      </w:r>
                      <w:proofErr w:type="gramStart"/>
                      <w:r w:rsidRPr="00D23EF3">
                        <w:t>rouge)Parties</w:t>
                      </w:r>
                      <w:proofErr w:type="gramEnd"/>
                      <w:r w:rsidRPr="00D23EF3">
                        <w:t xml:space="preserve"> les plus exposées à un risque de collision avec un débris spatial (en rouge)</w:t>
                      </w:r>
                    </w:p>
                  </w:txbxContent>
                </v:textbox>
                <w10:wrap type="square"/>
              </v:shape>
            </w:pict>
          </mc:Fallback>
        </mc:AlternateContent>
      </w:r>
      <w:r w:rsidRPr="00705F1D">
        <w:rPr>
          <w:b/>
          <w:bCs/>
        </w:rPr>
        <w:drawing>
          <wp:anchor distT="0" distB="0" distL="114300" distR="114300" simplePos="0" relativeHeight="251689984" behindDoc="0" locked="0" layoutInCell="1" allowOverlap="1" wp14:anchorId="0D0EF51F" wp14:editId="22DF8331">
            <wp:simplePos x="0" y="0"/>
            <wp:positionH relativeFrom="column">
              <wp:posOffset>3839845</wp:posOffset>
            </wp:positionH>
            <wp:positionV relativeFrom="paragraph">
              <wp:posOffset>80010</wp:posOffset>
            </wp:positionV>
            <wp:extent cx="2095500" cy="1653540"/>
            <wp:effectExtent l="0" t="0" r="0" b="3810"/>
            <wp:wrapSquare wrapText="bothSides"/>
            <wp:docPr id="161691578" name="Image 52">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a:hlinkClick r:id="rId118"/>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095500" cy="1653540"/>
                    </a:xfrm>
                    <a:prstGeom prst="rect">
                      <a:avLst/>
                    </a:prstGeom>
                    <a:noFill/>
                    <a:ln>
                      <a:noFill/>
                    </a:ln>
                  </pic:spPr>
                </pic:pic>
              </a:graphicData>
            </a:graphic>
          </wp:anchor>
        </w:drawing>
      </w:r>
      <w:r w:rsidR="00B90DCA" w:rsidRPr="00705F1D">
        <w:rPr>
          <w:rStyle w:val="mw-headline"/>
          <w:b/>
          <w:bCs/>
        </w:rPr>
        <w:t>Risques et gestion des risques</w:t>
      </w:r>
      <w:bookmarkEnd w:id="80"/>
      <w:bookmarkEnd w:id="81"/>
    </w:p>
    <w:p w14:paraId="2BEDB1DE" w14:textId="2706C728"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La survie de la station et de son équipage dépend du bon fonctionnement d'un grand nombre de systèmes complexes et du maintien de l'intégrité de la structure pressurisée. L'équipage est loin de tout secours et est plongé dans un environnement hostile : vide spatial, débris spatiaux, températures extrêmes. La prévention des risques est donc un objectif majeur. Celui-ci est intégré dans la conception de la station, les procédures appliquées au quotidien et l'entraînement de l'équipage. Les principaux risques sont :</w:t>
      </w:r>
    </w:p>
    <w:p w14:paraId="58CD6797" w14:textId="77777777" w:rsidR="00B90DCA" w:rsidRPr="00705F1D" w:rsidRDefault="00B90DCA" w:rsidP="00705F1D">
      <w:pPr>
        <w:pStyle w:val="Paragraphedeliste"/>
        <w:numPr>
          <w:ilvl w:val="0"/>
          <w:numId w:val="37"/>
        </w:numPr>
        <w:shd w:val="clear" w:color="auto" w:fill="FFFFFF"/>
        <w:spacing w:before="100" w:beforeAutospacing="1" w:after="24" w:line="240" w:lineRule="auto"/>
        <w:jc w:val="both"/>
      </w:pPr>
      <w:proofErr w:type="gramStart"/>
      <w:r w:rsidRPr="00705F1D">
        <w:lastRenderedPageBreak/>
        <w:t>la</w:t>
      </w:r>
      <w:proofErr w:type="gramEnd"/>
      <w:r w:rsidRPr="00705F1D">
        <w:t xml:space="preserve"> perforation de la partie pressurisée de la station par un débris spatial ou une micrométéorite. Cet événement constitue le risque le plus élevé ;</w:t>
      </w:r>
    </w:p>
    <w:p w14:paraId="5B0BF2CE" w14:textId="7B64DF45" w:rsidR="00B90DCA" w:rsidRPr="00705F1D" w:rsidRDefault="00B90DCA" w:rsidP="00705F1D">
      <w:pPr>
        <w:pStyle w:val="Paragraphedeliste"/>
        <w:numPr>
          <w:ilvl w:val="0"/>
          <w:numId w:val="37"/>
        </w:numPr>
        <w:shd w:val="clear" w:color="auto" w:fill="FFFFFF"/>
        <w:spacing w:before="100" w:beforeAutospacing="1" w:after="24" w:line="240" w:lineRule="auto"/>
        <w:jc w:val="both"/>
      </w:pPr>
      <w:proofErr w:type="gramStart"/>
      <w:r w:rsidRPr="00705F1D">
        <w:t>la</w:t>
      </w:r>
      <w:proofErr w:type="gramEnd"/>
      <w:r w:rsidRPr="00705F1D">
        <w:t xml:space="preserve"> collision avec un vaisseau ravitailleur entraînant une dépressurisation (incident survenu dans la station Mir) ;</w:t>
      </w:r>
    </w:p>
    <w:p w14:paraId="746EB8B3" w14:textId="77777777" w:rsidR="00B90DCA" w:rsidRPr="00705F1D" w:rsidRDefault="00B90DCA" w:rsidP="00705F1D">
      <w:pPr>
        <w:pStyle w:val="Paragraphedeliste"/>
        <w:numPr>
          <w:ilvl w:val="0"/>
          <w:numId w:val="37"/>
        </w:numPr>
        <w:shd w:val="clear" w:color="auto" w:fill="FFFFFF"/>
        <w:spacing w:before="100" w:beforeAutospacing="1" w:after="24" w:line="240" w:lineRule="auto"/>
        <w:jc w:val="both"/>
      </w:pPr>
      <w:proofErr w:type="gramStart"/>
      <w:r w:rsidRPr="00705F1D">
        <w:t>une</w:t>
      </w:r>
      <w:proofErr w:type="gramEnd"/>
      <w:r w:rsidRPr="00705F1D">
        <w:t xml:space="preserve"> panne complète d'un système critique (support vie, énergie, régulation thermique, informatique, etc.) ;</w:t>
      </w:r>
    </w:p>
    <w:p w14:paraId="56B0B27F" w14:textId="77777777" w:rsidR="00B90DCA" w:rsidRPr="00705F1D" w:rsidRDefault="00B90DCA" w:rsidP="00705F1D">
      <w:pPr>
        <w:pStyle w:val="Paragraphedeliste"/>
        <w:numPr>
          <w:ilvl w:val="0"/>
          <w:numId w:val="37"/>
        </w:numPr>
        <w:shd w:val="clear" w:color="auto" w:fill="FFFFFF"/>
        <w:spacing w:before="100" w:beforeAutospacing="1" w:after="24" w:line="240" w:lineRule="auto"/>
        <w:jc w:val="both"/>
      </w:pPr>
      <w:proofErr w:type="gramStart"/>
      <w:r w:rsidRPr="00705F1D">
        <w:t>un</w:t>
      </w:r>
      <w:proofErr w:type="gramEnd"/>
      <w:r w:rsidRPr="00705F1D">
        <w:t xml:space="preserve"> incendie, événement qui s'est produit dans la station Mir ;</w:t>
      </w:r>
    </w:p>
    <w:p w14:paraId="53BC9B8F" w14:textId="34EB9F01" w:rsidR="00B90DCA" w:rsidRPr="00705F1D" w:rsidRDefault="00B90DCA" w:rsidP="00705F1D">
      <w:pPr>
        <w:pStyle w:val="Paragraphedeliste"/>
        <w:numPr>
          <w:ilvl w:val="0"/>
          <w:numId w:val="37"/>
        </w:numPr>
        <w:shd w:val="clear" w:color="auto" w:fill="FFFFFF"/>
        <w:spacing w:before="100" w:beforeAutospacing="1" w:after="24" w:line="240" w:lineRule="auto"/>
        <w:jc w:val="both"/>
      </w:pPr>
      <w:proofErr w:type="gramStart"/>
      <w:r w:rsidRPr="00705F1D">
        <w:t>une</w:t>
      </w:r>
      <w:proofErr w:type="gramEnd"/>
      <w:r w:rsidRPr="00705F1D">
        <w:t xml:space="preserve"> décompression durant une sortie extravéhiculaire (perforation de la combinaison spatiale par une micrométéorite, etc.).</w:t>
      </w:r>
    </w:p>
    <w:p w14:paraId="05A8AC99" w14:textId="353387A2" w:rsidR="00B90DCA" w:rsidRPr="00705F1D" w:rsidRDefault="00B90DCA" w:rsidP="00705F1D">
      <w:pPr>
        <w:pStyle w:val="Titre3"/>
        <w:rPr>
          <w:b/>
          <w:bCs/>
        </w:rPr>
      </w:pPr>
      <w:bookmarkStart w:id="82" w:name="_Toc133137862"/>
      <w:bookmarkStart w:id="83" w:name="_Toc133137904"/>
      <w:r w:rsidRPr="00705F1D">
        <w:rPr>
          <w:rStyle w:val="mw-headline"/>
          <w:b/>
          <w:bCs/>
        </w:rPr>
        <w:t>Menace des débris spatiaux et des micrométéorites</w:t>
      </w:r>
      <w:bookmarkEnd w:id="82"/>
      <w:bookmarkEnd w:id="83"/>
    </w:p>
    <w:p w14:paraId="2883288D" w14:textId="45CDDE14" w:rsidR="00B90DCA" w:rsidRPr="00705F1D" w:rsidRDefault="00705F1D"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94080" behindDoc="0" locked="0" layoutInCell="1" allowOverlap="1" wp14:anchorId="1AFFEF81" wp14:editId="17B09A0A">
            <wp:simplePos x="0" y="0"/>
            <wp:positionH relativeFrom="margin">
              <wp:posOffset>3756660</wp:posOffset>
            </wp:positionH>
            <wp:positionV relativeFrom="paragraph">
              <wp:posOffset>1650365</wp:posOffset>
            </wp:positionV>
            <wp:extent cx="2095500" cy="1394460"/>
            <wp:effectExtent l="0" t="0" r="0" b="0"/>
            <wp:wrapSquare wrapText="bothSides"/>
            <wp:docPr id="2123720912" name="Image 50">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Pr>
          <w:rFonts w:ascii="Arial" w:hAnsi="Arial" w:cs="Arial"/>
          <w:noProof/>
          <w:color w:val="3366CC"/>
          <w:sz w:val="20"/>
          <w:szCs w:val="20"/>
        </w:rPr>
        <w:drawing>
          <wp:anchor distT="0" distB="0" distL="114300" distR="114300" simplePos="0" relativeHeight="251693056" behindDoc="0" locked="0" layoutInCell="1" allowOverlap="1" wp14:anchorId="11DE5F6F" wp14:editId="19A2A618">
            <wp:simplePos x="0" y="0"/>
            <wp:positionH relativeFrom="column">
              <wp:posOffset>3725545</wp:posOffset>
            </wp:positionH>
            <wp:positionV relativeFrom="paragraph">
              <wp:posOffset>83185</wp:posOffset>
            </wp:positionV>
            <wp:extent cx="2095500" cy="1394460"/>
            <wp:effectExtent l="0" t="0" r="0" b="0"/>
            <wp:wrapSquare wrapText="bothSides"/>
            <wp:docPr id="317119749" name="Image 51">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00B90DCA" w:rsidRPr="00705F1D">
        <w:rPr>
          <w:rFonts w:asciiTheme="minorHAnsi" w:eastAsiaTheme="minorHAnsi" w:hAnsiTheme="minorHAnsi" w:cstheme="minorBidi"/>
          <w:sz w:val="22"/>
          <w:szCs w:val="22"/>
          <w:lang w:eastAsia="en-US"/>
        </w:rPr>
        <w:t xml:space="preserve">La station spatiale est placée sur une orbite où circule également, à des vitesses relatives qui peuvent dépasser 20 km par seconde, une grande variété de débris spatiaux : étages de fusée, satellites hors service, débris d'engins explosés, restes de moteurs à propulsion solide, écailles de peinture, liquide réfrigérant du générateur nucléaire des satellites RORSAT, petites aiguilles et autres objets. Ces débris, ainsi que les micrométéorites constituent une menace pour la station car ils peuvent percer la coque des modules pressurisés ou endommager les autres parties vitales de la station. Les experts américains évaluent la probabilité de pénétration de la partie pressurisée par un débris à 29 % sur une période de 15 ans ; la probabilité d'abandon de la station est de 8 % et celui de la perte de la station, avec éventuellement perte de l'équipage, de 5 %. Ces chiffres partent de l'hypothèse que les protections </w:t>
      </w:r>
      <w:proofErr w:type="spellStart"/>
      <w:r w:rsidR="00B90DCA" w:rsidRPr="00705F1D">
        <w:rPr>
          <w:rFonts w:asciiTheme="minorHAnsi" w:eastAsiaTheme="minorHAnsi" w:hAnsiTheme="minorHAnsi" w:cstheme="minorBidi"/>
          <w:sz w:val="22"/>
          <w:szCs w:val="22"/>
          <w:lang w:eastAsia="en-US"/>
        </w:rPr>
        <w:t>anti-débris</w:t>
      </w:r>
      <w:proofErr w:type="spellEnd"/>
      <w:r w:rsidR="00B90DCA" w:rsidRPr="00705F1D">
        <w:rPr>
          <w:rFonts w:asciiTheme="minorHAnsi" w:eastAsiaTheme="minorHAnsi" w:hAnsiTheme="minorHAnsi" w:cstheme="minorBidi"/>
          <w:sz w:val="22"/>
          <w:szCs w:val="22"/>
          <w:lang w:eastAsia="en-US"/>
        </w:rPr>
        <w:t xml:space="preserve"> des vaisseaux Progress et Soyouz sont améliorées : si ce n'est pas le cas la probabilité de perforation passe à 46 %. Ces chiffres sont jugés pessimistes par les Russes qui se reposent sur l'expérience accumulée avec la station Mir.</w:t>
      </w:r>
    </w:p>
    <w:p w14:paraId="4AB77FFD" w14:textId="15D43A47"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La trajectoire des débris de plus de 10 cm est surveillée depuis le sol et l'équipage est averti lorsque l'un d'entre eux est susceptible de passer à proximité de la station. Cela permet à l'équipage de modifier l'orbite de la station (</w:t>
      </w:r>
      <w:proofErr w:type="spellStart"/>
      <w:r w:rsidRPr="00705F1D">
        <w:rPr>
          <w:rFonts w:asciiTheme="minorHAnsi" w:eastAsiaTheme="minorHAnsi" w:hAnsiTheme="minorHAnsi" w:cstheme="minorBidi"/>
          <w:sz w:val="22"/>
          <w:szCs w:val="22"/>
          <w:lang w:eastAsia="en-US"/>
        </w:rPr>
        <w:t>Debris</w:t>
      </w:r>
      <w:proofErr w:type="spellEnd"/>
      <w:r w:rsidRPr="00705F1D">
        <w:rPr>
          <w:rFonts w:asciiTheme="minorHAnsi" w:eastAsiaTheme="minorHAnsi" w:hAnsiTheme="minorHAnsi" w:cstheme="minorBidi"/>
          <w:sz w:val="22"/>
          <w:szCs w:val="22"/>
          <w:lang w:eastAsia="en-US"/>
        </w:rPr>
        <w:t xml:space="preserve"> </w:t>
      </w:r>
      <w:proofErr w:type="spellStart"/>
      <w:r w:rsidRPr="00705F1D">
        <w:rPr>
          <w:rFonts w:asciiTheme="minorHAnsi" w:eastAsiaTheme="minorHAnsi" w:hAnsiTheme="minorHAnsi" w:cstheme="minorBidi"/>
          <w:sz w:val="22"/>
          <w:szCs w:val="22"/>
          <w:lang w:eastAsia="en-US"/>
        </w:rPr>
        <w:t>Avoidance</w:t>
      </w:r>
      <w:proofErr w:type="spellEnd"/>
      <w:r w:rsidRPr="00705F1D">
        <w:rPr>
          <w:rFonts w:asciiTheme="minorHAnsi" w:eastAsiaTheme="minorHAnsi" w:hAnsiTheme="minorHAnsi" w:cstheme="minorBidi"/>
          <w:sz w:val="22"/>
          <w:szCs w:val="22"/>
          <w:lang w:eastAsia="en-US"/>
        </w:rPr>
        <w:t xml:space="preserve"> Manœuvre DAM) en utilisant les propulseurs des modules russes pour s'écarter de la trajectoire du débris. Si celui-ci est identifié trop tard pour permettre la réalisation d'une manœuvre, l'équipage a pour consigne de fermer toutes les écoutilles à l'intérieur de la station et de s'installer dans les vaisseaux Soyouz qui permettent, si nécessaire, de rejoindre le sol. Cette évacuation partielle a déjà eu lieu à deux reprises le 13 mars 2009 et le 28 juin 2011. Les débris d'une taille inférieure à 10 cm, trop nombreux et trop petits, ne peuvent être surveillés depuis le sol. L'équipage s'entraîne donc régulièrement à faire face à une dépressurisation : la station est équipée de détecteurs de perte de pression qui permettent de calculer à quel moment l'atmosphère deviendra irrespirable. L'équipage peut ralentir les pertes en coupant le système de ventilation et tenter de détecter et obturer la fuite. Si la brèche dans la coque a une superficie de quelques cm², l'équipage dispose théoriquement d'un délai de plusieurs heures avant que la situation devienne intenable. Si la réparation se révèle impossible, l'équipage doit se replier vers les modules intacts en fermant les écoutilles internes ou évacuer la station à bord des vaisseaux Soyouz. Depuis le passage à 6 occupants permanents en mai 2009, deux vaisseaux Soyouz triplaces sont amarrés en permanence aux modules russes en prévision d'un événement de ce type.</w:t>
      </w:r>
    </w:p>
    <w:p w14:paraId="7CB5F3C9" w14:textId="28B3AFE8"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Les débris constituent également une menace durant les sorties extravéhiculaires des astronautes, car ils peuvent perforer les combinaisons spatiales et entraîner une dépressurisation mortelle (l'astronaute dispose d'environ 15 secondes pour réagir avant de perdre conscience).</w:t>
      </w:r>
    </w:p>
    <w:p w14:paraId="691E7299" w14:textId="75DB4835" w:rsidR="00B90DCA" w:rsidRDefault="00B90DCA" w:rsidP="00705F1D">
      <w:pPr>
        <w:shd w:val="clear" w:color="auto" w:fill="F8F9FA"/>
        <w:jc w:val="center"/>
        <w:rPr>
          <w:rFonts w:ascii="Arial" w:hAnsi="Arial" w:cs="Arial"/>
          <w:color w:val="202122"/>
          <w:sz w:val="19"/>
          <w:szCs w:val="19"/>
        </w:rPr>
      </w:pPr>
    </w:p>
    <w:p w14:paraId="501F40B5" w14:textId="002402A1"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lastRenderedPageBreak/>
        <w:t>La probabilité d'une perforation de la tenue spatiale est toutefois, selon les experts américains, très faible compte tenu de la distribution des débris et des protections incorporées dans les combinaisons spatiales : 6 % après 2 700 heures d'activités extravéhiculaires d'une équipe de deux personnes. L'astronaute peut également perforer sa combinaison en y faisant un accroc (survenu une fois mais sans conséquence) ou partir à la dérive. Pour combattre ce dernier risque, les procédures concernant l'accrochage sont très strictes et en ultime recours l'astronaute emporte un dispositif propulsif, le SAFER, fournissant un delta-v cumulé de 3 m/s.</w:t>
      </w:r>
    </w:p>
    <w:p w14:paraId="5A023386" w14:textId="78E1E8B9" w:rsidR="00B90DCA" w:rsidRPr="00705F1D" w:rsidRDefault="00B90DCA" w:rsidP="00705F1D">
      <w:pPr>
        <w:pStyle w:val="Titre3"/>
        <w:rPr>
          <w:b/>
          <w:bCs/>
        </w:rPr>
      </w:pPr>
      <w:bookmarkStart w:id="84" w:name="_Toc133137863"/>
      <w:bookmarkStart w:id="85" w:name="_Toc133137905"/>
      <w:r w:rsidRPr="00705F1D">
        <w:rPr>
          <w:rStyle w:val="mw-headline"/>
          <w:b/>
          <w:bCs/>
        </w:rPr>
        <w:t>Autres risques</w:t>
      </w:r>
      <w:bookmarkEnd w:id="84"/>
      <w:bookmarkEnd w:id="85"/>
    </w:p>
    <w:p w14:paraId="217F785E" w14:textId="6807EE70" w:rsidR="00B90DCA" w:rsidRPr="00705F1D" w:rsidRDefault="00B90DCA" w:rsidP="00705F1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05F1D">
        <w:rPr>
          <w:rFonts w:asciiTheme="minorHAnsi" w:eastAsiaTheme="minorHAnsi" w:hAnsiTheme="minorHAnsi" w:cstheme="minorBidi"/>
          <w:sz w:val="22"/>
          <w:szCs w:val="22"/>
          <w:lang w:eastAsia="en-US"/>
        </w:rPr>
        <w:t>De nombreux capteurs permettent aux contrôleurs au sol, qui assurent une surveillance permanente ainsi qu'aux systèmes de contrôle automatique de la station de détecter des changements pouvant affecter de manière grave le fonctionnement de la station : modification de la composition de l'atmosphère (augmentation du taux de CO2, présence de gaz toxiques), début d'incendie... L'équipage est averti et des contre-mesures sont mises en œuvre éventuellement automatiquement. Les fonctions critiques de la station doivent être normalement assurées même en cas de double défaillance, contrainte prise en compte par la présence de redondances : il y a ainsi deux systèmes permettant de renouveler l'oxygène auxquels s'ajoute un système de secours basé sur des bouteilles d'oxygène et des cartouches chimiques. Les systèmes les plus vulnérables sont le circuit de régulation thermique et l'alimentation électrique du fait de la présence de composants critiques uniques. La station peut néanmoins continuer à fonctionner en cas de panne de ces systèmes mais en mode dégradé. Pour pouvoir remettre en marche les systèmes défaillants l'équipage dispose à l'intérieur et à l'extérieur de la station d'un certain nombre de pièces de rechange pré-positionnées (en particulier pour les composants critiques), de kits de réparation et de boites à outils173. Les vols de la navette spatiale en 2010 furent en partie utilisés pour constituer un stock de pièces de rechange important car leur transport deviendra plus difficile après le retrait définitif de la navette.</w:t>
      </w:r>
    </w:p>
    <w:p w14:paraId="4A2F3E90" w14:textId="77777777" w:rsidR="00B90DCA" w:rsidRDefault="00B90DCA" w:rsidP="0002779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6C3D3C8" w14:textId="77777777" w:rsidR="00B90DCA" w:rsidRPr="00027791" w:rsidRDefault="00B90DCA" w:rsidP="0002779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sectPr w:rsidR="00B90DCA" w:rsidRPr="00027791">
      <w:headerReference w:type="default" r:id="rId124"/>
      <w:footerReference w:type="default" r:id="rId1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CF6C9" w14:textId="77777777" w:rsidR="00843B6D" w:rsidRDefault="00843B6D" w:rsidP="00B33482">
      <w:pPr>
        <w:spacing w:after="0" w:line="240" w:lineRule="auto"/>
      </w:pPr>
      <w:r>
        <w:separator/>
      </w:r>
    </w:p>
  </w:endnote>
  <w:endnote w:type="continuationSeparator" w:id="0">
    <w:p w14:paraId="1A7B8408" w14:textId="77777777" w:rsidR="00843B6D" w:rsidRDefault="00843B6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5DB62" w14:textId="77777777" w:rsidR="00843B6D" w:rsidRDefault="00843B6D" w:rsidP="00B33482">
      <w:pPr>
        <w:spacing w:after="0" w:line="240" w:lineRule="auto"/>
      </w:pPr>
      <w:r>
        <w:separator/>
      </w:r>
    </w:p>
  </w:footnote>
  <w:footnote w:type="continuationSeparator" w:id="0">
    <w:p w14:paraId="6EDA95DC" w14:textId="77777777" w:rsidR="00843B6D" w:rsidRDefault="00843B6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576A2AF" w:rsidR="00B33482" w:rsidRPr="00F67AFF" w:rsidRDefault="001C111B" w:rsidP="00F67AFF">
    <w:pPr>
      <w:pStyle w:val="En-tte"/>
    </w:pPr>
    <w:r>
      <w:t xml:space="preserve">HISTOIRE </w:t>
    </w:r>
    <w:r w:rsidR="00A27E26">
      <w:t>–</w:t>
    </w:r>
    <w:r>
      <w:t xml:space="preserve"> </w:t>
    </w:r>
    <w:r w:rsidR="00A27E26">
      <w:t xml:space="preserve">Programme </w:t>
    </w:r>
    <w:r w:rsidR="00027791">
      <w:t>ISS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52E5"/>
    <w:multiLevelType w:val="multilevel"/>
    <w:tmpl w:val="C63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8D0"/>
    <w:multiLevelType w:val="multilevel"/>
    <w:tmpl w:val="BD0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5352"/>
    <w:multiLevelType w:val="multilevel"/>
    <w:tmpl w:val="661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305CF"/>
    <w:multiLevelType w:val="hybridMultilevel"/>
    <w:tmpl w:val="EE3647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4938E9"/>
    <w:multiLevelType w:val="multilevel"/>
    <w:tmpl w:val="F68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447F2"/>
    <w:multiLevelType w:val="multilevel"/>
    <w:tmpl w:val="B42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A3395"/>
    <w:multiLevelType w:val="hybridMultilevel"/>
    <w:tmpl w:val="17464D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CC2900"/>
    <w:multiLevelType w:val="multilevel"/>
    <w:tmpl w:val="627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17899"/>
    <w:multiLevelType w:val="multilevel"/>
    <w:tmpl w:val="B69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E0C49"/>
    <w:multiLevelType w:val="multilevel"/>
    <w:tmpl w:val="F8C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15EEF"/>
    <w:multiLevelType w:val="multilevel"/>
    <w:tmpl w:val="8E4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63B56"/>
    <w:multiLevelType w:val="multilevel"/>
    <w:tmpl w:val="196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D7544"/>
    <w:multiLevelType w:val="multilevel"/>
    <w:tmpl w:val="F7F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F18F3"/>
    <w:multiLevelType w:val="multilevel"/>
    <w:tmpl w:val="D14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11C60"/>
    <w:multiLevelType w:val="hybridMultilevel"/>
    <w:tmpl w:val="7ABE3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F505D2"/>
    <w:multiLevelType w:val="hybridMultilevel"/>
    <w:tmpl w:val="DB6C44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2362FB"/>
    <w:multiLevelType w:val="multilevel"/>
    <w:tmpl w:val="F29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73C89"/>
    <w:multiLevelType w:val="multilevel"/>
    <w:tmpl w:val="14EC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2648B"/>
    <w:multiLevelType w:val="multilevel"/>
    <w:tmpl w:val="E20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B25E7"/>
    <w:multiLevelType w:val="multilevel"/>
    <w:tmpl w:val="714E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D2813"/>
    <w:multiLevelType w:val="multilevel"/>
    <w:tmpl w:val="183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20745"/>
    <w:multiLevelType w:val="hybridMultilevel"/>
    <w:tmpl w:val="038ED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2D0271"/>
    <w:multiLevelType w:val="multilevel"/>
    <w:tmpl w:val="D59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02349"/>
    <w:multiLevelType w:val="multilevel"/>
    <w:tmpl w:val="CCB4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A4A11"/>
    <w:multiLevelType w:val="hybridMultilevel"/>
    <w:tmpl w:val="7EA4D4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DF43E7A"/>
    <w:multiLevelType w:val="multilevel"/>
    <w:tmpl w:val="284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7C54DB0"/>
    <w:multiLevelType w:val="multilevel"/>
    <w:tmpl w:val="5E3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B3036"/>
    <w:multiLevelType w:val="multilevel"/>
    <w:tmpl w:val="93D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96367"/>
    <w:multiLevelType w:val="hybridMultilevel"/>
    <w:tmpl w:val="4F947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4D1F13"/>
    <w:multiLevelType w:val="multilevel"/>
    <w:tmpl w:val="AD4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E28A0"/>
    <w:multiLevelType w:val="multilevel"/>
    <w:tmpl w:val="9DC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13C1F"/>
    <w:multiLevelType w:val="multilevel"/>
    <w:tmpl w:val="7A7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57348"/>
    <w:multiLevelType w:val="multilevel"/>
    <w:tmpl w:val="A7C4944E"/>
    <w:lvl w:ilvl="0">
      <w:start w:val="1"/>
      <w:numFmt w:val="bullet"/>
      <w:lvlText w:val=""/>
      <w:lvlJc w:val="left"/>
      <w:pPr>
        <w:tabs>
          <w:tab w:val="num" w:pos="-2256"/>
        </w:tabs>
        <w:ind w:left="-2256" w:hanging="360"/>
      </w:pPr>
      <w:rPr>
        <w:rFonts w:ascii="Symbol" w:hAnsi="Symbol" w:hint="default"/>
        <w:sz w:val="20"/>
      </w:rPr>
    </w:lvl>
    <w:lvl w:ilvl="1" w:tentative="1">
      <w:start w:val="1"/>
      <w:numFmt w:val="bullet"/>
      <w:lvlText w:val="o"/>
      <w:lvlJc w:val="left"/>
      <w:pPr>
        <w:tabs>
          <w:tab w:val="num" w:pos="-1536"/>
        </w:tabs>
        <w:ind w:left="-1536" w:hanging="360"/>
      </w:pPr>
      <w:rPr>
        <w:rFonts w:ascii="Courier New" w:hAnsi="Courier New" w:hint="default"/>
        <w:sz w:val="20"/>
      </w:rPr>
    </w:lvl>
    <w:lvl w:ilvl="2" w:tentative="1">
      <w:start w:val="1"/>
      <w:numFmt w:val="bullet"/>
      <w:lvlText w:val=""/>
      <w:lvlJc w:val="left"/>
      <w:pPr>
        <w:tabs>
          <w:tab w:val="num" w:pos="-816"/>
        </w:tabs>
        <w:ind w:left="-816" w:hanging="360"/>
      </w:pPr>
      <w:rPr>
        <w:rFonts w:ascii="Wingdings" w:hAnsi="Wingdings" w:hint="default"/>
        <w:sz w:val="20"/>
      </w:rPr>
    </w:lvl>
    <w:lvl w:ilvl="3" w:tentative="1">
      <w:start w:val="1"/>
      <w:numFmt w:val="bullet"/>
      <w:lvlText w:val=""/>
      <w:lvlJc w:val="left"/>
      <w:pPr>
        <w:tabs>
          <w:tab w:val="num" w:pos="-96"/>
        </w:tabs>
        <w:ind w:left="-96" w:hanging="360"/>
      </w:pPr>
      <w:rPr>
        <w:rFonts w:ascii="Wingdings" w:hAnsi="Wingdings" w:hint="default"/>
        <w:sz w:val="20"/>
      </w:rPr>
    </w:lvl>
    <w:lvl w:ilvl="4" w:tentative="1">
      <w:start w:val="1"/>
      <w:numFmt w:val="bullet"/>
      <w:lvlText w:val=""/>
      <w:lvlJc w:val="left"/>
      <w:pPr>
        <w:tabs>
          <w:tab w:val="num" w:pos="624"/>
        </w:tabs>
        <w:ind w:left="624" w:hanging="360"/>
      </w:pPr>
      <w:rPr>
        <w:rFonts w:ascii="Wingdings" w:hAnsi="Wingdings" w:hint="default"/>
        <w:sz w:val="20"/>
      </w:rPr>
    </w:lvl>
    <w:lvl w:ilvl="5" w:tentative="1">
      <w:start w:val="1"/>
      <w:numFmt w:val="bullet"/>
      <w:lvlText w:val=""/>
      <w:lvlJc w:val="left"/>
      <w:pPr>
        <w:tabs>
          <w:tab w:val="num" w:pos="1344"/>
        </w:tabs>
        <w:ind w:left="1344" w:hanging="360"/>
      </w:pPr>
      <w:rPr>
        <w:rFonts w:ascii="Wingdings" w:hAnsi="Wingdings" w:hint="default"/>
        <w:sz w:val="20"/>
      </w:rPr>
    </w:lvl>
    <w:lvl w:ilvl="6" w:tentative="1">
      <w:start w:val="1"/>
      <w:numFmt w:val="bullet"/>
      <w:lvlText w:val=""/>
      <w:lvlJc w:val="left"/>
      <w:pPr>
        <w:tabs>
          <w:tab w:val="num" w:pos="2064"/>
        </w:tabs>
        <w:ind w:left="2064" w:hanging="360"/>
      </w:pPr>
      <w:rPr>
        <w:rFonts w:ascii="Wingdings" w:hAnsi="Wingdings" w:hint="default"/>
        <w:sz w:val="20"/>
      </w:rPr>
    </w:lvl>
    <w:lvl w:ilvl="7" w:tentative="1">
      <w:start w:val="1"/>
      <w:numFmt w:val="bullet"/>
      <w:lvlText w:val=""/>
      <w:lvlJc w:val="left"/>
      <w:pPr>
        <w:tabs>
          <w:tab w:val="num" w:pos="2784"/>
        </w:tabs>
        <w:ind w:left="2784" w:hanging="360"/>
      </w:pPr>
      <w:rPr>
        <w:rFonts w:ascii="Wingdings" w:hAnsi="Wingdings" w:hint="default"/>
        <w:sz w:val="20"/>
      </w:rPr>
    </w:lvl>
    <w:lvl w:ilvl="8" w:tentative="1">
      <w:start w:val="1"/>
      <w:numFmt w:val="bullet"/>
      <w:lvlText w:val=""/>
      <w:lvlJc w:val="left"/>
      <w:pPr>
        <w:tabs>
          <w:tab w:val="num" w:pos="3504"/>
        </w:tabs>
        <w:ind w:left="3504" w:hanging="360"/>
      </w:pPr>
      <w:rPr>
        <w:rFonts w:ascii="Wingdings" w:hAnsi="Wingdings" w:hint="default"/>
        <w:sz w:val="20"/>
      </w:rPr>
    </w:lvl>
  </w:abstractNum>
  <w:abstractNum w:abstractNumId="3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86E6D8B"/>
    <w:multiLevelType w:val="multilevel"/>
    <w:tmpl w:val="6286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D6346"/>
    <w:multiLevelType w:val="multilevel"/>
    <w:tmpl w:val="622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34"/>
  </w:num>
  <w:num w:numId="2" w16cid:durableId="581375566">
    <w:abstractNumId w:val="26"/>
  </w:num>
  <w:num w:numId="3" w16cid:durableId="793519564">
    <w:abstractNumId w:val="27"/>
  </w:num>
  <w:num w:numId="4" w16cid:durableId="1012684483">
    <w:abstractNumId w:val="30"/>
  </w:num>
  <w:num w:numId="5" w16cid:durableId="1005085219">
    <w:abstractNumId w:val="9"/>
  </w:num>
  <w:num w:numId="6" w16cid:durableId="714698473">
    <w:abstractNumId w:val="11"/>
  </w:num>
  <w:num w:numId="7" w16cid:durableId="795101883">
    <w:abstractNumId w:val="36"/>
  </w:num>
  <w:num w:numId="8" w16cid:durableId="909540206">
    <w:abstractNumId w:val="20"/>
  </w:num>
  <w:num w:numId="9" w16cid:durableId="1889759441">
    <w:abstractNumId w:val="33"/>
  </w:num>
  <w:num w:numId="10" w16cid:durableId="1054158145">
    <w:abstractNumId w:val="23"/>
  </w:num>
  <w:num w:numId="11" w16cid:durableId="1113094091">
    <w:abstractNumId w:val="18"/>
  </w:num>
  <w:num w:numId="12" w16cid:durableId="1717464676">
    <w:abstractNumId w:val="1"/>
  </w:num>
  <w:num w:numId="13" w16cid:durableId="930115791">
    <w:abstractNumId w:val="32"/>
  </w:num>
  <w:num w:numId="14" w16cid:durableId="2076003024">
    <w:abstractNumId w:val="13"/>
  </w:num>
  <w:num w:numId="15" w16cid:durableId="1105074848">
    <w:abstractNumId w:val="31"/>
  </w:num>
  <w:num w:numId="16" w16cid:durableId="575171587">
    <w:abstractNumId w:val="2"/>
  </w:num>
  <w:num w:numId="17" w16cid:durableId="168183697">
    <w:abstractNumId w:val="12"/>
  </w:num>
  <w:num w:numId="18" w16cid:durableId="1547133172">
    <w:abstractNumId w:val="22"/>
  </w:num>
  <w:num w:numId="19" w16cid:durableId="710301219">
    <w:abstractNumId w:val="5"/>
  </w:num>
  <w:num w:numId="20" w16cid:durableId="1410158714">
    <w:abstractNumId w:val="28"/>
  </w:num>
  <w:num w:numId="21" w16cid:durableId="194268040">
    <w:abstractNumId w:val="8"/>
  </w:num>
  <w:num w:numId="22" w16cid:durableId="1149783231">
    <w:abstractNumId w:val="25"/>
  </w:num>
  <w:num w:numId="23" w16cid:durableId="178130607">
    <w:abstractNumId w:val="17"/>
  </w:num>
  <w:num w:numId="24" w16cid:durableId="250814474">
    <w:abstractNumId w:val="35"/>
  </w:num>
  <w:num w:numId="25" w16cid:durableId="1360399072">
    <w:abstractNumId w:val="4"/>
  </w:num>
  <w:num w:numId="26" w16cid:durableId="1999647225">
    <w:abstractNumId w:val="19"/>
  </w:num>
  <w:num w:numId="27" w16cid:durableId="1713965010">
    <w:abstractNumId w:val="0"/>
  </w:num>
  <w:num w:numId="28" w16cid:durableId="1515731486">
    <w:abstractNumId w:val="10"/>
  </w:num>
  <w:num w:numId="29" w16cid:durableId="1624537822">
    <w:abstractNumId w:val="16"/>
  </w:num>
  <w:num w:numId="30" w16cid:durableId="191961174">
    <w:abstractNumId w:val="7"/>
  </w:num>
  <w:num w:numId="31" w16cid:durableId="1067145899">
    <w:abstractNumId w:val="6"/>
  </w:num>
  <w:num w:numId="32" w16cid:durableId="678045862">
    <w:abstractNumId w:val="14"/>
  </w:num>
  <w:num w:numId="33" w16cid:durableId="590898682">
    <w:abstractNumId w:val="3"/>
  </w:num>
  <w:num w:numId="34" w16cid:durableId="889145934">
    <w:abstractNumId w:val="24"/>
  </w:num>
  <w:num w:numId="35" w16cid:durableId="2091998755">
    <w:abstractNumId w:val="21"/>
  </w:num>
  <w:num w:numId="36" w16cid:durableId="764808370">
    <w:abstractNumId w:val="15"/>
  </w:num>
  <w:num w:numId="37" w16cid:durableId="83160055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791"/>
    <w:rsid w:val="001C111B"/>
    <w:rsid w:val="00275575"/>
    <w:rsid w:val="002D54BA"/>
    <w:rsid w:val="003618C1"/>
    <w:rsid w:val="00387164"/>
    <w:rsid w:val="003A01AC"/>
    <w:rsid w:val="003C27D8"/>
    <w:rsid w:val="003D5A98"/>
    <w:rsid w:val="005C020A"/>
    <w:rsid w:val="006A5D23"/>
    <w:rsid w:val="006B3018"/>
    <w:rsid w:val="00705F1D"/>
    <w:rsid w:val="00757B00"/>
    <w:rsid w:val="007B298A"/>
    <w:rsid w:val="007E575E"/>
    <w:rsid w:val="00832021"/>
    <w:rsid w:val="00843B6D"/>
    <w:rsid w:val="008E7FE0"/>
    <w:rsid w:val="00A27E26"/>
    <w:rsid w:val="00A47F45"/>
    <w:rsid w:val="00A54D46"/>
    <w:rsid w:val="00B33482"/>
    <w:rsid w:val="00B84C30"/>
    <w:rsid w:val="00B876E3"/>
    <w:rsid w:val="00B90DCA"/>
    <w:rsid w:val="00B94464"/>
    <w:rsid w:val="00BF3640"/>
    <w:rsid w:val="00D63183"/>
    <w:rsid w:val="00E016DE"/>
    <w:rsid w:val="00E033D8"/>
    <w:rsid w:val="00E15E54"/>
    <w:rsid w:val="00E71370"/>
    <w:rsid w:val="00E94892"/>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B3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6A5D23"/>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nowrap">
    <w:name w:val="nowrap"/>
    <w:basedOn w:val="Policepardfaut"/>
    <w:rsid w:val="00387164"/>
  </w:style>
  <w:style w:type="character" w:customStyle="1" w:styleId="datasortkey">
    <w:name w:val="datasortkey"/>
    <w:basedOn w:val="Policepardfaut"/>
    <w:rsid w:val="00387164"/>
  </w:style>
  <w:style w:type="character" w:customStyle="1" w:styleId="flagicon">
    <w:name w:val="flagicon"/>
    <w:basedOn w:val="Policepardfaut"/>
    <w:rsid w:val="00387164"/>
  </w:style>
  <w:style w:type="character" w:customStyle="1" w:styleId="Titre3Car">
    <w:name w:val="Titre 3 Car"/>
    <w:basedOn w:val="Policepardfaut"/>
    <w:link w:val="Titre3"/>
    <w:uiPriority w:val="9"/>
    <w:rsid w:val="006B3018"/>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6B3018"/>
  </w:style>
  <w:style w:type="character" w:customStyle="1" w:styleId="mw-editsection-bracket">
    <w:name w:val="mw-editsection-bracket"/>
    <w:basedOn w:val="Policepardfaut"/>
    <w:rsid w:val="006B3018"/>
  </w:style>
  <w:style w:type="character" w:customStyle="1" w:styleId="mw-editsection-divider">
    <w:name w:val="mw-editsection-divider"/>
    <w:basedOn w:val="Policepardfaut"/>
    <w:rsid w:val="006B3018"/>
  </w:style>
  <w:style w:type="character" w:customStyle="1" w:styleId="lang-en">
    <w:name w:val="lang-en"/>
    <w:basedOn w:val="Policepardfaut"/>
    <w:rsid w:val="006B3018"/>
  </w:style>
  <w:style w:type="character" w:customStyle="1" w:styleId="Titre5Car">
    <w:name w:val="Titre 5 Car"/>
    <w:basedOn w:val="Policepardfaut"/>
    <w:link w:val="Titre5"/>
    <w:uiPriority w:val="9"/>
    <w:rsid w:val="006A5D23"/>
    <w:rPr>
      <w:rFonts w:ascii="Times New Roman" w:eastAsia="Times New Roman" w:hAnsi="Times New Roman" w:cs="Times New Roman"/>
      <w:b/>
      <w:bCs/>
      <w:sz w:val="20"/>
      <w:szCs w:val="20"/>
      <w:lang w:eastAsia="fr-FR"/>
    </w:rPr>
  </w:style>
  <w:style w:type="paragraph" w:customStyle="1" w:styleId="msonormal0">
    <w:name w:val="msonormal"/>
    <w:basedOn w:val="Normal"/>
    <w:rsid w:val="006A5D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6A5D23"/>
    <w:rPr>
      <w:color w:val="800080"/>
      <w:u w:val="single"/>
    </w:rPr>
  </w:style>
  <w:style w:type="character" w:customStyle="1" w:styleId="citation">
    <w:name w:val="citation"/>
    <w:basedOn w:val="Policepardfaut"/>
    <w:rsid w:val="006A5D23"/>
  </w:style>
  <w:style w:type="character" w:customStyle="1" w:styleId="italique">
    <w:name w:val="italique"/>
    <w:basedOn w:val="Policepardfaut"/>
    <w:rsid w:val="006A5D23"/>
  </w:style>
  <w:style w:type="character" w:customStyle="1" w:styleId="indicateur-langue">
    <w:name w:val="indicateur-langue"/>
    <w:basedOn w:val="Policepardfaut"/>
    <w:rsid w:val="006A5D23"/>
  </w:style>
  <w:style w:type="character" w:customStyle="1" w:styleId="lang-ru">
    <w:name w:val="lang-ru"/>
    <w:basedOn w:val="Policepardfaut"/>
    <w:rsid w:val="006A5D23"/>
  </w:style>
  <w:style w:type="character" w:customStyle="1" w:styleId="mw-tmh-player">
    <w:name w:val="mw-tmh-player"/>
    <w:basedOn w:val="Policepardfaut"/>
    <w:rsid w:val="006A5D23"/>
  </w:style>
  <w:style w:type="character" w:customStyle="1" w:styleId="mw-tmh-play-icon">
    <w:name w:val="mw-tmh-play-icon"/>
    <w:basedOn w:val="Policepardfaut"/>
    <w:rsid w:val="006A5D23"/>
  </w:style>
  <w:style w:type="character" w:customStyle="1" w:styleId="mw-tmh-duration">
    <w:name w:val="mw-tmh-duration"/>
    <w:basedOn w:val="Policepardfaut"/>
    <w:rsid w:val="006A5D23"/>
  </w:style>
  <w:style w:type="character" w:customStyle="1" w:styleId="plainlinks">
    <w:name w:val="plainlinks"/>
    <w:basedOn w:val="Policepardfaut"/>
    <w:rsid w:val="006A5D23"/>
  </w:style>
  <w:style w:type="paragraph" w:styleId="En-ttedetabledesmatires">
    <w:name w:val="TOC Heading"/>
    <w:basedOn w:val="Titre1"/>
    <w:next w:val="Normal"/>
    <w:uiPriority w:val="39"/>
    <w:unhideWhenUsed/>
    <w:qFormat/>
    <w:rsid w:val="00A27E2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A27E26"/>
    <w:pPr>
      <w:spacing w:after="100"/>
    </w:pPr>
  </w:style>
  <w:style w:type="paragraph" w:styleId="TM2">
    <w:name w:val="toc 2"/>
    <w:basedOn w:val="Normal"/>
    <w:next w:val="Normal"/>
    <w:autoRedefine/>
    <w:uiPriority w:val="39"/>
    <w:unhideWhenUsed/>
    <w:rsid w:val="00A27E26"/>
    <w:pPr>
      <w:spacing w:after="100"/>
      <w:ind w:left="220"/>
    </w:pPr>
  </w:style>
  <w:style w:type="paragraph" w:styleId="TM3">
    <w:name w:val="toc 3"/>
    <w:basedOn w:val="Normal"/>
    <w:next w:val="Normal"/>
    <w:autoRedefine/>
    <w:uiPriority w:val="39"/>
    <w:unhideWhenUsed/>
    <w:rsid w:val="00A27E26"/>
    <w:pPr>
      <w:spacing w:after="100"/>
      <w:ind w:left="440"/>
    </w:pPr>
  </w:style>
  <w:style w:type="character" w:customStyle="1" w:styleId="mw-3d-wrapper">
    <w:name w:val="mw-3d-wrapper"/>
    <w:basedOn w:val="Policepardfaut"/>
    <w:rsid w:val="00B90DCA"/>
  </w:style>
  <w:style w:type="paragraph" w:customStyle="1" w:styleId="gallerycaption">
    <w:name w:val="gallerycaption"/>
    <w:basedOn w:val="Normal"/>
    <w:rsid w:val="00B90DC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allerybox">
    <w:name w:val="gallerybox"/>
    <w:basedOn w:val="Normal"/>
    <w:rsid w:val="00B90DC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D63183"/>
    <w:pPr>
      <w:spacing w:after="200" w:line="240" w:lineRule="auto"/>
    </w:pPr>
    <w:rPr>
      <w:i/>
      <w:iCs/>
      <w:color w:val="44546A" w:themeColor="text2"/>
      <w:sz w:val="18"/>
      <w:szCs w:val="18"/>
    </w:rPr>
  </w:style>
  <w:style w:type="paragraph" w:styleId="TM4">
    <w:name w:val="toc 4"/>
    <w:basedOn w:val="Normal"/>
    <w:next w:val="Normal"/>
    <w:autoRedefine/>
    <w:uiPriority w:val="39"/>
    <w:unhideWhenUsed/>
    <w:rsid w:val="00E94892"/>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99213">
      <w:bodyDiv w:val="1"/>
      <w:marLeft w:val="0"/>
      <w:marRight w:val="0"/>
      <w:marTop w:val="0"/>
      <w:marBottom w:val="0"/>
      <w:divBdr>
        <w:top w:val="none" w:sz="0" w:space="0" w:color="auto"/>
        <w:left w:val="none" w:sz="0" w:space="0" w:color="auto"/>
        <w:bottom w:val="none" w:sz="0" w:space="0" w:color="auto"/>
        <w:right w:val="none" w:sz="0" w:space="0" w:color="auto"/>
      </w:divBdr>
      <w:divsChild>
        <w:div w:id="1861966611">
          <w:marLeft w:val="0"/>
          <w:marRight w:val="0"/>
          <w:marTop w:val="0"/>
          <w:marBottom w:val="0"/>
          <w:divBdr>
            <w:top w:val="none" w:sz="0" w:space="0" w:color="auto"/>
            <w:left w:val="none" w:sz="0" w:space="0" w:color="auto"/>
            <w:bottom w:val="none" w:sz="0" w:space="0" w:color="auto"/>
            <w:right w:val="none" w:sz="0" w:space="0" w:color="auto"/>
          </w:divBdr>
          <w:divsChild>
            <w:div w:id="675883557">
              <w:marLeft w:val="30"/>
              <w:marRight w:val="30"/>
              <w:marTop w:val="30"/>
              <w:marBottom w:val="30"/>
              <w:divBdr>
                <w:top w:val="none" w:sz="0" w:space="0" w:color="auto"/>
                <w:left w:val="none" w:sz="0" w:space="0" w:color="auto"/>
                <w:bottom w:val="none" w:sz="0" w:space="0" w:color="auto"/>
                <w:right w:val="none" w:sz="0" w:space="0" w:color="auto"/>
              </w:divBdr>
              <w:divsChild>
                <w:div w:id="10772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50799">
          <w:marLeft w:val="0"/>
          <w:marRight w:val="0"/>
          <w:marTop w:val="0"/>
          <w:marBottom w:val="0"/>
          <w:divBdr>
            <w:top w:val="none" w:sz="0" w:space="0" w:color="auto"/>
            <w:left w:val="none" w:sz="0" w:space="0" w:color="auto"/>
            <w:bottom w:val="none" w:sz="0" w:space="0" w:color="auto"/>
            <w:right w:val="none" w:sz="0" w:space="0" w:color="auto"/>
          </w:divBdr>
          <w:divsChild>
            <w:div w:id="1164934664">
              <w:marLeft w:val="30"/>
              <w:marRight w:val="30"/>
              <w:marTop w:val="30"/>
              <w:marBottom w:val="30"/>
              <w:divBdr>
                <w:top w:val="none" w:sz="0" w:space="0" w:color="auto"/>
                <w:left w:val="none" w:sz="0" w:space="0" w:color="auto"/>
                <w:bottom w:val="none" w:sz="0" w:space="0" w:color="auto"/>
                <w:right w:val="none" w:sz="0" w:space="0" w:color="auto"/>
              </w:divBdr>
              <w:divsChild>
                <w:div w:id="1893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5022">
          <w:marLeft w:val="0"/>
          <w:marRight w:val="0"/>
          <w:marTop w:val="0"/>
          <w:marBottom w:val="0"/>
          <w:divBdr>
            <w:top w:val="none" w:sz="0" w:space="0" w:color="auto"/>
            <w:left w:val="none" w:sz="0" w:space="0" w:color="auto"/>
            <w:bottom w:val="none" w:sz="0" w:space="0" w:color="auto"/>
            <w:right w:val="none" w:sz="0" w:space="0" w:color="auto"/>
          </w:divBdr>
          <w:divsChild>
            <w:div w:id="2051222957">
              <w:marLeft w:val="30"/>
              <w:marRight w:val="30"/>
              <w:marTop w:val="30"/>
              <w:marBottom w:val="30"/>
              <w:divBdr>
                <w:top w:val="none" w:sz="0" w:space="0" w:color="auto"/>
                <w:left w:val="none" w:sz="0" w:space="0" w:color="auto"/>
                <w:bottom w:val="none" w:sz="0" w:space="0" w:color="auto"/>
                <w:right w:val="none" w:sz="0" w:space="0" w:color="auto"/>
              </w:divBdr>
              <w:divsChild>
                <w:div w:id="5422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0488">
          <w:marLeft w:val="0"/>
          <w:marRight w:val="0"/>
          <w:marTop w:val="0"/>
          <w:marBottom w:val="0"/>
          <w:divBdr>
            <w:top w:val="none" w:sz="0" w:space="0" w:color="auto"/>
            <w:left w:val="none" w:sz="0" w:space="0" w:color="auto"/>
            <w:bottom w:val="none" w:sz="0" w:space="0" w:color="auto"/>
            <w:right w:val="none" w:sz="0" w:space="0" w:color="auto"/>
          </w:divBdr>
          <w:divsChild>
            <w:div w:id="1595212136">
              <w:marLeft w:val="30"/>
              <w:marRight w:val="30"/>
              <w:marTop w:val="30"/>
              <w:marBottom w:val="30"/>
              <w:divBdr>
                <w:top w:val="none" w:sz="0" w:space="0" w:color="auto"/>
                <w:left w:val="none" w:sz="0" w:space="0" w:color="auto"/>
                <w:bottom w:val="none" w:sz="0" w:space="0" w:color="auto"/>
                <w:right w:val="none" w:sz="0" w:space="0" w:color="auto"/>
              </w:divBdr>
              <w:divsChild>
                <w:div w:id="15271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51328">
      <w:bodyDiv w:val="1"/>
      <w:marLeft w:val="0"/>
      <w:marRight w:val="0"/>
      <w:marTop w:val="0"/>
      <w:marBottom w:val="0"/>
      <w:divBdr>
        <w:top w:val="none" w:sz="0" w:space="0" w:color="auto"/>
        <w:left w:val="none" w:sz="0" w:space="0" w:color="auto"/>
        <w:bottom w:val="none" w:sz="0" w:space="0" w:color="auto"/>
        <w:right w:val="none" w:sz="0" w:space="0" w:color="auto"/>
      </w:divBdr>
    </w:div>
    <w:div w:id="551842244">
      <w:bodyDiv w:val="1"/>
      <w:marLeft w:val="0"/>
      <w:marRight w:val="0"/>
      <w:marTop w:val="0"/>
      <w:marBottom w:val="0"/>
      <w:divBdr>
        <w:top w:val="none" w:sz="0" w:space="0" w:color="auto"/>
        <w:left w:val="none" w:sz="0" w:space="0" w:color="auto"/>
        <w:bottom w:val="none" w:sz="0" w:space="0" w:color="auto"/>
        <w:right w:val="none" w:sz="0" w:space="0" w:color="auto"/>
      </w:divBdr>
    </w:div>
    <w:div w:id="555044913">
      <w:bodyDiv w:val="1"/>
      <w:marLeft w:val="0"/>
      <w:marRight w:val="0"/>
      <w:marTop w:val="0"/>
      <w:marBottom w:val="0"/>
      <w:divBdr>
        <w:top w:val="none" w:sz="0" w:space="0" w:color="auto"/>
        <w:left w:val="none" w:sz="0" w:space="0" w:color="auto"/>
        <w:bottom w:val="none" w:sz="0" w:space="0" w:color="auto"/>
        <w:right w:val="none" w:sz="0" w:space="0" w:color="auto"/>
      </w:divBdr>
      <w:divsChild>
        <w:div w:id="1405836398">
          <w:marLeft w:val="336"/>
          <w:marRight w:val="0"/>
          <w:marTop w:val="120"/>
          <w:marBottom w:val="312"/>
          <w:divBdr>
            <w:top w:val="none" w:sz="0" w:space="0" w:color="auto"/>
            <w:left w:val="none" w:sz="0" w:space="0" w:color="auto"/>
            <w:bottom w:val="none" w:sz="0" w:space="0" w:color="auto"/>
            <w:right w:val="none" w:sz="0" w:space="0" w:color="auto"/>
          </w:divBdr>
          <w:divsChild>
            <w:div w:id="205627690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66991485">
          <w:marLeft w:val="0"/>
          <w:marRight w:val="336"/>
          <w:marTop w:val="120"/>
          <w:marBottom w:val="312"/>
          <w:divBdr>
            <w:top w:val="none" w:sz="0" w:space="0" w:color="auto"/>
            <w:left w:val="none" w:sz="0" w:space="0" w:color="auto"/>
            <w:bottom w:val="none" w:sz="0" w:space="0" w:color="auto"/>
            <w:right w:val="none" w:sz="0" w:space="0" w:color="auto"/>
          </w:divBdr>
          <w:divsChild>
            <w:div w:id="98979508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9674841">
          <w:marLeft w:val="336"/>
          <w:marRight w:val="0"/>
          <w:marTop w:val="120"/>
          <w:marBottom w:val="312"/>
          <w:divBdr>
            <w:top w:val="none" w:sz="0" w:space="0" w:color="auto"/>
            <w:left w:val="none" w:sz="0" w:space="0" w:color="auto"/>
            <w:bottom w:val="none" w:sz="0" w:space="0" w:color="auto"/>
            <w:right w:val="none" w:sz="0" w:space="0" w:color="auto"/>
          </w:divBdr>
          <w:divsChild>
            <w:div w:id="322699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23076179">
      <w:bodyDiv w:val="1"/>
      <w:marLeft w:val="0"/>
      <w:marRight w:val="0"/>
      <w:marTop w:val="0"/>
      <w:marBottom w:val="0"/>
      <w:divBdr>
        <w:top w:val="none" w:sz="0" w:space="0" w:color="auto"/>
        <w:left w:val="none" w:sz="0" w:space="0" w:color="auto"/>
        <w:bottom w:val="none" w:sz="0" w:space="0" w:color="auto"/>
        <w:right w:val="none" w:sz="0" w:space="0" w:color="auto"/>
      </w:divBdr>
      <w:divsChild>
        <w:div w:id="329722949">
          <w:marLeft w:val="336"/>
          <w:marRight w:val="0"/>
          <w:marTop w:val="120"/>
          <w:marBottom w:val="312"/>
          <w:divBdr>
            <w:top w:val="none" w:sz="0" w:space="0" w:color="auto"/>
            <w:left w:val="none" w:sz="0" w:space="0" w:color="auto"/>
            <w:bottom w:val="none" w:sz="0" w:space="0" w:color="auto"/>
            <w:right w:val="none" w:sz="0" w:space="0" w:color="auto"/>
          </w:divBdr>
          <w:divsChild>
            <w:div w:id="233317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86839719">
          <w:marLeft w:val="336"/>
          <w:marRight w:val="0"/>
          <w:marTop w:val="120"/>
          <w:marBottom w:val="312"/>
          <w:divBdr>
            <w:top w:val="none" w:sz="0" w:space="0" w:color="auto"/>
            <w:left w:val="none" w:sz="0" w:space="0" w:color="auto"/>
            <w:bottom w:val="none" w:sz="0" w:space="0" w:color="auto"/>
            <w:right w:val="none" w:sz="0" w:space="0" w:color="auto"/>
          </w:divBdr>
          <w:divsChild>
            <w:div w:id="19281552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2895122">
          <w:marLeft w:val="480"/>
          <w:marRight w:val="0"/>
          <w:marTop w:val="72"/>
          <w:marBottom w:val="168"/>
          <w:divBdr>
            <w:top w:val="single" w:sz="6" w:space="2" w:color="E7E7E7"/>
            <w:left w:val="single" w:sz="2" w:space="0" w:color="E7E7E7"/>
            <w:bottom w:val="single" w:sz="6" w:space="4" w:color="E7E7E7"/>
            <w:right w:val="single" w:sz="2" w:space="6" w:color="E7E7E7"/>
          </w:divBdr>
          <w:divsChild>
            <w:div w:id="657997682">
              <w:marLeft w:val="0"/>
              <w:marRight w:val="0"/>
              <w:marTop w:val="0"/>
              <w:marBottom w:val="0"/>
              <w:divBdr>
                <w:top w:val="none" w:sz="0" w:space="0" w:color="auto"/>
                <w:left w:val="none" w:sz="0" w:space="0" w:color="auto"/>
                <w:bottom w:val="none" w:sz="0" w:space="0" w:color="auto"/>
                <w:right w:val="none" w:sz="0" w:space="0" w:color="auto"/>
              </w:divBdr>
            </w:div>
          </w:divsChild>
        </w:div>
        <w:div w:id="71850871">
          <w:marLeft w:val="0"/>
          <w:marRight w:val="336"/>
          <w:marTop w:val="120"/>
          <w:marBottom w:val="312"/>
          <w:divBdr>
            <w:top w:val="none" w:sz="0" w:space="0" w:color="auto"/>
            <w:left w:val="none" w:sz="0" w:space="0" w:color="auto"/>
            <w:bottom w:val="none" w:sz="0" w:space="0" w:color="auto"/>
            <w:right w:val="none" w:sz="0" w:space="0" w:color="auto"/>
          </w:divBdr>
          <w:divsChild>
            <w:div w:id="12801459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8546503">
          <w:marLeft w:val="480"/>
          <w:marRight w:val="0"/>
          <w:marTop w:val="72"/>
          <w:marBottom w:val="168"/>
          <w:divBdr>
            <w:top w:val="single" w:sz="6" w:space="2" w:color="E7E7E7"/>
            <w:left w:val="single" w:sz="2" w:space="0" w:color="E7E7E7"/>
            <w:bottom w:val="single" w:sz="6" w:space="4" w:color="E7E7E7"/>
            <w:right w:val="single" w:sz="2" w:space="6" w:color="E7E7E7"/>
          </w:divBdr>
          <w:divsChild>
            <w:div w:id="978606962">
              <w:marLeft w:val="0"/>
              <w:marRight w:val="0"/>
              <w:marTop w:val="0"/>
              <w:marBottom w:val="0"/>
              <w:divBdr>
                <w:top w:val="none" w:sz="0" w:space="0" w:color="auto"/>
                <w:left w:val="none" w:sz="0" w:space="0" w:color="auto"/>
                <w:bottom w:val="none" w:sz="0" w:space="0" w:color="auto"/>
                <w:right w:val="none" w:sz="0" w:space="0" w:color="auto"/>
              </w:divBdr>
            </w:div>
          </w:divsChild>
        </w:div>
        <w:div w:id="1773621795">
          <w:marLeft w:val="336"/>
          <w:marRight w:val="0"/>
          <w:marTop w:val="120"/>
          <w:marBottom w:val="312"/>
          <w:divBdr>
            <w:top w:val="none" w:sz="0" w:space="0" w:color="auto"/>
            <w:left w:val="none" w:sz="0" w:space="0" w:color="auto"/>
            <w:bottom w:val="none" w:sz="0" w:space="0" w:color="auto"/>
            <w:right w:val="none" w:sz="0" w:space="0" w:color="auto"/>
          </w:divBdr>
          <w:divsChild>
            <w:div w:id="14608759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70726491">
          <w:marLeft w:val="336"/>
          <w:marRight w:val="0"/>
          <w:marTop w:val="120"/>
          <w:marBottom w:val="312"/>
          <w:divBdr>
            <w:top w:val="none" w:sz="0" w:space="0" w:color="auto"/>
            <w:left w:val="none" w:sz="0" w:space="0" w:color="auto"/>
            <w:bottom w:val="none" w:sz="0" w:space="0" w:color="auto"/>
            <w:right w:val="none" w:sz="0" w:space="0" w:color="auto"/>
          </w:divBdr>
          <w:divsChild>
            <w:div w:id="4540597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2955419">
          <w:marLeft w:val="336"/>
          <w:marRight w:val="0"/>
          <w:marTop w:val="120"/>
          <w:marBottom w:val="312"/>
          <w:divBdr>
            <w:top w:val="none" w:sz="0" w:space="0" w:color="auto"/>
            <w:left w:val="none" w:sz="0" w:space="0" w:color="auto"/>
            <w:bottom w:val="none" w:sz="0" w:space="0" w:color="auto"/>
            <w:right w:val="none" w:sz="0" w:space="0" w:color="auto"/>
          </w:divBdr>
          <w:divsChild>
            <w:div w:id="15274067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87526391">
          <w:marLeft w:val="336"/>
          <w:marRight w:val="0"/>
          <w:marTop w:val="120"/>
          <w:marBottom w:val="312"/>
          <w:divBdr>
            <w:top w:val="none" w:sz="0" w:space="0" w:color="auto"/>
            <w:left w:val="none" w:sz="0" w:space="0" w:color="auto"/>
            <w:bottom w:val="none" w:sz="0" w:space="0" w:color="auto"/>
            <w:right w:val="none" w:sz="0" w:space="0" w:color="auto"/>
          </w:divBdr>
          <w:divsChild>
            <w:div w:id="4781137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9819745">
          <w:marLeft w:val="0"/>
          <w:marRight w:val="336"/>
          <w:marTop w:val="120"/>
          <w:marBottom w:val="312"/>
          <w:divBdr>
            <w:top w:val="none" w:sz="0" w:space="0" w:color="auto"/>
            <w:left w:val="none" w:sz="0" w:space="0" w:color="auto"/>
            <w:bottom w:val="none" w:sz="0" w:space="0" w:color="auto"/>
            <w:right w:val="none" w:sz="0" w:space="0" w:color="auto"/>
          </w:divBdr>
          <w:divsChild>
            <w:div w:id="4724057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40222820">
          <w:marLeft w:val="0"/>
          <w:marRight w:val="0"/>
          <w:marTop w:val="0"/>
          <w:marBottom w:val="120"/>
          <w:divBdr>
            <w:top w:val="none" w:sz="0" w:space="0" w:color="auto"/>
            <w:left w:val="none" w:sz="0" w:space="0" w:color="auto"/>
            <w:bottom w:val="none" w:sz="0" w:space="0" w:color="auto"/>
            <w:right w:val="none" w:sz="0" w:space="0" w:color="auto"/>
          </w:divBdr>
          <w:divsChild>
            <w:div w:id="664862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04716836">
          <w:marLeft w:val="336"/>
          <w:marRight w:val="0"/>
          <w:marTop w:val="120"/>
          <w:marBottom w:val="312"/>
          <w:divBdr>
            <w:top w:val="none" w:sz="0" w:space="0" w:color="auto"/>
            <w:left w:val="none" w:sz="0" w:space="0" w:color="auto"/>
            <w:bottom w:val="none" w:sz="0" w:space="0" w:color="auto"/>
            <w:right w:val="none" w:sz="0" w:space="0" w:color="auto"/>
          </w:divBdr>
          <w:divsChild>
            <w:div w:id="6259382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1295925">
          <w:marLeft w:val="0"/>
          <w:marRight w:val="0"/>
          <w:marTop w:val="0"/>
          <w:marBottom w:val="0"/>
          <w:divBdr>
            <w:top w:val="none" w:sz="0" w:space="0" w:color="auto"/>
            <w:left w:val="none" w:sz="0" w:space="0" w:color="auto"/>
            <w:bottom w:val="none" w:sz="0" w:space="0" w:color="auto"/>
            <w:right w:val="none" w:sz="0" w:space="0" w:color="auto"/>
          </w:divBdr>
        </w:div>
        <w:div w:id="820124932">
          <w:marLeft w:val="0"/>
          <w:marRight w:val="120"/>
          <w:marTop w:val="0"/>
          <w:marBottom w:val="120"/>
          <w:divBdr>
            <w:top w:val="none" w:sz="0" w:space="0" w:color="auto"/>
            <w:left w:val="none" w:sz="0" w:space="0" w:color="auto"/>
            <w:bottom w:val="none" w:sz="0" w:space="0" w:color="auto"/>
            <w:right w:val="none" w:sz="0" w:space="0" w:color="auto"/>
          </w:divBdr>
        </w:div>
        <w:div w:id="983461300">
          <w:marLeft w:val="336"/>
          <w:marRight w:val="0"/>
          <w:marTop w:val="120"/>
          <w:marBottom w:val="312"/>
          <w:divBdr>
            <w:top w:val="none" w:sz="0" w:space="0" w:color="auto"/>
            <w:left w:val="none" w:sz="0" w:space="0" w:color="auto"/>
            <w:bottom w:val="none" w:sz="0" w:space="0" w:color="auto"/>
            <w:right w:val="none" w:sz="0" w:space="0" w:color="auto"/>
          </w:divBdr>
          <w:divsChild>
            <w:div w:id="9377873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58134452">
          <w:marLeft w:val="336"/>
          <w:marRight w:val="0"/>
          <w:marTop w:val="120"/>
          <w:marBottom w:val="312"/>
          <w:divBdr>
            <w:top w:val="none" w:sz="0" w:space="0" w:color="auto"/>
            <w:left w:val="none" w:sz="0" w:space="0" w:color="auto"/>
            <w:bottom w:val="none" w:sz="0" w:space="0" w:color="auto"/>
            <w:right w:val="none" w:sz="0" w:space="0" w:color="auto"/>
          </w:divBdr>
          <w:divsChild>
            <w:div w:id="12316933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45313506">
          <w:marLeft w:val="336"/>
          <w:marRight w:val="0"/>
          <w:marTop w:val="120"/>
          <w:marBottom w:val="312"/>
          <w:divBdr>
            <w:top w:val="none" w:sz="0" w:space="0" w:color="auto"/>
            <w:left w:val="none" w:sz="0" w:space="0" w:color="auto"/>
            <w:bottom w:val="none" w:sz="0" w:space="0" w:color="auto"/>
            <w:right w:val="none" w:sz="0" w:space="0" w:color="auto"/>
          </w:divBdr>
          <w:divsChild>
            <w:div w:id="14559063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8177839">
          <w:marLeft w:val="480"/>
          <w:marRight w:val="0"/>
          <w:marTop w:val="72"/>
          <w:marBottom w:val="168"/>
          <w:divBdr>
            <w:top w:val="single" w:sz="6" w:space="2" w:color="E7E7E7"/>
            <w:left w:val="single" w:sz="2" w:space="0" w:color="E7E7E7"/>
            <w:bottom w:val="single" w:sz="6" w:space="4" w:color="E7E7E7"/>
            <w:right w:val="single" w:sz="2" w:space="6" w:color="E7E7E7"/>
          </w:divBdr>
          <w:divsChild>
            <w:div w:id="3876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4557">
      <w:bodyDiv w:val="1"/>
      <w:marLeft w:val="0"/>
      <w:marRight w:val="0"/>
      <w:marTop w:val="0"/>
      <w:marBottom w:val="0"/>
      <w:divBdr>
        <w:top w:val="none" w:sz="0" w:space="0" w:color="auto"/>
        <w:left w:val="none" w:sz="0" w:space="0" w:color="auto"/>
        <w:bottom w:val="none" w:sz="0" w:space="0" w:color="auto"/>
        <w:right w:val="none" w:sz="0" w:space="0" w:color="auto"/>
      </w:divBdr>
    </w:div>
    <w:div w:id="95552530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09779">
      <w:bodyDiv w:val="1"/>
      <w:marLeft w:val="0"/>
      <w:marRight w:val="0"/>
      <w:marTop w:val="0"/>
      <w:marBottom w:val="0"/>
      <w:divBdr>
        <w:top w:val="none" w:sz="0" w:space="0" w:color="auto"/>
        <w:left w:val="none" w:sz="0" w:space="0" w:color="auto"/>
        <w:bottom w:val="none" w:sz="0" w:space="0" w:color="auto"/>
        <w:right w:val="none" w:sz="0" w:space="0" w:color="auto"/>
      </w:divBdr>
      <w:divsChild>
        <w:div w:id="886600646">
          <w:marLeft w:val="336"/>
          <w:marRight w:val="0"/>
          <w:marTop w:val="120"/>
          <w:marBottom w:val="312"/>
          <w:divBdr>
            <w:top w:val="none" w:sz="0" w:space="0" w:color="auto"/>
            <w:left w:val="none" w:sz="0" w:space="0" w:color="auto"/>
            <w:bottom w:val="none" w:sz="0" w:space="0" w:color="auto"/>
            <w:right w:val="none" w:sz="0" w:space="0" w:color="auto"/>
          </w:divBdr>
          <w:divsChild>
            <w:div w:id="2151686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58297047">
          <w:marLeft w:val="336"/>
          <w:marRight w:val="0"/>
          <w:marTop w:val="120"/>
          <w:marBottom w:val="312"/>
          <w:divBdr>
            <w:top w:val="none" w:sz="0" w:space="0" w:color="auto"/>
            <w:left w:val="none" w:sz="0" w:space="0" w:color="auto"/>
            <w:bottom w:val="none" w:sz="0" w:space="0" w:color="auto"/>
            <w:right w:val="none" w:sz="0" w:space="0" w:color="auto"/>
          </w:divBdr>
          <w:divsChild>
            <w:div w:id="4507062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04592075">
          <w:marLeft w:val="0"/>
          <w:marRight w:val="336"/>
          <w:marTop w:val="120"/>
          <w:marBottom w:val="312"/>
          <w:divBdr>
            <w:top w:val="none" w:sz="0" w:space="0" w:color="auto"/>
            <w:left w:val="none" w:sz="0" w:space="0" w:color="auto"/>
            <w:bottom w:val="none" w:sz="0" w:space="0" w:color="auto"/>
            <w:right w:val="none" w:sz="0" w:space="0" w:color="auto"/>
          </w:divBdr>
          <w:divsChild>
            <w:div w:id="135511446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54455188">
          <w:marLeft w:val="480"/>
          <w:marRight w:val="0"/>
          <w:marTop w:val="72"/>
          <w:marBottom w:val="168"/>
          <w:divBdr>
            <w:top w:val="single" w:sz="6" w:space="2" w:color="E7E7E7"/>
            <w:left w:val="single" w:sz="2" w:space="0" w:color="E7E7E7"/>
            <w:bottom w:val="single" w:sz="6" w:space="4" w:color="E7E7E7"/>
            <w:right w:val="single" w:sz="2" w:space="6" w:color="E7E7E7"/>
          </w:divBdr>
          <w:divsChild>
            <w:div w:id="709689910">
              <w:marLeft w:val="0"/>
              <w:marRight w:val="0"/>
              <w:marTop w:val="0"/>
              <w:marBottom w:val="0"/>
              <w:divBdr>
                <w:top w:val="none" w:sz="0" w:space="0" w:color="auto"/>
                <w:left w:val="none" w:sz="0" w:space="0" w:color="auto"/>
                <w:bottom w:val="none" w:sz="0" w:space="0" w:color="auto"/>
                <w:right w:val="none" w:sz="0" w:space="0" w:color="auto"/>
              </w:divBdr>
            </w:div>
          </w:divsChild>
        </w:div>
        <w:div w:id="1150056185">
          <w:marLeft w:val="336"/>
          <w:marRight w:val="0"/>
          <w:marTop w:val="120"/>
          <w:marBottom w:val="312"/>
          <w:divBdr>
            <w:top w:val="none" w:sz="0" w:space="0" w:color="auto"/>
            <w:left w:val="none" w:sz="0" w:space="0" w:color="auto"/>
            <w:bottom w:val="none" w:sz="0" w:space="0" w:color="auto"/>
            <w:right w:val="none" w:sz="0" w:space="0" w:color="auto"/>
          </w:divBdr>
          <w:divsChild>
            <w:div w:id="13448211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38714396">
          <w:marLeft w:val="480"/>
          <w:marRight w:val="0"/>
          <w:marTop w:val="72"/>
          <w:marBottom w:val="168"/>
          <w:divBdr>
            <w:top w:val="single" w:sz="6" w:space="2" w:color="E7E7E7"/>
            <w:left w:val="single" w:sz="2" w:space="0" w:color="E7E7E7"/>
            <w:bottom w:val="single" w:sz="6" w:space="4" w:color="E7E7E7"/>
            <w:right w:val="single" w:sz="2" w:space="6" w:color="E7E7E7"/>
          </w:divBdr>
          <w:divsChild>
            <w:div w:id="1589073621">
              <w:marLeft w:val="0"/>
              <w:marRight w:val="0"/>
              <w:marTop w:val="0"/>
              <w:marBottom w:val="0"/>
              <w:divBdr>
                <w:top w:val="none" w:sz="0" w:space="0" w:color="auto"/>
                <w:left w:val="none" w:sz="0" w:space="0" w:color="auto"/>
                <w:bottom w:val="none" w:sz="0" w:space="0" w:color="auto"/>
                <w:right w:val="none" w:sz="0" w:space="0" w:color="auto"/>
              </w:divBdr>
            </w:div>
          </w:divsChild>
        </w:div>
        <w:div w:id="1159729095">
          <w:marLeft w:val="336"/>
          <w:marRight w:val="0"/>
          <w:marTop w:val="120"/>
          <w:marBottom w:val="312"/>
          <w:divBdr>
            <w:top w:val="none" w:sz="0" w:space="0" w:color="auto"/>
            <w:left w:val="none" w:sz="0" w:space="0" w:color="auto"/>
            <w:bottom w:val="none" w:sz="0" w:space="0" w:color="auto"/>
            <w:right w:val="none" w:sz="0" w:space="0" w:color="auto"/>
          </w:divBdr>
          <w:divsChild>
            <w:div w:id="181537159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71663328">
          <w:marLeft w:val="0"/>
          <w:marRight w:val="336"/>
          <w:marTop w:val="120"/>
          <w:marBottom w:val="312"/>
          <w:divBdr>
            <w:top w:val="none" w:sz="0" w:space="0" w:color="auto"/>
            <w:left w:val="none" w:sz="0" w:space="0" w:color="auto"/>
            <w:bottom w:val="none" w:sz="0" w:space="0" w:color="auto"/>
            <w:right w:val="none" w:sz="0" w:space="0" w:color="auto"/>
          </w:divBdr>
          <w:divsChild>
            <w:div w:id="115167716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70743029">
          <w:marLeft w:val="336"/>
          <w:marRight w:val="0"/>
          <w:marTop w:val="120"/>
          <w:marBottom w:val="312"/>
          <w:divBdr>
            <w:top w:val="none" w:sz="0" w:space="0" w:color="auto"/>
            <w:left w:val="none" w:sz="0" w:space="0" w:color="auto"/>
            <w:bottom w:val="none" w:sz="0" w:space="0" w:color="auto"/>
            <w:right w:val="none" w:sz="0" w:space="0" w:color="auto"/>
          </w:divBdr>
          <w:divsChild>
            <w:div w:id="4433542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721627">
          <w:marLeft w:val="336"/>
          <w:marRight w:val="0"/>
          <w:marTop w:val="120"/>
          <w:marBottom w:val="312"/>
          <w:divBdr>
            <w:top w:val="none" w:sz="0" w:space="0" w:color="auto"/>
            <w:left w:val="none" w:sz="0" w:space="0" w:color="auto"/>
            <w:bottom w:val="none" w:sz="0" w:space="0" w:color="auto"/>
            <w:right w:val="none" w:sz="0" w:space="0" w:color="auto"/>
          </w:divBdr>
          <w:divsChild>
            <w:div w:id="13299442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4664286">
          <w:marLeft w:val="0"/>
          <w:marRight w:val="0"/>
          <w:marTop w:val="0"/>
          <w:marBottom w:val="120"/>
          <w:divBdr>
            <w:top w:val="none" w:sz="0" w:space="0" w:color="auto"/>
            <w:left w:val="none" w:sz="0" w:space="0" w:color="auto"/>
            <w:bottom w:val="none" w:sz="0" w:space="0" w:color="auto"/>
            <w:right w:val="none" w:sz="0" w:space="0" w:color="auto"/>
          </w:divBdr>
          <w:divsChild>
            <w:div w:id="84412645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46509480">
          <w:marLeft w:val="336"/>
          <w:marRight w:val="0"/>
          <w:marTop w:val="120"/>
          <w:marBottom w:val="312"/>
          <w:divBdr>
            <w:top w:val="none" w:sz="0" w:space="0" w:color="auto"/>
            <w:left w:val="none" w:sz="0" w:space="0" w:color="auto"/>
            <w:bottom w:val="none" w:sz="0" w:space="0" w:color="auto"/>
            <w:right w:val="none" w:sz="0" w:space="0" w:color="auto"/>
          </w:divBdr>
          <w:divsChild>
            <w:div w:id="173364888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17722913">
          <w:marLeft w:val="0"/>
          <w:marRight w:val="336"/>
          <w:marTop w:val="120"/>
          <w:marBottom w:val="312"/>
          <w:divBdr>
            <w:top w:val="none" w:sz="0" w:space="0" w:color="auto"/>
            <w:left w:val="none" w:sz="0" w:space="0" w:color="auto"/>
            <w:bottom w:val="none" w:sz="0" w:space="0" w:color="auto"/>
            <w:right w:val="none" w:sz="0" w:space="0" w:color="auto"/>
          </w:divBdr>
          <w:divsChild>
            <w:div w:id="9745577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67053835">
          <w:marLeft w:val="336"/>
          <w:marRight w:val="0"/>
          <w:marTop w:val="120"/>
          <w:marBottom w:val="312"/>
          <w:divBdr>
            <w:top w:val="none" w:sz="0" w:space="0" w:color="auto"/>
            <w:left w:val="none" w:sz="0" w:space="0" w:color="auto"/>
            <w:bottom w:val="none" w:sz="0" w:space="0" w:color="auto"/>
            <w:right w:val="none" w:sz="0" w:space="0" w:color="auto"/>
          </w:divBdr>
          <w:divsChild>
            <w:div w:id="17056704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73157977">
          <w:marLeft w:val="0"/>
          <w:marRight w:val="336"/>
          <w:marTop w:val="120"/>
          <w:marBottom w:val="312"/>
          <w:divBdr>
            <w:top w:val="none" w:sz="0" w:space="0" w:color="auto"/>
            <w:left w:val="none" w:sz="0" w:space="0" w:color="auto"/>
            <w:bottom w:val="none" w:sz="0" w:space="0" w:color="auto"/>
            <w:right w:val="none" w:sz="0" w:space="0" w:color="auto"/>
          </w:divBdr>
          <w:divsChild>
            <w:div w:id="144835207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96076800">
          <w:marLeft w:val="480"/>
          <w:marRight w:val="0"/>
          <w:marTop w:val="72"/>
          <w:marBottom w:val="168"/>
          <w:divBdr>
            <w:top w:val="single" w:sz="6" w:space="2" w:color="E7E7E7"/>
            <w:left w:val="single" w:sz="2" w:space="0" w:color="E7E7E7"/>
            <w:bottom w:val="single" w:sz="6" w:space="4" w:color="E7E7E7"/>
            <w:right w:val="single" w:sz="2" w:space="6" w:color="E7E7E7"/>
          </w:divBdr>
          <w:divsChild>
            <w:div w:id="818620013">
              <w:marLeft w:val="0"/>
              <w:marRight w:val="0"/>
              <w:marTop w:val="0"/>
              <w:marBottom w:val="0"/>
              <w:divBdr>
                <w:top w:val="none" w:sz="0" w:space="0" w:color="auto"/>
                <w:left w:val="none" w:sz="0" w:space="0" w:color="auto"/>
                <w:bottom w:val="none" w:sz="0" w:space="0" w:color="auto"/>
                <w:right w:val="none" w:sz="0" w:space="0" w:color="auto"/>
              </w:divBdr>
            </w:div>
          </w:divsChild>
        </w:div>
        <w:div w:id="1196193435">
          <w:marLeft w:val="336"/>
          <w:marRight w:val="0"/>
          <w:marTop w:val="120"/>
          <w:marBottom w:val="312"/>
          <w:divBdr>
            <w:top w:val="none" w:sz="0" w:space="0" w:color="auto"/>
            <w:left w:val="none" w:sz="0" w:space="0" w:color="auto"/>
            <w:bottom w:val="none" w:sz="0" w:space="0" w:color="auto"/>
            <w:right w:val="none" w:sz="0" w:space="0" w:color="auto"/>
          </w:divBdr>
          <w:divsChild>
            <w:div w:id="188903048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42642845">
          <w:marLeft w:val="0"/>
          <w:marRight w:val="336"/>
          <w:marTop w:val="120"/>
          <w:marBottom w:val="312"/>
          <w:divBdr>
            <w:top w:val="none" w:sz="0" w:space="0" w:color="auto"/>
            <w:left w:val="none" w:sz="0" w:space="0" w:color="auto"/>
            <w:bottom w:val="none" w:sz="0" w:space="0" w:color="auto"/>
            <w:right w:val="none" w:sz="0" w:space="0" w:color="auto"/>
          </w:divBdr>
          <w:divsChild>
            <w:div w:id="12168963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71410873">
          <w:marLeft w:val="336"/>
          <w:marRight w:val="0"/>
          <w:marTop w:val="120"/>
          <w:marBottom w:val="312"/>
          <w:divBdr>
            <w:top w:val="none" w:sz="0" w:space="0" w:color="auto"/>
            <w:left w:val="none" w:sz="0" w:space="0" w:color="auto"/>
            <w:bottom w:val="none" w:sz="0" w:space="0" w:color="auto"/>
            <w:right w:val="none" w:sz="0" w:space="0" w:color="auto"/>
          </w:divBdr>
          <w:divsChild>
            <w:div w:id="14222190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26678753">
          <w:marLeft w:val="0"/>
          <w:marRight w:val="336"/>
          <w:marTop w:val="120"/>
          <w:marBottom w:val="312"/>
          <w:divBdr>
            <w:top w:val="none" w:sz="0" w:space="0" w:color="auto"/>
            <w:left w:val="none" w:sz="0" w:space="0" w:color="auto"/>
            <w:bottom w:val="none" w:sz="0" w:space="0" w:color="auto"/>
            <w:right w:val="none" w:sz="0" w:space="0" w:color="auto"/>
          </w:divBdr>
          <w:divsChild>
            <w:div w:id="14570646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44258079">
          <w:marLeft w:val="480"/>
          <w:marRight w:val="0"/>
          <w:marTop w:val="72"/>
          <w:marBottom w:val="168"/>
          <w:divBdr>
            <w:top w:val="single" w:sz="6" w:space="2" w:color="E7E7E7"/>
            <w:left w:val="single" w:sz="2" w:space="0" w:color="E7E7E7"/>
            <w:bottom w:val="single" w:sz="6" w:space="4" w:color="E7E7E7"/>
            <w:right w:val="single" w:sz="2" w:space="6" w:color="E7E7E7"/>
          </w:divBdr>
          <w:divsChild>
            <w:div w:id="908733591">
              <w:marLeft w:val="0"/>
              <w:marRight w:val="0"/>
              <w:marTop w:val="0"/>
              <w:marBottom w:val="0"/>
              <w:divBdr>
                <w:top w:val="none" w:sz="0" w:space="0" w:color="auto"/>
                <w:left w:val="none" w:sz="0" w:space="0" w:color="auto"/>
                <w:bottom w:val="none" w:sz="0" w:space="0" w:color="auto"/>
                <w:right w:val="none" w:sz="0" w:space="0" w:color="auto"/>
              </w:divBdr>
            </w:div>
          </w:divsChild>
        </w:div>
        <w:div w:id="1243180942">
          <w:marLeft w:val="0"/>
          <w:marRight w:val="336"/>
          <w:marTop w:val="120"/>
          <w:marBottom w:val="312"/>
          <w:divBdr>
            <w:top w:val="none" w:sz="0" w:space="0" w:color="auto"/>
            <w:left w:val="none" w:sz="0" w:space="0" w:color="auto"/>
            <w:bottom w:val="none" w:sz="0" w:space="0" w:color="auto"/>
            <w:right w:val="none" w:sz="0" w:space="0" w:color="auto"/>
          </w:divBdr>
          <w:divsChild>
            <w:div w:id="3883790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90858085">
          <w:marLeft w:val="336"/>
          <w:marRight w:val="0"/>
          <w:marTop w:val="120"/>
          <w:marBottom w:val="312"/>
          <w:divBdr>
            <w:top w:val="none" w:sz="0" w:space="0" w:color="auto"/>
            <w:left w:val="none" w:sz="0" w:space="0" w:color="auto"/>
            <w:bottom w:val="none" w:sz="0" w:space="0" w:color="auto"/>
            <w:right w:val="none" w:sz="0" w:space="0" w:color="auto"/>
          </w:divBdr>
          <w:divsChild>
            <w:div w:id="14321245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7227375">
          <w:marLeft w:val="336"/>
          <w:marRight w:val="0"/>
          <w:marTop w:val="120"/>
          <w:marBottom w:val="312"/>
          <w:divBdr>
            <w:top w:val="none" w:sz="0" w:space="0" w:color="auto"/>
            <w:left w:val="none" w:sz="0" w:space="0" w:color="auto"/>
            <w:bottom w:val="none" w:sz="0" w:space="0" w:color="auto"/>
            <w:right w:val="none" w:sz="0" w:space="0" w:color="auto"/>
          </w:divBdr>
          <w:divsChild>
            <w:div w:id="208464118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51033421">
          <w:marLeft w:val="480"/>
          <w:marRight w:val="0"/>
          <w:marTop w:val="72"/>
          <w:marBottom w:val="168"/>
          <w:divBdr>
            <w:top w:val="single" w:sz="6" w:space="2" w:color="E7E7E7"/>
            <w:left w:val="single" w:sz="2" w:space="0" w:color="E7E7E7"/>
            <w:bottom w:val="single" w:sz="6" w:space="4" w:color="E7E7E7"/>
            <w:right w:val="single" w:sz="2" w:space="6" w:color="E7E7E7"/>
          </w:divBdr>
          <w:divsChild>
            <w:div w:id="2142839907">
              <w:marLeft w:val="0"/>
              <w:marRight w:val="0"/>
              <w:marTop w:val="0"/>
              <w:marBottom w:val="0"/>
              <w:divBdr>
                <w:top w:val="none" w:sz="0" w:space="0" w:color="auto"/>
                <w:left w:val="none" w:sz="0" w:space="0" w:color="auto"/>
                <w:bottom w:val="none" w:sz="0" w:space="0" w:color="auto"/>
                <w:right w:val="none" w:sz="0" w:space="0" w:color="auto"/>
              </w:divBdr>
            </w:div>
          </w:divsChild>
        </w:div>
        <w:div w:id="786781518">
          <w:marLeft w:val="336"/>
          <w:marRight w:val="0"/>
          <w:marTop w:val="120"/>
          <w:marBottom w:val="312"/>
          <w:divBdr>
            <w:top w:val="none" w:sz="0" w:space="0" w:color="auto"/>
            <w:left w:val="none" w:sz="0" w:space="0" w:color="auto"/>
            <w:bottom w:val="none" w:sz="0" w:space="0" w:color="auto"/>
            <w:right w:val="none" w:sz="0" w:space="0" w:color="auto"/>
          </w:divBdr>
          <w:divsChild>
            <w:div w:id="9312773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87548185">
          <w:marLeft w:val="0"/>
          <w:marRight w:val="336"/>
          <w:marTop w:val="120"/>
          <w:marBottom w:val="312"/>
          <w:divBdr>
            <w:top w:val="none" w:sz="0" w:space="0" w:color="auto"/>
            <w:left w:val="none" w:sz="0" w:space="0" w:color="auto"/>
            <w:bottom w:val="none" w:sz="0" w:space="0" w:color="auto"/>
            <w:right w:val="none" w:sz="0" w:space="0" w:color="auto"/>
          </w:divBdr>
          <w:divsChild>
            <w:div w:id="10437553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62951738">
          <w:marLeft w:val="336"/>
          <w:marRight w:val="0"/>
          <w:marTop w:val="120"/>
          <w:marBottom w:val="312"/>
          <w:divBdr>
            <w:top w:val="none" w:sz="0" w:space="0" w:color="auto"/>
            <w:left w:val="none" w:sz="0" w:space="0" w:color="auto"/>
            <w:bottom w:val="none" w:sz="0" w:space="0" w:color="auto"/>
            <w:right w:val="none" w:sz="0" w:space="0" w:color="auto"/>
          </w:divBdr>
          <w:divsChild>
            <w:div w:id="8515438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444408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5850">
      <w:bodyDiv w:val="1"/>
      <w:marLeft w:val="0"/>
      <w:marRight w:val="0"/>
      <w:marTop w:val="0"/>
      <w:marBottom w:val="0"/>
      <w:divBdr>
        <w:top w:val="none" w:sz="0" w:space="0" w:color="auto"/>
        <w:left w:val="none" w:sz="0" w:space="0" w:color="auto"/>
        <w:bottom w:val="none" w:sz="0" w:space="0" w:color="auto"/>
        <w:right w:val="none" w:sz="0" w:space="0" w:color="auto"/>
      </w:divBdr>
      <w:divsChild>
        <w:div w:id="694816509">
          <w:marLeft w:val="336"/>
          <w:marRight w:val="0"/>
          <w:marTop w:val="120"/>
          <w:marBottom w:val="312"/>
          <w:divBdr>
            <w:top w:val="none" w:sz="0" w:space="0" w:color="auto"/>
            <w:left w:val="none" w:sz="0" w:space="0" w:color="auto"/>
            <w:bottom w:val="none" w:sz="0" w:space="0" w:color="auto"/>
            <w:right w:val="none" w:sz="0" w:space="0" w:color="auto"/>
          </w:divBdr>
          <w:divsChild>
            <w:div w:id="26296212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26519380">
          <w:marLeft w:val="336"/>
          <w:marRight w:val="0"/>
          <w:marTop w:val="120"/>
          <w:marBottom w:val="312"/>
          <w:divBdr>
            <w:top w:val="none" w:sz="0" w:space="0" w:color="auto"/>
            <w:left w:val="none" w:sz="0" w:space="0" w:color="auto"/>
            <w:bottom w:val="none" w:sz="0" w:space="0" w:color="auto"/>
            <w:right w:val="none" w:sz="0" w:space="0" w:color="auto"/>
          </w:divBdr>
          <w:divsChild>
            <w:div w:id="21043049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43496360">
          <w:marLeft w:val="336"/>
          <w:marRight w:val="0"/>
          <w:marTop w:val="120"/>
          <w:marBottom w:val="312"/>
          <w:divBdr>
            <w:top w:val="none" w:sz="0" w:space="0" w:color="auto"/>
            <w:left w:val="none" w:sz="0" w:space="0" w:color="auto"/>
            <w:bottom w:val="none" w:sz="0" w:space="0" w:color="auto"/>
            <w:right w:val="none" w:sz="0" w:space="0" w:color="auto"/>
          </w:divBdr>
          <w:divsChild>
            <w:div w:id="41228878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47112602">
          <w:marLeft w:val="336"/>
          <w:marRight w:val="0"/>
          <w:marTop w:val="120"/>
          <w:marBottom w:val="312"/>
          <w:divBdr>
            <w:top w:val="none" w:sz="0" w:space="0" w:color="auto"/>
            <w:left w:val="none" w:sz="0" w:space="0" w:color="auto"/>
            <w:bottom w:val="none" w:sz="0" w:space="0" w:color="auto"/>
            <w:right w:val="none" w:sz="0" w:space="0" w:color="auto"/>
          </w:divBdr>
          <w:divsChild>
            <w:div w:id="6818590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25137563">
          <w:marLeft w:val="336"/>
          <w:marRight w:val="0"/>
          <w:marTop w:val="120"/>
          <w:marBottom w:val="312"/>
          <w:divBdr>
            <w:top w:val="none" w:sz="0" w:space="0" w:color="auto"/>
            <w:left w:val="none" w:sz="0" w:space="0" w:color="auto"/>
            <w:bottom w:val="none" w:sz="0" w:space="0" w:color="auto"/>
            <w:right w:val="none" w:sz="0" w:space="0" w:color="auto"/>
          </w:divBdr>
          <w:divsChild>
            <w:div w:id="2647006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35847114">
          <w:marLeft w:val="336"/>
          <w:marRight w:val="0"/>
          <w:marTop w:val="120"/>
          <w:marBottom w:val="312"/>
          <w:divBdr>
            <w:top w:val="none" w:sz="0" w:space="0" w:color="auto"/>
            <w:left w:val="none" w:sz="0" w:space="0" w:color="auto"/>
            <w:bottom w:val="none" w:sz="0" w:space="0" w:color="auto"/>
            <w:right w:val="none" w:sz="0" w:space="0" w:color="auto"/>
          </w:divBdr>
          <w:divsChild>
            <w:div w:id="66181238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010469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80370940">
              <w:marLeft w:val="0"/>
              <w:marRight w:val="0"/>
              <w:marTop w:val="0"/>
              <w:marBottom w:val="0"/>
              <w:divBdr>
                <w:top w:val="none" w:sz="0" w:space="0" w:color="auto"/>
                <w:left w:val="none" w:sz="0" w:space="0" w:color="auto"/>
                <w:bottom w:val="none" w:sz="0" w:space="0" w:color="auto"/>
                <w:right w:val="none" w:sz="0" w:space="0" w:color="auto"/>
              </w:divBdr>
            </w:div>
          </w:divsChild>
        </w:div>
        <w:div w:id="1476291070">
          <w:marLeft w:val="336"/>
          <w:marRight w:val="0"/>
          <w:marTop w:val="120"/>
          <w:marBottom w:val="312"/>
          <w:divBdr>
            <w:top w:val="none" w:sz="0" w:space="0" w:color="auto"/>
            <w:left w:val="none" w:sz="0" w:space="0" w:color="auto"/>
            <w:bottom w:val="none" w:sz="0" w:space="0" w:color="auto"/>
            <w:right w:val="none" w:sz="0" w:space="0" w:color="auto"/>
          </w:divBdr>
          <w:divsChild>
            <w:div w:id="1632085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11617261">
          <w:marLeft w:val="336"/>
          <w:marRight w:val="0"/>
          <w:marTop w:val="120"/>
          <w:marBottom w:val="312"/>
          <w:divBdr>
            <w:top w:val="none" w:sz="0" w:space="0" w:color="auto"/>
            <w:left w:val="none" w:sz="0" w:space="0" w:color="auto"/>
            <w:bottom w:val="none" w:sz="0" w:space="0" w:color="auto"/>
            <w:right w:val="none" w:sz="0" w:space="0" w:color="auto"/>
          </w:divBdr>
          <w:divsChild>
            <w:div w:id="140876547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34413590">
          <w:marLeft w:val="336"/>
          <w:marRight w:val="0"/>
          <w:marTop w:val="120"/>
          <w:marBottom w:val="312"/>
          <w:divBdr>
            <w:top w:val="none" w:sz="0" w:space="0" w:color="auto"/>
            <w:left w:val="none" w:sz="0" w:space="0" w:color="auto"/>
            <w:bottom w:val="none" w:sz="0" w:space="0" w:color="auto"/>
            <w:right w:val="none" w:sz="0" w:space="0" w:color="auto"/>
          </w:divBdr>
          <w:divsChild>
            <w:div w:id="7312000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77667">
      <w:bodyDiv w:val="1"/>
      <w:marLeft w:val="0"/>
      <w:marRight w:val="0"/>
      <w:marTop w:val="0"/>
      <w:marBottom w:val="0"/>
      <w:divBdr>
        <w:top w:val="none" w:sz="0" w:space="0" w:color="auto"/>
        <w:left w:val="none" w:sz="0" w:space="0" w:color="auto"/>
        <w:bottom w:val="none" w:sz="0" w:space="0" w:color="auto"/>
        <w:right w:val="none" w:sz="0" w:space="0" w:color="auto"/>
      </w:divBdr>
      <w:divsChild>
        <w:div w:id="1145318989">
          <w:marLeft w:val="0"/>
          <w:marRight w:val="0"/>
          <w:marTop w:val="0"/>
          <w:marBottom w:val="0"/>
          <w:divBdr>
            <w:top w:val="none" w:sz="0" w:space="0" w:color="auto"/>
            <w:left w:val="none" w:sz="0" w:space="0" w:color="auto"/>
            <w:bottom w:val="none" w:sz="0" w:space="0" w:color="auto"/>
            <w:right w:val="none" w:sz="0" w:space="0" w:color="auto"/>
          </w:divBdr>
          <w:divsChild>
            <w:div w:id="880239631">
              <w:marLeft w:val="30"/>
              <w:marRight w:val="30"/>
              <w:marTop w:val="30"/>
              <w:marBottom w:val="30"/>
              <w:divBdr>
                <w:top w:val="none" w:sz="0" w:space="0" w:color="auto"/>
                <w:left w:val="none" w:sz="0" w:space="0" w:color="auto"/>
                <w:bottom w:val="none" w:sz="0" w:space="0" w:color="auto"/>
                <w:right w:val="none" w:sz="0" w:space="0" w:color="auto"/>
              </w:divBdr>
              <w:divsChild>
                <w:div w:id="749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9323">
          <w:marLeft w:val="0"/>
          <w:marRight w:val="0"/>
          <w:marTop w:val="0"/>
          <w:marBottom w:val="0"/>
          <w:divBdr>
            <w:top w:val="none" w:sz="0" w:space="0" w:color="auto"/>
            <w:left w:val="none" w:sz="0" w:space="0" w:color="auto"/>
            <w:bottom w:val="none" w:sz="0" w:space="0" w:color="auto"/>
            <w:right w:val="none" w:sz="0" w:space="0" w:color="auto"/>
          </w:divBdr>
          <w:divsChild>
            <w:div w:id="716781753">
              <w:marLeft w:val="30"/>
              <w:marRight w:val="30"/>
              <w:marTop w:val="30"/>
              <w:marBottom w:val="30"/>
              <w:divBdr>
                <w:top w:val="none" w:sz="0" w:space="0" w:color="auto"/>
                <w:left w:val="none" w:sz="0" w:space="0" w:color="auto"/>
                <w:bottom w:val="none" w:sz="0" w:space="0" w:color="auto"/>
                <w:right w:val="none" w:sz="0" w:space="0" w:color="auto"/>
              </w:divBdr>
              <w:divsChild>
                <w:div w:id="17026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30806">
          <w:marLeft w:val="0"/>
          <w:marRight w:val="0"/>
          <w:marTop w:val="0"/>
          <w:marBottom w:val="0"/>
          <w:divBdr>
            <w:top w:val="none" w:sz="0" w:space="0" w:color="auto"/>
            <w:left w:val="none" w:sz="0" w:space="0" w:color="auto"/>
            <w:bottom w:val="none" w:sz="0" w:space="0" w:color="auto"/>
            <w:right w:val="none" w:sz="0" w:space="0" w:color="auto"/>
          </w:divBdr>
          <w:divsChild>
            <w:div w:id="1495027475">
              <w:marLeft w:val="30"/>
              <w:marRight w:val="30"/>
              <w:marTop w:val="30"/>
              <w:marBottom w:val="30"/>
              <w:divBdr>
                <w:top w:val="none" w:sz="0" w:space="0" w:color="auto"/>
                <w:left w:val="none" w:sz="0" w:space="0" w:color="auto"/>
                <w:bottom w:val="none" w:sz="0" w:space="0" w:color="auto"/>
                <w:right w:val="none" w:sz="0" w:space="0" w:color="auto"/>
              </w:divBdr>
              <w:divsChild>
                <w:div w:id="12406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4254">
          <w:marLeft w:val="0"/>
          <w:marRight w:val="336"/>
          <w:marTop w:val="120"/>
          <w:marBottom w:val="312"/>
          <w:divBdr>
            <w:top w:val="none" w:sz="0" w:space="0" w:color="auto"/>
            <w:left w:val="none" w:sz="0" w:space="0" w:color="auto"/>
            <w:bottom w:val="none" w:sz="0" w:space="0" w:color="auto"/>
            <w:right w:val="none" w:sz="0" w:space="0" w:color="auto"/>
          </w:divBdr>
          <w:divsChild>
            <w:div w:id="55817724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7160696">
          <w:marLeft w:val="336"/>
          <w:marRight w:val="0"/>
          <w:marTop w:val="120"/>
          <w:marBottom w:val="312"/>
          <w:divBdr>
            <w:top w:val="none" w:sz="0" w:space="0" w:color="auto"/>
            <w:left w:val="none" w:sz="0" w:space="0" w:color="auto"/>
            <w:bottom w:val="none" w:sz="0" w:space="0" w:color="auto"/>
            <w:right w:val="none" w:sz="0" w:space="0" w:color="auto"/>
          </w:divBdr>
          <w:divsChild>
            <w:div w:id="16945762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28500079">
          <w:marLeft w:val="336"/>
          <w:marRight w:val="0"/>
          <w:marTop w:val="120"/>
          <w:marBottom w:val="312"/>
          <w:divBdr>
            <w:top w:val="none" w:sz="0" w:space="0" w:color="auto"/>
            <w:left w:val="none" w:sz="0" w:space="0" w:color="auto"/>
            <w:bottom w:val="none" w:sz="0" w:space="0" w:color="auto"/>
            <w:right w:val="none" w:sz="0" w:space="0" w:color="auto"/>
          </w:divBdr>
          <w:divsChild>
            <w:div w:id="192657017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10545342">
          <w:marLeft w:val="0"/>
          <w:marRight w:val="336"/>
          <w:marTop w:val="120"/>
          <w:marBottom w:val="312"/>
          <w:divBdr>
            <w:top w:val="none" w:sz="0" w:space="0" w:color="auto"/>
            <w:left w:val="none" w:sz="0" w:space="0" w:color="auto"/>
            <w:bottom w:val="none" w:sz="0" w:space="0" w:color="auto"/>
            <w:right w:val="none" w:sz="0" w:space="0" w:color="auto"/>
          </w:divBdr>
          <w:divsChild>
            <w:div w:id="1990011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4853980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3294">
      <w:bodyDiv w:val="1"/>
      <w:marLeft w:val="0"/>
      <w:marRight w:val="0"/>
      <w:marTop w:val="0"/>
      <w:marBottom w:val="0"/>
      <w:divBdr>
        <w:top w:val="none" w:sz="0" w:space="0" w:color="auto"/>
        <w:left w:val="none" w:sz="0" w:space="0" w:color="auto"/>
        <w:bottom w:val="none" w:sz="0" w:space="0" w:color="auto"/>
        <w:right w:val="none" w:sz="0" w:space="0" w:color="auto"/>
      </w:divBdr>
      <w:divsChild>
        <w:div w:id="1008289740">
          <w:marLeft w:val="336"/>
          <w:marRight w:val="0"/>
          <w:marTop w:val="120"/>
          <w:marBottom w:val="312"/>
          <w:divBdr>
            <w:top w:val="none" w:sz="0" w:space="0" w:color="auto"/>
            <w:left w:val="none" w:sz="0" w:space="0" w:color="auto"/>
            <w:bottom w:val="none" w:sz="0" w:space="0" w:color="auto"/>
            <w:right w:val="none" w:sz="0" w:space="0" w:color="auto"/>
          </w:divBdr>
          <w:divsChild>
            <w:div w:id="8269398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09167999">
          <w:marLeft w:val="0"/>
          <w:marRight w:val="336"/>
          <w:marTop w:val="120"/>
          <w:marBottom w:val="312"/>
          <w:divBdr>
            <w:top w:val="none" w:sz="0" w:space="0" w:color="auto"/>
            <w:left w:val="none" w:sz="0" w:space="0" w:color="auto"/>
            <w:bottom w:val="none" w:sz="0" w:space="0" w:color="auto"/>
            <w:right w:val="none" w:sz="0" w:space="0" w:color="auto"/>
          </w:divBdr>
          <w:divsChild>
            <w:div w:id="4452713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86624057">
          <w:marLeft w:val="336"/>
          <w:marRight w:val="0"/>
          <w:marTop w:val="120"/>
          <w:marBottom w:val="312"/>
          <w:divBdr>
            <w:top w:val="none" w:sz="0" w:space="0" w:color="auto"/>
            <w:left w:val="none" w:sz="0" w:space="0" w:color="auto"/>
            <w:bottom w:val="none" w:sz="0" w:space="0" w:color="auto"/>
            <w:right w:val="none" w:sz="0" w:space="0" w:color="auto"/>
          </w:divBdr>
          <w:divsChild>
            <w:div w:id="13956586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1048092">
          <w:marLeft w:val="336"/>
          <w:marRight w:val="0"/>
          <w:marTop w:val="120"/>
          <w:marBottom w:val="312"/>
          <w:divBdr>
            <w:top w:val="none" w:sz="0" w:space="0" w:color="auto"/>
            <w:left w:val="none" w:sz="0" w:space="0" w:color="auto"/>
            <w:bottom w:val="none" w:sz="0" w:space="0" w:color="auto"/>
            <w:right w:val="none" w:sz="0" w:space="0" w:color="auto"/>
          </w:divBdr>
          <w:divsChild>
            <w:div w:id="11984232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5035594">
          <w:marLeft w:val="336"/>
          <w:marRight w:val="0"/>
          <w:marTop w:val="120"/>
          <w:marBottom w:val="312"/>
          <w:divBdr>
            <w:top w:val="none" w:sz="0" w:space="0" w:color="auto"/>
            <w:left w:val="none" w:sz="0" w:space="0" w:color="auto"/>
            <w:bottom w:val="none" w:sz="0" w:space="0" w:color="auto"/>
            <w:right w:val="none" w:sz="0" w:space="0" w:color="auto"/>
          </w:divBdr>
          <w:divsChild>
            <w:div w:id="18613536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1231835">
          <w:marLeft w:val="0"/>
          <w:marRight w:val="336"/>
          <w:marTop w:val="120"/>
          <w:marBottom w:val="312"/>
          <w:divBdr>
            <w:top w:val="none" w:sz="0" w:space="0" w:color="auto"/>
            <w:left w:val="none" w:sz="0" w:space="0" w:color="auto"/>
            <w:bottom w:val="none" w:sz="0" w:space="0" w:color="auto"/>
            <w:right w:val="none" w:sz="0" w:space="0" w:color="auto"/>
          </w:divBdr>
          <w:divsChild>
            <w:div w:id="18200720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37189904">
          <w:marLeft w:val="336"/>
          <w:marRight w:val="0"/>
          <w:marTop w:val="120"/>
          <w:marBottom w:val="312"/>
          <w:divBdr>
            <w:top w:val="none" w:sz="0" w:space="0" w:color="auto"/>
            <w:left w:val="none" w:sz="0" w:space="0" w:color="auto"/>
            <w:bottom w:val="none" w:sz="0" w:space="0" w:color="auto"/>
            <w:right w:val="none" w:sz="0" w:space="0" w:color="auto"/>
          </w:divBdr>
          <w:divsChild>
            <w:div w:id="3699642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9966443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87328518">
              <w:marLeft w:val="0"/>
              <w:marRight w:val="0"/>
              <w:marTop w:val="0"/>
              <w:marBottom w:val="0"/>
              <w:divBdr>
                <w:top w:val="none" w:sz="0" w:space="0" w:color="auto"/>
                <w:left w:val="none" w:sz="0" w:space="0" w:color="auto"/>
                <w:bottom w:val="none" w:sz="0" w:space="0" w:color="auto"/>
                <w:right w:val="none" w:sz="0" w:space="0" w:color="auto"/>
              </w:divBdr>
            </w:div>
          </w:divsChild>
        </w:div>
        <w:div w:id="470485521">
          <w:marLeft w:val="0"/>
          <w:marRight w:val="336"/>
          <w:marTop w:val="120"/>
          <w:marBottom w:val="312"/>
          <w:divBdr>
            <w:top w:val="none" w:sz="0" w:space="0" w:color="auto"/>
            <w:left w:val="none" w:sz="0" w:space="0" w:color="auto"/>
            <w:bottom w:val="none" w:sz="0" w:space="0" w:color="auto"/>
            <w:right w:val="none" w:sz="0" w:space="0" w:color="auto"/>
          </w:divBdr>
          <w:divsChild>
            <w:div w:id="4876695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2269584">
          <w:marLeft w:val="336"/>
          <w:marRight w:val="0"/>
          <w:marTop w:val="120"/>
          <w:marBottom w:val="312"/>
          <w:divBdr>
            <w:top w:val="none" w:sz="0" w:space="0" w:color="auto"/>
            <w:left w:val="none" w:sz="0" w:space="0" w:color="auto"/>
            <w:bottom w:val="none" w:sz="0" w:space="0" w:color="auto"/>
            <w:right w:val="none" w:sz="0" w:space="0" w:color="auto"/>
          </w:divBdr>
          <w:divsChild>
            <w:div w:id="12216677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92842939">
          <w:marLeft w:val="336"/>
          <w:marRight w:val="0"/>
          <w:marTop w:val="120"/>
          <w:marBottom w:val="312"/>
          <w:divBdr>
            <w:top w:val="none" w:sz="0" w:space="0" w:color="auto"/>
            <w:left w:val="none" w:sz="0" w:space="0" w:color="auto"/>
            <w:bottom w:val="none" w:sz="0" w:space="0" w:color="auto"/>
            <w:right w:val="none" w:sz="0" w:space="0" w:color="auto"/>
          </w:divBdr>
          <w:divsChild>
            <w:div w:id="5439039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48608268">
          <w:marLeft w:val="480"/>
          <w:marRight w:val="0"/>
          <w:marTop w:val="72"/>
          <w:marBottom w:val="168"/>
          <w:divBdr>
            <w:top w:val="single" w:sz="6" w:space="2" w:color="E7E7E7"/>
            <w:left w:val="single" w:sz="2" w:space="0" w:color="E7E7E7"/>
            <w:bottom w:val="single" w:sz="6" w:space="4" w:color="E7E7E7"/>
            <w:right w:val="single" w:sz="2" w:space="6" w:color="E7E7E7"/>
          </w:divBdr>
          <w:divsChild>
            <w:div w:id="997268436">
              <w:marLeft w:val="0"/>
              <w:marRight w:val="0"/>
              <w:marTop w:val="0"/>
              <w:marBottom w:val="0"/>
              <w:divBdr>
                <w:top w:val="none" w:sz="0" w:space="0" w:color="auto"/>
                <w:left w:val="none" w:sz="0" w:space="0" w:color="auto"/>
                <w:bottom w:val="none" w:sz="0" w:space="0" w:color="auto"/>
                <w:right w:val="none" w:sz="0" w:space="0" w:color="auto"/>
              </w:divBdr>
            </w:div>
          </w:divsChild>
        </w:div>
        <w:div w:id="1608149879">
          <w:marLeft w:val="480"/>
          <w:marRight w:val="0"/>
          <w:marTop w:val="72"/>
          <w:marBottom w:val="168"/>
          <w:divBdr>
            <w:top w:val="single" w:sz="6" w:space="2" w:color="E7E7E7"/>
            <w:left w:val="single" w:sz="2" w:space="0" w:color="E7E7E7"/>
            <w:bottom w:val="single" w:sz="6" w:space="4" w:color="E7E7E7"/>
            <w:right w:val="single" w:sz="2" w:space="6" w:color="E7E7E7"/>
          </w:divBdr>
          <w:divsChild>
            <w:div w:id="950818668">
              <w:marLeft w:val="0"/>
              <w:marRight w:val="0"/>
              <w:marTop w:val="0"/>
              <w:marBottom w:val="0"/>
              <w:divBdr>
                <w:top w:val="none" w:sz="0" w:space="0" w:color="auto"/>
                <w:left w:val="none" w:sz="0" w:space="0" w:color="auto"/>
                <w:bottom w:val="none" w:sz="0" w:space="0" w:color="auto"/>
                <w:right w:val="none" w:sz="0" w:space="0" w:color="auto"/>
              </w:divBdr>
            </w:div>
          </w:divsChild>
        </w:div>
        <w:div w:id="1087266190">
          <w:marLeft w:val="336"/>
          <w:marRight w:val="0"/>
          <w:marTop w:val="120"/>
          <w:marBottom w:val="312"/>
          <w:divBdr>
            <w:top w:val="none" w:sz="0" w:space="0" w:color="auto"/>
            <w:left w:val="none" w:sz="0" w:space="0" w:color="auto"/>
            <w:bottom w:val="none" w:sz="0" w:space="0" w:color="auto"/>
            <w:right w:val="none" w:sz="0" w:space="0" w:color="auto"/>
          </w:divBdr>
          <w:divsChild>
            <w:div w:id="17694979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9416978">
          <w:marLeft w:val="0"/>
          <w:marRight w:val="336"/>
          <w:marTop w:val="120"/>
          <w:marBottom w:val="312"/>
          <w:divBdr>
            <w:top w:val="none" w:sz="0" w:space="0" w:color="auto"/>
            <w:left w:val="none" w:sz="0" w:space="0" w:color="auto"/>
            <w:bottom w:val="none" w:sz="0" w:space="0" w:color="auto"/>
            <w:right w:val="none" w:sz="0" w:space="0" w:color="auto"/>
          </w:divBdr>
          <w:divsChild>
            <w:div w:id="10129487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5179139">
          <w:marLeft w:val="336"/>
          <w:marRight w:val="0"/>
          <w:marTop w:val="120"/>
          <w:marBottom w:val="312"/>
          <w:divBdr>
            <w:top w:val="none" w:sz="0" w:space="0" w:color="auto"/>
            <w:left w:val="none" w:sz="0" w:space="0" w:color="auto"/>
            <w:bottom w:val="none" w:sz="0" w:space="0" w:color="auto"/>
            <w:right w:val="none" w:sz="0" w:space="0" w:color="auto"/>
          </w:divBdr>
          <w:divsChild>
            <w:div w:id="6990140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1687235">
          <w:marLeft w:val="480"/>
          <w:marRight w:val="0"/>
          <w:marTop w:val="72"/>
          <w:marBottom w:val="168"/>
          <w:divBdr>
            <w:top w:val="single" w:sz="6" w:space="2" w:color="E7E7E7"/>
            <w:left w:val="single" w:sz="2" w:space="0" w:color="E7E7E7"/>
            <w:bottom w:val="single" w:sz="6" w:space="4" w:color="E7E7E7"/>
            <w:right w:val="single" w:sz="2" w:space="6" w:color="E7E7E7"/>
          </w:divBdr>
          <w:divsChild>
            <w:div w:id="559288340">
              <w:marLeft w:val="0"/>
              <w:marRight w:val="0"/>
              <w:marTop w:val="0"/>
              <w:marBottom w:val="0"/>
              <w:divBdr>
                <w:top w:val="none" w:sz="0" w:space="0" w:color="auto"/>
                <w:left w:val="none" w:sz="0" w:space="0" w:color="auto"/>
                <w:bottom w:val="none" w:sz="0" w:space="0" w:color="auto"/>
                <w:right w:val="none" w:sz="0" w:space="0" w:color="auto"/>
              </w:divBdr>
            </w:div>
          </w:divsChild>
        </w:div>
        <w:div w:id="1011640828">
          <w:marLeft w:val="0"/>
          <w:marRight w:val="336"/>
          <w:marTop w:val="120"/>
          <w:marBottom w:val="312"/>
          <w:divBdr>
            <w:top w:val="none" w:sz="0" w:space="0" w:color="auto"/>
            <w:left w:val="none" w:sz="0" w:space="0" w:color="auto"/>
            <w:bottom w:val="none" w:sz="0" w:space="0" w:color="auto"/>
            <w:right w:val="none" w:sz="0" w:space="0" w:color="auto"/>
          </w:divBdr>
          <w:divsChild>
            <w:div w:id="185264799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9523214">
          <w:marLeft w:val="336"/>
          <w:marRight w:val="0"/>
          <w:marTop w:val="120"/>
          <w:marBottom w:val="312"/>
          <w:divBdr>
            <w:top w:val="none" w:sz="0" w:space="0" w:color="auto"/>
            <w:left w:val="none" w:sz="0" w:space="0" w:color="auto"/>
            <w:bottom w:val="none" w:sz="0" w:space="0" w:color="auto"/>
            <w:right w:val="none" w:sz="0" w:space="0" w:color="auto"/>
          </w:divBdr>
          <w:divsChild>
            <w:div w:id="5191258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3763260">
          <w:marLeft w:val="336"/>
          <w:marRight w:val="0"/>
          <w:marTop w:val="120"/>
          <w:marBottom w:val="312"/>
          <w:divBdr>
            <w:top w:val="none" w:sz="0" w:space="0" w:color="auto"/>
            <w:left w:val="none" w:sz="0" w:space="0" w:color="auto"/>
            <w:bottom w:val="none" w:sz="0" w:space="0" w:color="auto"/>
            <w:right w:val="none" w:sz="0" w:space="0" w:color="auto"/>
          </w:divBdr>
          <w:divsChild>
            <w:div w:id="73979027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5546397">
          <w:marLeft w:val="480"/>
          <w:marRight w:val="0"/>
          <w:marTop w:val="72"/>
          <w:marBottom w:val="168"/>
          <w:divBdr>
            <w:top w:val="single" w:sz="6" w:space="2" w:color="E7E7E7"/>
            <w:left w:val="single" w:sz="2" w:space="0" w:color="E7E7E7"/>
            <w:bottom w:val="single" w:sz="6" w:space="4" w:color="E7E7E7"/>
            <w:right w:val="single" w:sz="2" w:space="6" w:color="E7E7E7"/>
          </w:divBdr>
          <w:divsChild>
            <w:div w:id="1940721590">
              <w:marLeft w:val="0"/>
              <w:marRight w:val="0"/>
              <w:marTop w:val="0"/>
              <w:marBottom w:val="0"/>
              <w:divBdr>
                <w:top w:val="none" w:sz="0" w:space="0" w:color="auto"/>
                <w:left w:val="none" w:sz="0" w:space="0" w:color="auto"/>
                <w:bottom w:val="none" w:sz="0" w:space="0" w:color="auto"/>
                <w:right w:val="none" w:sz="0" w:space="0" w:color="auto"/>
              </w:divBdr>
            </w:div>
          </w:divsChild>
        </w:div>
        <w:div w:id="1437948214">
          <w:marLeft w:val="336"/>
          <w:marRight w:val="0"/>
          <w:marTop w:val="120"/>
          <w:marBottom w:val="312"/>
          <w:divBdr>
            <w:top w:val="none" w:sz="0" w:space="0" w:color="auto"/>
            <w:left w:val="none" w:sz="0" w:space="0" w:color="auto"/>
            <w:bottom w:val="none" w:sz="0" w:space="0" w:color="auto"/>
            <w:right w:val="none" w:sz="0" w:space="0" w:color="auto"/>
          </w:divBdr>
          <w:divsChild>
            <w:div w:id="8628670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5560463">
          <w:marLeft w:val="336"/>
          <w:marRight w:val="0"/>
          <w:marTop w:val="120"/>
          <w:marBottom w:val="312"/>
          <w:divBdr>
            <w:top w:val="none" w:sz="0" w:space="0" w:color="auto"/>
            <w:left w:val="none" w:sz="0" w:space="0" w:color="auto"/>
            <w:bottom w:val="none" w:sz="0" w:space="0" w:color="auto"/>
            <w:right w:val="none" w:sz="0" w:space="0" w:color="auto"/>
          </w:divBdr>
          <w:divsChild>
            <w:div w:id="9607706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26972863">
          <w:marLeft w:val="336"/>
          <w:marRight w:val="0"/>
          <w:marTop w:val="120"/>
          <w:marBottom w:val="312"/>
          <w:divBdr>
            <w:top w:val="none" w:sz="0" w:space="0" w:color="auto"/>
            <w:left w:val="none" w:sz="0" w:space="0" w:color="auto"/>
            <w:bottom w:val="none" w:sz="0" w:space="0" w:color="auto"/>
            <w:right w:val="none" w:sz="0" w:space="0" w:color="auto"/>
          </w:divBdr>
          <w:divsChild>
            <w:div w:id="16084620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5311671">
          <w:marLeft w:val="336"/>
          <w:marRight w:val="0"/>
          <w:marTop w:val="120"/>
          <w:marBottom w:val="312"/>
          <w:divBdr>
            <w:top w:val="none" w:sz="0" w:space="0" w:color="auto"/>
            <w:left w:val="none" w:sz="0" w:space="0" w:color="auto"/>
            <w:bottom w:val="none" w:sz="0" w:space="0" w:color="auto"/>
            <w:right w:val="none" w:sz="0" w:space="0" w:color="auto"/>
          </w:divBdr>
          <w:divsChild>
            <w:div w:id="5590923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55999568">
          <w:marLeft w:val="336"/>
          <w:marRight w:val="0"/>
          <w:marTop w:val="120"/>
          <w:marBottom w:val="312"/>
          <w:divBdr>
            <w:top w:val="none" w:sz="0" w:space="0" w:color="auto"/>
            <w:left w:val="none" w:sz="0" w:space="0" w:color="auto"/>
            <w:bottom w:val="none" w:sz="0" w:space="0" w:color="auto"/>
            <w:right w:val="none" w:sz="0" w:space="0" w:color="auto"/>
          </w:divBdr>
          <w:divsChild>
            <w:div w:id="9692147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8944574">
          <w:marLeft w:val="336"/>
          <w:marRight w:val="0"/>
          <w:marTop w:val="120"/>
          <w:marBottom w:val="312"/>
          <w:divBdr>
            <w:top w:val="none" w:sz="0" w:space="0" w:color="auto"/>
            <w:left w:val="none" w:sz="0" w:space="0" w:color="auto"/>
            <w:bottom w:val="none" w:sz="0" w:space="0" w:color="auto"/>
            <w:right w:val="none" w:sz="0" w:space="0" w:color="auto"/>
          </w:divBdr>
          <w:divsChild>
            <w:div w:id="13609302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10819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760224">
              <w:marLeft w:val="0"/>
              <w:marRight w:val="0"/>
              <w:marTop w:val="0"/>
              <w:marBottom w:val="0"/>
              <w:divBdr>
                <w:top w:val="none" w:sz="0" w:space="0" w:color="auto"/>
                <w:left w:val="none" w:sz="0" w:space="0" w:color="auto"/>
                <w:bottom w:val="none" w:sz="0" w:space="0" w:color="auto"/>
                <w:right w:val="none" w:sz="0" w:space="0" w:color="auto"/>
              </w:divBdr>
            </w:div>
          </w:divsChild>
        </w:div>
        <w:div w:id="1147019039">
          <w:marLeft w:val="0"/>
          <w:marRight w:val="336"/>
          <w:marTop w:val="120"/>
          <w:marBottom w:val="312"/>
          <w:divBdr>
            <w:top w:val="none" w:sz="0" w:space="0" w:color="auto"/>
            <w:left w:val="none" w:sz="0" w:space="0" w:color="auto"/>
            <w:bottom w:val="none" w:sz="0" w:space="0" w:color="auto"/>
            <w:right w:val="none" w:sz="0" w:space="0" w:color="auto"/>
          </w:divBdr>
          <w:divsChild>
            <w:div w:id="4083824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102336175">
      <w:bodyDiv w:val="1"/>
      <w:marLeft w:val="0"/>
      <w:marRight w:val="0"/>
      <w:marTop w:val="0"/>
      <w:marBottom w:val="0"/>
      <w:divBdr>
        <w:top w:val="none" w:sz="0" w:space="0" w:color="auto"/>
        <w:left w:val="none" w:sz="0" w:space="0" w:color="auto"/>
        <w:bottom w:val="none" w:sz="0" w:space="0" w:color="auto"/>
        <w:right w:val="none" w:sz="0" w:space="0" w:color="auto"/>
      </w:divBdr>
      <w:divsChild>
        <w:div w:id="42908332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1848059">
              <w:marLeft w:val="0"/>
              <w:marRight w:val="0"/>
              <w:marTop w:val="0"/>
              <w:marBottom w:val="0"/>
              <w:divBdr>
                <w:top w:val="none" w:sz="0" w:space="0" w:color="auto"/>
                <w:left w:val="none" w:sz="0" w:space="0" w:color="auto"/>
                <w:bottom w:val="none" w:sz="0" w:space="0" w:color="auto"/>
                <w:right w:val="none" w:sz="0" w:space="0" w:color="auto"/>
              </w:divBdr>
            </w:div>
          </w:divsChild>
        </w:div>
        <w:div w:id="477648919">
          <w:marLeft w:val="480"/>
          <w:marRight w:val="0"/>
          <w:marTop w:val="72"/>
          <w:marBottom w:val="168"/>
          <w:divBdr>
            <w:top w:val="single" w:sz="6" w:space="2" w:color="E7E7E7"/>
            <w:left w:val="single" w:sz="2" w:space="0" w:color="E7E7E7"/>
            <w:bottom w:val="single" w:sz="6" w:space="4" w:color="E7E7E7"/>
            <w:right w:val="single" w:sz="2" w:space="6" w:color="E7E7E7"/>
          </w:divBdr>
          <w:divsChild>
            <w:div w:id="1393574811">
              <w:marLeft w:val="0"/>
              <w:marRight w:val="0"/>
              <w:marTop w:val="0"/>
              <w:marBottom w:val="0"/>
              <w:divBdr>
                <w:top w:val="none" w:sz="0" w:space="0" w:color="auto"/>
                <w:left w:val="none" w:sz="0" w:space="0" w:color="auto"/>
                <w:bottom w:val="none" w:sz="0" w:space="0" w:color="auto"/>
                <w:right w:val="none" w:sz="0" w:space="0" w:color="auto"/>
              </w:divBdr>
            </w:div>
          </w:divsChild>
        </w:div>
        <w:div w:id="1659730736">
          <w:marLeft w:val="0"/>
          <w:marRight w:val="336"/>
          <w:marTop w:val="120"/>
          <w:marBottom w:val="312"/>
          <w:divBdr>
            <w:top w:val="none" w:sz="0" w:space="0" w:color="auto"/>
            <w:left w:val="none" w:sz="0" w:space="0" w:color="auto"/>
            <w:bottom w:val="none" w:sz="0" w:space="0" w:color="auto"/>
            <w:right w:val="none" w:sz="0" w:space="0" w:color="auto"/>
          </w:divBdr>
          <w:divsChild>
            <w:div w:id="833325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Cosmologie" TargetMode="External"/><Relationship Id="rId117" Type="http://schemas.openxmlformats.org/officeDocument/2006/relationships/image" Target="media/image26.jpeg"/><Relationship Id="rId21" Type="http://schemas.openxmlformats.org/officeDocument/2006/relationships/hyperlink" Target="https://commons.wikimedia.org/wiki/File:Flag_of_Canada.svg?uselang=fr" TargetMode="External"/><Relationship Id="rId42" Type="http://schemas.openxmlformats.org/officeDocument/2006/relationships/hyperlink" Target="https://fr.wikipedia.org/wiki/Orbite_terrestre_basse" TargetMode="External"/><Relationship Id="rId47" Type="http://schemas.openxmlformats.org/officeDocument/2006/relationships/hyperlink" Target="https://fr.wikipedia.org/wiki/P%C3%A9riode_de_r%C3%A9volution" TargetMode="External"/><Relationship Id="rId63" Type="http://schemas.openxmlformats.org/officeDocument/2006/relationships/hyperlink" Target="https://fr.wikipedia.org/wiki/Navette_spatiale_am%C3%A9ricaine" TargetMode="External"/><Relationship Id="rId68" Type="http://schemas.openxmlformats.org/officeDocument/2006/relationships/hyperlink" Target="https://nssdc.gsfc.nasa.gov/nmc/spacecraft/display.action?id=1998-067A" TargetMode="External"/><Relationship Id="rId84" Type="http://schemas.openxmlformats.org/officeDocument/2006/relationships/hyperlink" Target="https://commons.wikimedia.org/wiki/File:Power_Tower_Space_Station_Concept.jpg?uselang=fr" TargetMode="External"/><Relationship Id="rId89" Type="http://schemas.openxmlformats.org/officeDocument/2006/relationships/image" Target="media/image12.png"/><Relationship Id="rId112" Type="http://schemas.openxmlformats.org/officeDocument/2006/relationships/hyperlink" Target="https://commons.wikimedia.org/wiki/File:S104e5237.jpg?uselang=fr" TargetMode="External"/><Relationship Id="rId16" Type="http://schemas.openxmlformats.org/officeDocument/2006/relationships/image" Target="media/image4.png"/><Relationship Id="rId107" Type="http://schemas.openxmlformats.org/officeDocument/2006/relationships/image" Target="media/image21.png"/><Relationship Id="rId11" Type="http://schemas.openxmlformats.org/officeDocument/2006/relationships/image" Target="media/image2.png"/><Relationship Id="rId32" Type="http://schemas.openxmlformats.org/officeDocument/2006/relationships/hyperlink" Target="https://fr.wikipedia.org/wiki/Segment_orbital_russe" TargetMode="External"/><Relationship Id="rId37" Type="http://schemas.openxmlformats.org/officeDocument/2006/relationships/hyperlink" Target="https://fr.wikipedia.org/wiki/Num%C3%A9ro_d%27immatriculation_international_des_objets_spatiaux" TargetMode="External"/><Relationship Id="rId53" Type="http://schemas.openxmlformats.org/officeDocument/2006/relationships/hyperlink" Target="https://fr.wikipedia.org/wiki/Agence_spatiale_canadienne" TargetMode="External"/><Relationship Id="rId58" Type="http://schemas.openxmlformats.org/officeDocument/2006/relationships/hyperlink" Target="https://fr.wikipedia.org/wiki/Histoire_du_vol_spatial" TargetMode="External"/><Relationship Id="rId74" Type="http://schemas.openxmlformats.org/officeDocument/2006/relationships/hyperlink" Target="https://fr.wikipedia.org/wiki/Station_spatiale_internationale" TargetMode="External"/><Relationship Id="rId79" Type="http://schemas.openxmlformats.org/officeDocument/2006/relationships/image" Target="media/image7.jpeg"/><Relationship Id="rId102" Type="http://schemas.openxmlformats.org/officeDocument/2006/relationships/hyperlink" Target="https://commons.wikimedia.org/wiki/File:STS-126_EVA1_Bowen01.jpg?uselang=fr" TargetMode="External"/><Relationship Id="rId123" Type="http://schemas.openxmlformats.org/officeDocument/2006/relationships/image" Target="media/image29.jpeg"/><Relationship Id="rId5" Type="http://schemas.openxmlformats.org/officeDocument/2006/relationships/webSettings" Target="webSettings.xml"/><Relationship Id="rId90" Type="http://schemas.openxmlformats.org/officeDocument/2006/relationships/hyperlink" Target="https://commons.wikimedia.org/wiki/File:Genese-des-noeuds.png?uselang=fr" TargetMode="External"/><Relationship Id="rId95" Type="http://schemas.openxmlformats.org/officeDocument/2006/relationships/image" Target="media/image15.png"/><Relationship Id="rId22" Type="http://schemas.openxmlformats.org/officeDocument/2006/relationships/image" Target="media/image6.png"/><Relationship Id="rId27" Type="http://schemas.openxmlformats.org/officeDocument/2006/relationships/hyperlink" Target="https://fr.wikipedia.org/wiki/Astronomie" TargetMode="External"/><Relationship Id="rId43" Type="http://schemas.openxmlformats.org/officeDocument/2006/relationships/hyperlink" Target="https://fr.wikipedia.org/wiki/P%C3%A9rig%C3%A9e" TargetMode="External"/><Relationship Id="rId48" Type="http://schemas.openxmlformats.org/officeDocument/2006/relationships/hyperlink" Target="https://fr.wikipedia.org/wiki/Inclinaison_orbitale" TargetMode="External"/><Relationship Id="rId64" Type="http://schemas.openxmlformats.org/officeDocument/2006/relationships/hyperlink" Target="https://fr.wikipedia.org/wiki/Segment_orbital_am%C3%A9ricain" TargetMode="External"/><Relationship Id="rId69" Type="http://schemas.openxmlformats.org/officeDocument/2006/relationships/hyperlink" Target="https://fr.wikipedia.org/wiki/Site_web" TargetMode="External"/><Relationship Id="rId113" Type="http://schemas.openxmlformats.org/officeDocument/2006/relationships/image" Target="media/image24.jpeg"/><Relationship Id="rId118" Type="http://schemas.openxmlformats.org/officeDocument/2006/relationships/hyperlink" Target="https://commons.wikimedia.org/wiki/File:ISS_impact_risk.jpg?uselang=fr" TargetMode="External"/><Relationship Id="rId80" Type="http://schemas.openxmlformats.org/officeDocument/2006/relationships/hyperlink" Target="https://commons.wikimedia.org/wiki/File:Skylab_3_Close-Up_-_GPN-2000-001711.jpg?uselang=fr" TargetMode="External"/><Relationship Id="rId85" Type="http://schemas.openxmlformats.org/officeDocument/2006/relationships/image" Target="media/image10.jpeg"/><Relationship Id="rId12" Type="http://schemas.openxmlformats.org/officeDocument/2006/relationships/hyperlink" Target="https://fr.wikipedia.org/wiki/National_Aeronautics_and_Space_Administration" TargetMode="External"/><Relationship Id="rId17" Type="http://schemas.openxmlformats.org/officeDocument/2006/relationships/hyperlink" Target="https://fr.wikipedia.org/wiki/Agence_spatiale_europ%C3%A9enne" TargetMode="External"/><Relationship Id="rId33" Type="http://schemas.openxmlformats.org/officeDocument/2006/relationships/hyperlink" Target="https://fr.wikipedia.org/wiki/Navette_spatiale_am%C3%A9ricaine" TargetMode="External"/><Relationship Id="rId38" Type="http://schemas.openxmlformats.org/officeDocument/2006/relationships/hyperlink" Target="https://nssdc.gsfc.nasa.gov/nmc/spacecraft/display.action?id=1998-067A" TargetMode="External"/><Relationship Id="rId59" Type="http://schemas.openxmlformats.org/officeDocument/2006/relationships/hyperlink" Target="https://fr.wikipedia.org/wiki/Lancement_(astronautique)" TargetMode="External"/><Relationship Id="rId103" Type="http://schemas.openxmlformats.org/officeDocument/2006/relationships/image" Target="media/image19.jpeg"/><Relationship Id="rId108" Type="http://schemas.openxmlformats.org/officeDocument/2006/relationships/hyperlink" Target="https://commons.wikimedia.org/wiki/File:SpaceStationCycle-fr.svg?uselang=fr" TargetMode="External"/><Relationship Id="rId124" Type="http://schemas.openxmlformats.org/officeDocument/2006/relationships/header" Target="header1.xml"/><Relationship Id="rId54" Type="http://schemas.openxmlformats.org/officeDocument/2006/relationships/hyperlink" Target="https://fr.wikipedia.org/wiki/Physiologie" TargetMode="External"/><Relationship Id="rId70" Type="http://schemas.openxmlformats.org/officeDocument/2006/relationships/hyperlink" Target="https://www.nasa.gov/mission_pages/station/main/index.html" TargetMode="External"/><Relationship Id="rId75" Type="http://schemas.openxmlformats.org/officeDocument/2006/relationships/hyperlink" Target="https://fr.wikipedia.org/wiki/Apog%C3%A9e" TargetMode="External"/><Relationship Id="rId91" Type="http://schemas.openxmlformats.org/officeDocument/2006/relationships/image" Target="media/image13.png"/><Relationship Id="rId96" Type="http://schemas.openxmlformats.org/officeDocument/2006/relationships/hyperlink" Target="https://commons.wikimedia.org/wiki/File:Coupe-module-ISS.png?uselang=fr"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wikipedia.org/wiki/Agence_spatiale_canadienne" TargetMode="External"/><Relationship Id="rId28" Type="http://schemas.openxmlformats.org/officeDocument/2006/relationships/hyperlink" Target="https://fr.wikipedia.org/wiki/Histoire_du_vol_spatial" TargetMode="External"/><Relationship Id="rId49" Type="http://schemas.openxmlformats.org/officeDocument/2006/relationships/hyperlink" Target="https://fr.wikipedia.org/wiki/Agence_spatiale" TargetMode="External"/><Relationship Id="rId114" Type="http://schemas.openxmlformats.org/officeDocument/2006/relationships/hyperlink" Target="https://commons.wikimedia.org/wiki/File:STS-124_Mike_Fossum_during_the_second_spacewalk.jpg?uselang=fr" TargetMode="External"/><Relationship Id="rId119" Type="http://schemas.openxmlformats.org/officeDocument/2006/relationships/image" Target="media/image27.jpeg"/><Relationship Id="rId44" Type="http://schemas.openxmlformats.org/officeDocument/2006/relationships/hyperlink" Target="https://fr.wikipedia.org/wiki/Station_spatiale_internationale" TargetMode="External"/><Relationship Id="rId60" Type="http://schemas.openxmlformats.org/officeDocument/2006/relationships/hyperlink" Target="https://fr.wikipedia.org/wiki/Lanceur_(astronautique)" TargetMode="External"/><Relationship Id="rId65" Type="http://schemas.openxmlformats.org/officeDocument/2006/relationships/hyperlink" Target="https://fr.wikipedia.org/wiki/Soyouz_(fus%C3%A9e)" TargetMode="External"/><Relationship Id="rId81" Type="http://schemas.openxmlformats.org/officeDocument/2006/relationships/image" Target="media/image8.jpeg"/><Relationship Id="rId86" Type="http://schemas.openxmlformats.org/officeDocument/2006/relationships/hyperlink" Target="https://commons.wikimedia.org/wiki/File:Dualkeel86.JPG?uselang=fr" TargetMode="External"/><Relationship Id="rId13" Type="http://schemas.openxmlformats.org/officeDocument/2006/relationships/hyperlink" Target="https://commons.wikimedia.org/wiki/File:Flag_of_Russia.svg?uselang=fr" TargetMode="External"/><Relationship Id="rId18" Type="http://schemas.openxmlformats.org/officeDocument/2006/relationships/hyperlink" Target="https://commons.wikimedia.org/wiki/File:Flag_of_Japan.svg?uselang=fr" TargetMode="External"/><Relationship Id="rId39" Type="http://schemas.openxmlformats.org/officeDocument/2006/relationships/hyperlink" Target="https://fr.wikipedia.org/wiki/Site_web" TargetMode="External"/><Relationship Id="rId109" Type="http://schemas.openxmlformats.org/officeDocument/2006/relationships/image" Target="media/image22.png"/><Relationship Id="rId34" Type="http://schemas.openxmlformats.org/officeDocument/2006/relationships/hyperlink" Target="https://fr.wikipedia.org/wiki/Segment_orbital_am%C3%A9ricain" TargetMode="External"/><Relationship Id="rId50" Type="http://schemas.openxmlformats.org/officeDocument/2006/relationships/hyperlink" Target="https://fr.wikipedia.org/wiki/National_Aeronautics_and_Space_Administration" TargetMode="External"/><Relationship Id="rId55" Type="http://schemas.openxmlformats.org/officeDocument/2006/relationships/hyperlink" Target="https://fr.wikipedia.org/wiki/Biologie" TargetMode="External"/><Relationship Id="rId76" Type="http://schemas.openxmlformats.org/officeDocument/2006/relationships/hyperlink" Target="https://fr.wikipedia.org/wiki/Station_spatiale_internationale" TargetMode="External"/><Relationship Id="rId97" Type="http://schemas.openxmlformats.org/officeDocument/2006/relationships/image" Target="media/image16.png"/><Relationship Id="rId104" Type="http://schemas.openxmlformats.org/officeDocument/2006/relationships/hyperlink" Target="https://commons.wikimedia.org/wiki/File:STS-132_ISS-23_Rassvet_Pirs_and_Progress_M-05M.jpg?uselang=fr" TargetMode="External"/><Relationship Id="rId120" Type="http://schemas.openxmlformats.org/officeDocument/2006/relationships/hyperlink" Target="https://commons.wikimedia.org/wiki/File:SAFER_-_Simplified_Aid_for_EVA_Rescue.jpg?uselang=fr" TargetMode="External"/><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fr.wikipedia.org/wiki/Orbite" TargetMode="External"/><Relationship Id="rId92" Type="http://schemas.openxmlformats.org/officeDocument/2006/relationships/hyperlink" Target="https://commons.wikimedia.org/wiki/File:S129e006455-detail.jpg?uselang=fr" TargetMode="External"/><Relationship Id="rId2" Type="http://schemas.openxmlformats.org/officeDocument/2006/relationships/numbering" Target="numbering.xml"/><Relationship Id="rId29" Type="http://schemas.openxmlformats.org/officeDocument/2006/relationships/hyperlink" Target="https://fr.wikipedia.org/wiki/Lancement_(astronautique)" TargetMode="External"/><Relationship Id="rId24" Type="http://schemas.openxmlformats.org/officeDocument/2006/relationships/hyperlink" Target="https://fr.wikipedia.org/wiki/Physiologie" TargetMode="External"/><Relationship Id="rId40" Type="http://schemas.openxmlformats.org/officeDocument/2006/relationships/hyperlink" Target="https://www.nasa.gov/mission_pages/station/main/index.html" TargetMode="External"/><Relationship Id="rId45" Type="http://schemas.openxmlformats.org/officeDocument/2006/relationships/hyperlink" Target="https://fr.wikipedia.org/wiki/Apog%C3%A9e" TargetMode="External"/><Relationship Id="rId66" Type="http://schemas.openxmlformats.org/officeDocument/2006/relationships/hyperlink" Target="https://fr.wikipedia.org/wiki/Segment_orbital_russe" TargetMode="External"/><Relationship Id="rId87" Type="http://schemas.openxmlformats.org/officeDocument/2006/relationships/image" Target="media/image11.jpeg"/><Relationship Id="rId110" Type="http://schemas.openxmlformats.org/officeDocument/2006/relationships/hyperlink" Target="https://commons.wikimedia.org/wiki/File:ISS-54_EVA-2_Russian_spacewalker_outside_the_Zvezda_service_module.jpg?uselang=fr" TargetMode="External"/><Relationship Id="rId115" Type="http://schemas.openxmlformats.org/officeDocument/2006/relationships/image" Target="media/image25.jpeg"/><Relationship Id="rId61" Type="http://schemas.openxmlformats.org/officeDocument/2006/relationships/hyperlink" Target="https://fr.wikipedia.org/wiki/Proton_(fus%C3%A9e)" TargetMode="External"/><Relationship Id="rId82" Type="http://schemas.openxmlformats.org/officeDocument/2006/relationships/hyperlink" Target="https://commons.wikimedia.org/wiki/File:ISS_emblem.png?uselang=fr" TargetMode="External"/><Relationship Id="rId19" Type="http://schemas.openxmlformats.org/officeDocument/2006/relationships/image" Target="media/image5.png"/><Relationship Id="rId14" Type="http://schemas.openxmlformats.org/officeDocument/2006/relationships/image" Target="media/image3.png"/><Relationship Id="rId30" Type="http://schemas.openxmlformats.org/officeDocument/2006/relationships/hyperlink" Target="https://fr.wikipedia.org/wiki/Lanceur_(astronautique)" TargetMode="External"/><Relationship Id="rId35" Type="http://schemas.openxmlformats.org/officeDocument/2006/relationships/hyperlink" Target="https://fr.wikipedia.org/wiki/Soyouz_(fus%C3%A9e)" TargetMode="External"/><Relationship Id="rId56" Type="http://schemas.openxmlformats.org/officeDocument/2006/relationships/hyperlink" Target="https://fr.wikipedia.org/wiki/Cosmologie" TargetMode="External"/><Relationship Id="rId77" Type="http://schemas.openxmlformats.org/officeDocument/2006/relationships/hyperlink" Target="https://fr.wikipedia.org/wiki/P%C3%A9riode_de_r%C3%A9volution" TargetMode="External"/><Relationship Id="rId100" Type="http://schemas.openxmlformats.org/officeDocument/2006/relationships/hyperlink" Target="https://commons.wikimedia.org/wiki/File:STS-134_EVA4_view_from_above_of_the_Integrated_Truss_Structure.jpg?uselang=fr" TargetMode="External"/><Relationship Id="rId105" Type="http://schemas.openxmlformats.org/officeDocument/2006/relationships/image" Target="media/image20.jpe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fr.wikipedia.org/wiki/Agence_spatiale_europ%C3%A9enne" TargetMode="External"/><Relationship Id="rId72" Type="http://schemas.openxmlformats.org/officeDocument/2006/relationships/hyperlink" Target="https://fr.wikipedia.org/wiki/Orbite_terrestre_basse" TargetMode="External"/><Relationship Id="rId93" Type="http://schemas.openxmlformats.org/officeDocument/2006/relationships/image" Target="media/image14.jpeg"/><Relationship Id="rId98" Type="http://schemas.openxmlformats.org/officeDocument/2006/relationships/hyperlink" Target="https://commons.wikimedia.org/wiki/File:ISS_Truss_structure.jpg?uselang=fr" TargetMode="External"/><Relationship Id="rId121" Type="http://schemas.openxmlformats.org/officeDocument/2006/relationships/image" Target="media/image28.jpeg"/><Relationship Id="rId3" Type="http://schemas.openxmlformats.org/officeDocument/2006/relationships/styles" Target="styles.xml"/><Relationship Id="rId25" Type="http://schemas.openxmlformats.org/officeDocument/2006/relationships/hyperlink" Target="https://fr.wikipedia.org/wiki/Biologie" TargetMode="External"/><Relationship Id="rId46" Type="http://schemas.openxmlformats.org/officeDocument/2006/relationships/hyperlink" Target="https://fr.wikipedia.org/wiki/Station_spatiale_internationale" TargetMode="External"/><Relationship Id="rId67" Type="http://schemas.openxmlformats.org/officeDocument/2006/relationships/hyperlink" Target="https://fr.wikipedia.org/wiki/Num%C3%A9ro_d%27immatriculation_international_des_objets_spatiaux" TargetMode="External"/><Relationship Id="rId116" Type="http://schemas.openxmlformats.org/officeDocument/2006/relationships/hyperlink" Target="https://commons.wikimedia.org/wiki/File:STS-130_EVA3_Nicholas_Patrick_1.jpg?uselang=fr" TargetMode="External"/><Relationship Id="rId20" Type="http://schemas.openxmlformats.org/officeDocument/2006/relationships/hyperlink" Target="https://fr.wikipedia.org/wiki/Agence_d%27exploration_a%C3%A9rospatiale_japonaise" TargetMode="External"/><Relationship Id="rId41" Type="http://schemas.openxmlformats.org/officeDocument/2006/relationships/hyperlink" Target="https://fr.wikipedia.org/wiki/Orbite" TargetMode="External"/><Relationship Id="rId62" Type="http://schemas.openxmlformats.org/officeDocument/2006/relationships/hyperlink" Target="https://fr.wikipedia.org/wiki/Segment_orbital_russe" TargetMode="External"/><Relationship Id="rId83" Type="http://schemas.openxmlformats.org/officeDocument/2006/relationships/image" Target="media/image9.png"/><Relationship Id="rId88" Type="http://schemas.openxmlformats.org/officeDocument/2006/relationships/hyperlink" Target="https://commons.wikimedia.org/wiki/File:Options-amenagement-ISS.png?uselang=fr" TargetMode="External"/><Relationship Id="rId111" Type="http://schemas.openxmlformats.org/officeDocument/2006/relationships/image" Target="media/image23.jpeg"/><Relationship Id="rId15" Type="http://schemas.openxmlformats.org/officeDocument/2006/relationships/hyperlink" Target="https://commons.wikimedia.org/wiki/File:Flag_of_Europe.svg?uselang=fr" TargetMode="External"/><Relationship Id="rId36" Type="http://schemas.openxmlformats.org/officeDocument/2006/relationships/hyperlink" Target="https://fr.wikipedia.org/wiki/Segment_orbital_russe" TargetMode="External"/><Relationship Id="rId57" Type="http://schemas.openxmlformats.org/officeDocument/2006/relationships/hyperlink" Target="https://fr.wikipedia.org/wiki/Astronomie" TargetMode="External"/><Relationship Id="rId106" Type="http://schemas.openxmlformats.org/officeDocument/2006/relationships/hyperlink" Target="https://commons.wikimedia.org/wiki/File:ISS_Communication_Systems.png?uselang=fr" TargetMode="External"/><Relationship Id="rId127" Type="http://schemas.openxmlformats.org/officeDocument/2006/relationships/theme" Target="theme/theme1.xml"/><Relationship Id="rId10" Type="http://schemas.openxmlformats.org/officeDocument/2006/relationships/hyperlink" Target="https://commons.wikimedia.org/wiki/File:Flag_of_the_United_States.svg?uselang=fr" TargetMode="External"/><Relationship Id="rId31" Type="http://schemas.openxmlformats.org/officeDocument/2006/relationships/hyperlink" Target="https://fr.wikipedia.org/wiki/Proton_(fus%C3%A9e)" TargetMode="External"/><Relationship Id="rId52" Type="http://schemas.openxmlformats.org/officeDocument/2006/relationships/hyperlink" Target="https://fr.wikipedia.org/wiki/Agence_d%27exploration_a%C3%A9rospatiale_japonaise" TargetMode="External"/><Relationship Id="rId73" Type="http://schemas.openxmlformats.org/officeDocument/2006/relationships/hyperlink" Target="https://fr.wikipedia.org/wiki/P%C3%A9rig%C3%A9e" TargetMode="External"/><Relationship Id="rId78" Type="http://schemas.openxmlformats.org/officeDocument/2006/relationships/hyperlink" Target="https://fr.wikipedia.org/wiki/Inclinaison_orbitale" TargetMode="External"/><Relationship Id="rId94" Type="http://schemas.openxmlformats.org/officeDocument/2006/relationships/hyperlink" Target="https://commons.wikimedia.org/wiki/File:ISS_configuration_2022-12_en.svg?uselang=fr" TargetMode="External"/><Relationship Id="rId99" Type="http://schemas.openxmlformats.org/officeDocument/2006/relationships/image" Target="media/image17.jpeg"/><Relationship Id="rId101" Type="http://schemas.openxmlformats.org/officeDocument/2006/relationships/image" Target="media/image18.jpeg"/><Relationship Id="rId122" Type="http://schemas.openxmlformats.org/officeDocument/2006/relationships/hyperlink" Target="https://commons.wikimedia.org/wiki/File:STS-129_EVA3_Unity_Zarya_Soyuz_and_Progress.jpg?uselang=fr" TargetMode="External"/><Relationship Id="rId4" Type="http://schemas.openxmlformats.org/officeDocument/2006/relationships/settings" Target="settings.xml"/><Relationship Id="rId9" Type="http://schemas.openxmlformats.org/officeDocument/2006/relationships/hyperlink" Target="https://fr.wikipedia.org/wiki/Agence_spati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AAFA0-910A-4753-9256-45B554987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25</Pages>
  <Words>13040</Words>
  <Characters>71724</Characters>
  <Application>Microsoft Office Word</Application>
  <DocSecurity>0</DocSecurity>
  <Lines>597</Lines>
  <Paragraphs>169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29</cp:revision>
  <dcterms:created xsi:type="dcterms:W3CDTF">2022-11-21T18:39:00Z</dcterms:created>
  <dcterms:modified xsi:type="dcterms:W3CDTF">2023-04-23T08:23:00Z</dcterms:modified>
</cp:coreProperties>
</file>