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739C3" w14:textId="55459C71" w:rsidR="003B22A5" w:rsidRDefault="00517035" w:rsidP="00517035">
      <w:pPr>
        <w:pStyle w:val="Titre"/>
        <w:rPr>
          <w:b/>
          <w:bCs/>
        </w:rPr>
      </w:pPr>
      <w:r w:rsidRPr="00517035">
        <w:rPr>
          <w:b/>
          <w:bCs/>
        </w:rPr>
        <w:t>Factorielle</w:t>
      </w:r>
    </w:p>
    <w:sdt>
      <w:sdtPr>
        <w:id w:val="177751597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1BD7EAC0" w14:textId="25AD16BE" w:rsidR="00915051" w:rsidRDefault="00915051">
          <w:pPr>
            <w:pStyle w:val="En-ttedetabledesmatires"/>
          </w:pPr>
          <w:r>
            <w:t>Table des matières</w:t>
          </w:r>
        </w:p>
        <w:p w14:paraId="4015BB5D" w14:textId="530C5311" w:rsidR="00915051" w:rsidRDefault="00915051">
          <w:pPr>
            <w:pStyle w:val="TM1"/>
            <w:tabs>
              <w:tab w:val="right" w:leader="dot" w:pos="9062"/>
            </w:tabs>
            <w:rPr>
              <w:noProof/>
            </w:rPr>
          </w:pPr>
          <w:r>
            <w:fldChar w:fldCharType="begin"/>
          </w:r>
          <w:r>
            <w:instrText xml:space="preserve"> TOC \o "1-3" \h \z \u </w:instrText>
          </w:r>
          <w:r>
            <w:fldChar w:fldCharType="separate"/>
          </w:r>
          <w:hyperlink w:anchor="_Toc133067614" w:history="1">
            <w:r w:rsidRPr="00176928">
              <w:rPr>
                <w:rStyle w:val="Lienhypertexte"/>
                <w:b/>
                <w:bCs/>
                <w:noProof/>
              </w:rPr>
              <w:t>Introduction</w:t>
            </w:r>
            <w:r>
              <w:rPr>
                <w:noProof/>
                <w:webHidden/>
              </w:rPr>
              <w:tab/>
            </w:r>
            <w:r>
              <w:rPr>
                <w:noProof/>
                <w:webHidden/>
              </w:rPr>
              <w:fldChar w:fldCharType="begin"/>
            </w:r>
            <w:r>
              <w:rPr>
                <w:noProof/>
                <w:webHidden/>
              </w:rPr>
              <w:instrText xml:space="preserve"> PAGEREF _Toc133067614 \h </w:instrText>
            </w:r>
            <w:r>
              <w:rPr>
                <w:noProof/>
                <w:webHidden/>
              </w:rPr>
            </w:r>
            <w:r>
              <w:rPr>
                <w:noProof/>
                <w:webHidden/>
              </w:rPr>
              <w:fldChar w:fldCharType="separate"/>
            </w:r>
            <w:r>
              <w:rPr>
                <w:noProof/>
                <w:webHidden/>
              </w:rPr>
              <w:t>1</w:t>
            </w:r>
            <w:r>
              <w:rPr>
                <w:noProof/>
                <w:webHidden/>
              </w:rPr>
              <w:fldChar w:fldCharType="end"/>
            </w:r>
          </w:hyperlink>
        </w:p>
        <w:p w14:paraId="1CC1BBD9" w14:textId="1BB1049A" w:rsidR="00915051" w:rsidRDefault="00915051">
          <w:pPr>
            <w:pStyle w:val="TM1"/>
            <w:tabs>
              <w:tab w:val="right" w:leader="dot" w:pos="9062"/>
            </w:tabs>
            <w:rPr>
              <w:noProof/>
            </w:rPr>
          </w:pPr>
          <w:hyperlink w:anchor="_Toc133067615" w:history="1">
            <w:r w:rsidRPr="00176928">
              <w:rPr>
                <w:rStyle w:val="Lienhypertexte"/>
                <w:b/>
                <w:bCs/>
                <w:noProof/>
              </w:rPr>
              <w:t>Valeur de 0!</w:t>
            </w:r>
            <w:r>
              <w:rPr>
                <w:noProof/>
                <w:webHidden/>
              </w:rPr>
              <w:tab/>
            </w:r>
            <w:r>
              <w:rPr>
                <w:noProof/>
                <w:webHidden/>
              </w:rPr>
              <w:fldChar w:fldCharType="begin"/>
            </w:r>
            <w:r>
              <w:rPr>
                <w:noProof/>
                <w:webHidden/>
              </w:rPr>
              <w:instrText xml:space="preserve"> PAGEREF _Toc133067615 \h </w:instrText>
            </w:r>
            <w:r>
              <w:rPr>
                <w:noProof/>
                <w:webHidden/>
              </w:rPr>
            </w:r>
            <w:r>
              <w:rPr>
                <w:noProof/>
                <w:webHidden/>
              </w:rPr>
              <w:fldChar w:fldCharType="separate"/>
            </w:r>
            <w:r>
              <w:rPr>
                <w:noProof/>
                <w:webHidden/>
              </w:rPr>
              <w:t>1</w:t>
            </w:r>
            <w:r>
              <w:rPr>
                <w:noProof/>
                <w:webHidden/>
              </w:rPr>
              <w:fldChar w:fldCharType="end"/>
            </w:r>
          </w:hyperlink>
        </w:p>
        <w:p w14:paraId="4F503E3C" w14:textId="2954D976" w:rsidR="00915051" w:rsidRDefault="00915051">
          <w:pPr>
            <w:pStyle w:val="TM1"/>
            <w:tabs>
              <w:tab w:val="right" w:leader="dot" w:pos="9062"/>
            </w:tabs>
            <w:rPr>
              <w:noProof/>
            </w:rPr>
          </w:pPr>
          <w:hyperlink w:anchor="_Toc133067616" w:history="1">
            <w:r w:rsidRPr="00176928">
              <w:rPr>
                <w:rStyle w:val="Lienhypertexte"/>
                <w:b/>
                <w:bCs/>
                <w:noProof/>
              </w:rPr>
              <w:t>Inverse des factorielles</w:t>
            </w:r>
            <w:r>
              <w:rPr>
                <w:noProof/>
                <w:webHidden/>
              </w:rPr>
              <w:tab/>
            </w:r>
            <w:r>
              <w:rPr>
                <w:noProof/>
                <w:webHidden/>
              </w:rPr>
              <w:fldChar w:fldCharType="begin"/>
            </w:r>
            <w:r>
              <w:rPr>
                <w:noProof/>
                <w:webHidden/>
              </w:rPr>
              <w:instrText xml:space="preserve"> PAGEREF _Toc133067616 \h </w:instrText>
            </w:r>
            <w:r>
              <w:rPr>
                <w:noProof/>
                <w:webHidden/>
              </w:rPr>
            </w:r>
            <w:r>
              <w:rPr>
                <w:noProof/>
                <w:webHidden/>
              </w:rPr>
              <w:fldChar w:fldCharType="separate"/>
            </w:r>
            <w:r>
              <w:rPr>
                <w:noProof/>
                <w:webHidden/>
              </w:rPr>
              <w:t>2</w:t>
            </w:r>
            <w:r>
              <w:rPr>
                <w:noProof/>
                <w:webHidden/>
              </w:rPr>
              <w:fldChar w:fldCharType="end"/>
            </w:r>
          </w:hyperlink>
        </w:p>
        <w:p w14:paraId="54706BCC" w14:textId="2D46FEB7" w:rsidR="00915051" w:rsidRDefault="00915051">
          <w:pPr>
            <w:pStyle w:val="TM1"/>
            <w:tabs>
              <w:tab w:val="right" w:leader="dot" w:pos="9062"/>
            </w:tabs>
            <w:rPr>
              <w:noProof/>
            </w:rPr>
          </w:pPr>
          <w:hyperlink w:anchor="_Toc133067617" w:history="1">
            <w:r w:rsidRPr="00176928">
              <w:rPr>
                <w:rStyle w:val="Lienhypertexte"/>
                <w:b/>
                <w:bCs/>
                <w:noProof/>
              </w:rPr>
              <w:t>Généralisation</w:t>
            </w:r>
            <w:r>
              <w:rPr>
                <w:noProof/>
                <w:webHidden/>
              </w:rPr>
              <w:tab/>
            </w:r>
            <w:r>
              <w:rPr>
                <w:noProof/>
                <w:webHidden/>
              </w:rPr>
              <w:fldChar w:fldCharType="begin"/>
            </w:r>
            <w:r>
              <w:rPr>
                <w:noProof/>
                <w:webHidden/>
              </w:rPr>
              <w:instrText xml:space="preserve"> PAGEREF _Toc133067617 \h </w:instrText>
            </w:r>
            <w:r>
              <w:rPr>
                <w:noProof/>
                <w:webHidden/>
              </w:rPr>
            </w:r>
            <w:r>
              <w:rPr>
                <w:noProof/>
                <w:webHidden/>
              </w:rPr>
              <w:fldChar w:fldCharType="separate"/>
            </w:r>
            <w:r>
              <w:rPr>
                <w:noProof/>
                <w:webHidden/>
              </w:rPr>
              <w:t>2</w:t>
            </w:r>
            <w:r>
              <w:rPr>
                <w:noProof/>
                <w:webHidden/>
              </w:rPr>
              <w:fldChar w:fldCharType="end"/>
            </w:r>
          </w:hyperlink>
        </w:p>
        <w:p w14:paraId="77E44F71" w14:textId="1CF5EAE0" w:rsidR="00915051" w:rsidRDefault="00915051">
          <w:pPr>
            <w:pStyle w:val="TM1"/>
            <w:tabs>
              <w:tab w:val="right" w:leader="dot" w:pos="9062"/>
            </w:tabs>
            <w:rPr>
              <w:noProof/>
            </w:rPr>
          </w:pPr>
          <w:hyperlink w:anchor="_Toc133067618" w:history="1">
            <w:r w:rsidRPr="00176928">
              <w:rPr>
                <w:rStyle w:val="Lienhypertexte"/>
                <w:b/>
                <w:bCs/>
                <w:noProof/>
              </w:rPr>
              <w:t>Approximation</w:t>
            </w:r>
            <w:r>
              <w:rPr>
                <w:noProof/>
                <w:webHidden/>
              </w:rPr>
              <w:tab/>
            </w:r>
            <w:r>
              <w:rPr>
                <w:noProof/>
                <w:webHidden/>
              </w:rPr>
              <w:fldChar w:fldCharType="begin"/>
            </w:r>
            <w:r>
              <w:rPr>
                <w:noProof/>
                <w:webHidden/>
              </w:rPr>
              <w:instrText xml:space="preserve"> PAGEREF _Toc133067618 \h </w:instrText>
            </w:r>
            <w:r>
              <w:rPr>
                <w:noProof/>
                <w:webHidden/>
              </w:rPr>
            </w:r>
            <w:r>
              <w:rPr>
                <w:noProof/>
                <w:webHidden/>
              </w:rPr>
              <w:fldChar w:fldCharType="separate"/>
            </w:r>
            <w:r>
              <w:rPr>
                <w:noProof/>
                <w:webHidden/>
              </w:rPr>
              <w:t>3</w:t>
            </w:r>
            <w:r>
              <w:rPr>
                <w:noProof/>
                <w:webHidden/>
              </w:rPr>
              <w:fldChar w:fldCharType="end"/>
            </w:r>
          </w:hyperlink>
        </w:p>
        <w:p w14:paraId="0CC89631" w14:textId="2D0BA121" w:rsidR="00915051" w:rsidRDefault="00915051">
          <w:pPr>
            <w:pStyle w:val="TM1"/>
            <w:tabs>
              <w:tab w:val="right" w:leader="dot" w:pos="9062"/>
            </w:tabs>
            <w:rPr>
              <w:noProof/>
            </w:rPr>
          </w:pPr>
          <w:hyperlink w:anchor="_Toc133067619" w:history="1">
            <w:r w:rsidRPr="00176928">
              <w:rPr>
                <w:rStyle w:val="Lienhypertexte"/>
                <w:b/>
                <w:bCs/>
                <w:noProof/>
              </w:rPr>
              <w:t>Exemples d'applications</w:t>
            </w:r>
            <w:r>
              <w:rPr>
                <w:noProof/>
                <w:webHidden/>
              </w:rPr>
              <w:tab/>
            </w:r>
            <w:r>
              <w:rPr>
                <w:noProof/>
                <w:webHidden/>
              </w:rPr>
              <w:fldChar w:fldCharType="begin"/>
            </w:r>
            <w:r>
              <w:rPr>
                <w:noProof/>
                <w:webHidden/>
              </w:rPr>
              <w:instrText xml:space="preserve"> PAGEREF _Toc133067619 \h </w:instrText>
            </w:r>
            <w:r>
              <w:rPr>
                <w:noProof/>
                <w:webHidden/>
              </w:rPr>
            </w:r>
            <w:r>
              <w:rPr>
                <w:noProof/>
                <w:webHidden/>
              </w:rPr>
              <w:fldChar w:fldCharType="separate"/>
            </w:r>
            <w:r>
              <w:rPr>
                <w:noProof/>
                <w:webHidden/>
              </w:rPr>
              <w:t>3</w:t>
            </w:r>
            <w:r>
              <w:rPr>
                <w:noProof/>
                <w:webHidden/>
              </w:rPr>
              <w:fldChar w:fldCharType="end"/>
            </w:r>
          </w:hyperlink>
        </w:p>
        <w:p w14:paraId="6A8F76B0" w14:textId="3D8478C4" w:rsidR="00517035" w:rsidRDefault="00915051" w:rsidP="00517035">
          <w:r>
            <w:rPr>
              <w:b/>
              <w:bCs/>
            </w:rPr>
            <w:fldChar w:fldCharType="end"/>
          </w:r>
        </w:p>
      </w:sdtContent>
    </w:sdt>
    <w:p w14:paraId="6A799543" w14:textId="6F4D66DD" w:rsidR="00517035" w:rsidRDefault="001A01F8" w:rsidP="001A01F8">
      <w:pPr>
        <w:pStyle w:val="Titre1"/>
        <w:rPr>
          <w:b/>
          <w:bCs/>
        </w:rPr>
      </w:pPr>
      <w:bookmarkStart w:id="0" w:name="_Toc133067614"/>
      <w:r w:rsidRPr="001A01F8">
        <w:rPr>
          <w:b/>
          <w:bCs/>
        </w:rPr>
        <w:t>Introduction</w:t>
      </w:r>
      <w:bookmarkEnd w:id="0"/>
    </w:p>
    <w:p w14:paraId="7F5AB5E0" w14:textId="19906023" w:rsidR="001A01F8" w:rsidRDefault="001A01F8" w:rsidP="00A12D70">
      <w:pPr>
        <w:pStyle w:val="NormalWeb"/>
        <w:jc w:val="both"/>
      </w:pPr>
      <w:r>
        <w:t xml:space="preserve">En </w:t>
      </w:r>
      <w:r w:rsidRPr="00A12D70">
        <w:t>mathématiques</w:t>
      </w:r>
      <w:r>
        <w:t xml:space="preserve">, la </w:t>
      </w:r>
      <w:r w:rsidRPr="00A12D70">
        <w:t>factorielle</w:t>
      </w:r>
      <w:r>
        <w:t xml:space="preserve"> d'un </w:t>
      </w:r>
      <w:r w:rsidRPr="00A12D70">
        <w:t>entier naturel</w:t>
      </w:r>
      <w:r>
        <w:t xml:space="preserve"> </w:t>
      </w:r>
      <w:r w:rsidRPr="00A12D70">
        <w:t>n</w:t>
      </w:r>
      <w:r>
        <w:t xml:space="preserve"> est le </w:t>
      </w:r>
      <w:r w:rsidRPr="00A12D70">
        <w:t>produit</w:t>
      </w:r>
      <w:r>
        <w:t xml:space="preserve"> des nombres entiers strictement positifs inférieurs ou égaux à </w:t>
      </w:r>
      <w:r w:rsidRPr="00A12D70">
        <w:t>n</w:t>
      </w:r>
      <w:r>
        <w:t xml:space="preserve">. </w:t>
      </w:r>
    </w:p>
    <w:p w14:paraId="56005CFE" w14:textId="54098A82" w:rsidR="001A01F8" w:rsidRDefault="001A01F8" w:rsidP="00A12D70">
      <w:pPr>
        <w:pStyle w:val="NormalWeb"/>
        <w:jc w:val="both"/>
      </w:pPr>
      <w:r>
        <w:t xml:space="preserve">Cette opération est notée avec un </w:t>
      </w:r>
      <w:r w:rsidRPr="00A12D70">
        <w:t>point d'exclamation</w:t>
      </w:r>
      <w:r>
        <w:t xml:space="preserve">, </w:t>
      </w:r>
      <w:proofErr w:type="gramStart"/>
      <w:r w:rsidRPr="00A12D70">
        <w:t>n</w:t>
      </w:r>
      <w:r>
        <w:t>!,</w:t>
      </w:r>
      <w:proofErr w:type="gramEnd"/>
      <w:r>
        <w:t xml:space="preserve"> ce qui se lit soit « factorielle de </w:t>
      </w:r>
      <w:r w:rsidRPr="00A12D70">
        <w:t>n</w:t>
      </w:r>
      <w:r>
        <w:t xml:space="preserve"> », soit « factorielle </w:t>
      </w:r>
      <w:r w:rsidRPr="00A12D70">
        <w:t>n</w:t>
      </w:r>
      <w:r>
        <w:t> », soit</w:t>
      </w:r>
      <w:r w:rsidRPr="00A12D70">
        <w:t>1</w:t>
      </w:r>
      <w:r>
        <w:t xml:space="preserve"> « </w:t>
      </w:r>
      <w:r w:rsidRPr="00A12D70">
        <w:t>n</w:t>
      </w:r>
      <w:r>
        <w:t xml:space="preserve"> factorielle ». Cette notation a été introduite en </w:t>
      </w:r>
      <w:r w:rsidRPr="00A12D70">
        <w:t>1808</w:t>
      </w:r>
      <w:r>
        <w:t xml:space="preserve"> par </w:t>
      </w:r>
      <w:r w:rsidRPr="00A12D70">
        <w:t xml:space="preserve">Christian </w:t>
      </w:r>
      <w:proofErr w:type="spellStart"/>
      <w:r w:rsidRPr="00A12D70">
        <w:t>Kramp</w:t>
      </w:r>
      <w:proofErr w:type="spellEnd"/>
      <w:r>
        <w:t xml:space="preserve">. </w:t>
      </w:r>
    </w:p>
    <w:p w14:paraId="66FC579C" w14:textId="77777777" w:rsidR="001A01F8" w:rsidRDefault="001A01F8" w:rsidP="00A12D70">
      <w:pPr>
        <w:pStyle w:val="NormalWeb"/>
        <w:jc w:val="both"/>
      </w:pPr>
      <w:r>
        <w:t xml:space="preserve">Par exemple, la factorielle 10 exprime le nombre de combinaisons possibles de placement des 10 convives autour d'une table (on dit la permutation des convives). Le premier convive s'installe sur l'une des 10 places à sa disposition. Chacun de ses 10 placements ouvre 9 nouvelles possibilités pour le deuxième convive, celles-ci 8 pour le troisième, et ainsi de suite. </w:t>
      </w:r>
    </w:p>
    <w:p w14:paraId="79B9E59E" w14:textId="0C82EC32" w:rsidR="001A01F8" w:rsidRDefault="001A01F8" w:rsidP="00A12D70">
      <w:pPr>
        <w:pStyle w:val="NormalWeb"/>
        <w:jc w:val="both"/>
      </w:pPr>
      <w:r>
        <w:t xml:space="preserve">La factorielle joue un rôle important en </w:t>
      </w:r>
      <w:r w:rsidRPr="00A12D70">
        <w:t>algèbre combinatoire</w:t>
      </w:r>
      <w:r>
        <w:t xml:space="preserve"> parce qu'il y a </w:t>
      </w:r>
      <w:proofErr w:type="gramStart"/>
      <w:r w:rsidRPr="00A12D70">
        <w:t>n</w:t>
      </w:r>
      <w:r>
        <w:t>!</w:t>
      </w:r>
      <w:proofErr w:type="gramEnd"/>
      <w:r>
        <w:t xml:space="preserve"> façons différentes de </w:t>
      </w:r>
      <w:r w:rsidRPr="00A12D70">
        <w:t>permuter</w:t>
      </w:r>
      <w:r>
        <w:t xml:space="preserve"> </w:t>
      </w:r>
      <w:r w:rsidRPr="00A12D70">
        <w:t>n</w:t>
      </w:r>
      <w:r>
        <w:t xml:space="preserve"> objets. Elle apparaît dans de nombreuses formules en mathématiques, comme la </w:t>
      </w:r>
      <w:r w:rsidRPr="00A12D70">
        <w:t>formule du binôme</w:t>
      </w:r>
      <w:r>
        <w:t xml:space="preserve"> et la </w:t>
      </w:r>
      <w:r w:rsidRPr="00A12D70">
        <w:t>formule de Taylor</w:t>
      </w:r>
      <w:r>
        <w:t xml:space="preserve">. </w:t>
      </w:r>
    </w:p>
    <w:p w14:paraId="2890BA2B" w14:textId="35CAD537" w:rsidR="000B564E" w:rsidRDefault="000B564E" w:rsidP="00A12D70">
      <w:pPr>
        <w:pStyle w:val="NormalWeb"/>
        <w:jc w:val="both"/>
      </w:pPr>
      <w:r w:rsidRPr="00A12D70">
        <w:rPr>
          <w:noProof/>
        </w:rPr>
        <w:drawing>
          <wp:anchor distT="0" distB="0" distL="114300" distR="114300" simplePos="0" relativeHeight="251658240" behindDoc="0" locked="0" layoutInCell="1" allowOverlap="1" wp14:anchorId="7F19CD54" wp14:editId="56CC4FD3">
            <wp:simplePos x="0" y="0"/>
            <wp:positionH relativeFrom="margin">
              <wp:align>left</wp:align>
            </wp:positionH>
            <wp:positionV relativeFrom="paragraph">
              <wp:posOffset>429260</wp:posOffset>
            </wp:positionV>
            <wp:extent cx="3194050" cy="501650"/>
            <wp:effectExtent l="0" t="0" r="6350" b="0"/>
            <wp:wrapTopAndBottom/>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4050" cy="501650"/>
                    </a:xfrm>
                    <a:prstGeom prst="rect">
                      <a:avLst/>
                    </a:prstGeom>
                    <a:noFill/>
                    <a:ln>
                      <a:noFill/>
                    </a:ln>
                  </pic:spPr>
                </pic:pic>
              </a:graphicData>
            </a:graphic>
          </wp:anchor>
        </w:drawing>
      </w:r>
      <w:r>
        <w:t xml:space="preserve">Soit </w:t>
      </w:r>
      <w:r w:rsidRPr="00A12D70">
        <w:t>n</w:t>
      </w:r>
      <w:r>
        <w:t xml:space="preserve"> un entier naturel. Sa factorielle est formellement définie par : </w:t>
      </w:r>
      <w:r w:rsidRPr="00A12D70">
        <w:t xml:space="preserve">n ! = ∏ 1 </w:t>
      </w:r>
      <w:r w:rsidRPr="00A12D70">
        <w:rPr>
          <w:rFonts w:ascii="Cambria Math" w:hAnsi="Cambria Math" w:cs="Cambria Math"/>
        </w:rPr>
        <w:t>⩽</w:t>
      </w:r>
      <w:r w:rsidRPr="00A12D70">
        <w:t xml:space="preserve"> i </w:t>
      </w:r>
      <w:r w:rsidRPr="00A12D70">
        <w:rPr>
          <w:rFonts w:ascii="Cambria Math" w:hAnsi="Cambria Math" w:cs="Cambria Math"/>
        </w:rPr>
        <w:t>⩽</w:t>
      </w:r>
      <w:r w:rsidRPr="00A12D70">
        <w:t xml:space="preserve"> n i = 1 × 2 × 3 × … × ( n − 1 ) × n . </w:t>
      </w:r>
    </w:p>
    <w:p w14:paraId="0418F853" w14:textId="77777777" w:rsidR="00A12D70" w:rsidRDefault="00A12D70" w:rsidP="000B564E">
      <w:pPr>
        <w:pStyle w:val="Titre1"/>
        <w:rPr>
          <w:rStyle w:val="mw-headline"/>
          <w:b/>
          <w:bCs/>
        </w:rPr>
      </w:pPr>
    </w:p>
    <w:p w14:paraId="44BD8C11" w14:textId="771F3AA0" w:rsidR="000B564E" w:rsidRPr="000B564E" w:rsidRDefault="000B564E" w:rsidP="000B564E">
      <w:pPr>
        <w:pStyle w:val="Titre1"/>
      </w:pPr>
      <w:bookmarkStart w:id="1" w:name="_Toc133067615"/>
      <w:r w:rsidRPr="000B564E">
        <w:rPr>
          <w:rStyle w:val="mw-headline"/>
          <w:b/>
          <w:bCs/>
        </w:rPr>
        <w:t xml:space="preserve">Valeur de </w:t>
      </w:r>
      <w:proofErr w:type="gramStart"/>
      <w:r w:rsidRPr="000B564E">
        <w:rPr>
          <w:rStyle w:val="mw-headline"/>
          <w:b/>
          <w:bCs/>
        </w:rPr>
        <w:t>0!</w:t>
      </w:r>
      <w:bookmarkEnd w:id="1"/>
      <w:proofErr w:type="gramEnd"/>
    </w:p>
    <w:p w14:paraId="175CD517" w14:textId="585E16A8" w:rsidR="000B564E" w:rsidRPr="00A12D70" w:rsidRDefault="000B564E" w:rsidP="00A12D70">
      <w:pPr>
        <w:pStyle w:val="NormalWeb"/>
        <w:jc w:val="both"/>
      </w:pPr>
      <w:r>
        <w:t xml:space="preserve">Cette définition donne aussi : </w:t>
      </w:r>
      <w:proofErr w:type="gramStart"/>
      <w:r w:rsidRPr="00A12D70">
        <w:t>0!</w:t>
      </w:r>
      <w:proofErr w:type="gramEnd"/>
      <w:r w:rsidRPr="00A12D70">
        <w:t xml:space="preserve"> = 1</w:t>
      </w:r>
    </w:p>
    <w:p w14:paraId="5F67A075" w14:textId="173364EA" w:rsidR="000B564E" w:rsidRDefault="000B564E" w:rsidP="00A12D70">
      <w:pPr>
        <w:pStyle w:val="NormalWeb"/>
        <w:jc w:val="both"/>
      </w:pPr>
      <w:proofErr w:type="gramStart"/>
      <w:r>
        <w:t>puisque</w:t>
      </w:r>
      <w:proofErr w:type="gramEnd"/>
      <w:r>
        <w:t xml:space="preserve"> par convention, le </w:t>
      </w:r>
      <w:r w:rsidRPr="00A12D70">
        <w:t>produit vide</w:t>
      </w:r>
      <w:r>
        <w:t xml:space="preserve"> est égal à l'</w:t>
      </w:r>
      <w:r w:rsidRPr="00A12D70">
        <w:t>élément neutre</w:t>
      </w:r>
      <w:r>
        <w:t xml:space="preserve"> de la multiplication. Cette convention est pratique ici car elle permet à des formules de dénombrement obtenues en </w:t>
      </w:r>
      <w:r w:rsidRPr="00A12D70">
        <w:t>analyse combinatoire</w:t>
      </w:r>
      <w:r>
        <w:t xml:space="preserve"> d'être encore valides pour des tailles nulles. En particulier, le nombre d'</w:t>
      </w:r>
      <w:r w:rsidRPr="00A12D70">
        <w:t>arrangements</w:t>
      </w:r>
      <w:r>
        <w:t xml:space="preserve"> ou de </w:t>
      </w:r>
      <w:r w:rsidRPr="00A12D70">
        <w:t>permutations</w:t>
      </w:r>
      <w:r>
        <w:t xml:space="preserve"> de l'</w:t>
      </w:r>
      <w:r w:rsidRPr="00A12D70">
        <w:t>ensemble vide</w:t>
      </w:r>
      <w:r>
        <w:t xml:space="preserve"> est égal à 1. </w:t>
      </w:r>
    </w:p>
    <w:p w14:paraId="25837ED3" w14:textId="05ABDD2E" w:rsidR="000B564E" w:rsidRDefault="000B564E" w:rsidP="00A12D70">
      <w:pPr>
        <w:pStyle w:val="NormalWeb"/>
        <w:jc w:val="both"/>
      </w:pPr>
      <w:r>
        <w:lastRenderedPageBreak/>
        <w:t xml:space="preserve">Il existe aussi une </w:t>
      </w:r>
      <w:r w:rsidRPr="00A12D70">
        <w:t>définition par récurrence</w:t>
      </w:r>
      <w:r>
        <w:t xml:space="preserve"> (équivalente) de la factorielle : </w:t>
      </w:r>
    </w:p>
    <w:p w14:paraId="40A521B8" w14:textId="77777777" w:rsidR="000B564E" w:rsidRPr="00A12D70" w:rsidRDefault="000B564E" w:rsidP="00A12D7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A12D70">
        <w:rPr>
          <w:rFonts w:ascii="Times New Roman" w:eastAsia="Times New Roman" w:hAnsi="Times New Roman" w:cs="Times New Roman"/>
          <w:sz w:val="24"/>
          <w:szCs w:val="24"/>
          <w:lang w:eastAsia="fr-FR"/>
        </w:rPr>
        <w:t>0!</w:t>
      </w:r>
      <w:proofErr w:type="gramEnd"/>
      <w:r w:rsidRPr="00A12D70">
        <w:rPr>
          <w:rFonts w:ascii="Times New Roman" w:eastAsia="Times New Roman" w:hAnsi="Times New Roman" w:cs="Times New Roman"/>
          <w:sz w:val="24"/>
          <w:szCs w:val="24"/>
          <w:lang w:eastAsia="fr-FR"/>
        </w:rPr>
        <w:t xml:space="preserve"> = 1.</w:t>
      </w:r>
    </w:p>
    <w:p w14:paraId="1A0B6B1C" w14:textId="3F5D0C97" w:rsidR="000B564E" w:rsidRPr="00A12D70" w:rsidRDefault="000B564E" w:rsidP="00A12D7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A12D70">
        <w:rPr>
          <w:rFonts w:ascii="Times New Roman" w:eastAsia="Times New Roman" w:hAnsi="Times New Roman" w:cs="Times New Roman"/>
          <w:sz w:val="24"/>
          <w:szCs w:val="24"/>
          <w:lang w:eastAsia="fr-FR"/>
        </w:rPr>
        <w:t xml:space="preserve">Pour tout entier n &gt; 0, </w:t>
      </w:r>
      <w:proofErr w:type="gramStart"/>
      <w:r w:rsidRPr="00A12D70">
        <w:rPr>
          <w:rFonts w:ascii="Times New Roman" w:eastAsia="Times New Roman" w:hAnsi="Times New Roman" w:cs="Times New Roman"/>
          <w:sz w:val="24"/>
          <w:szCs w:val="24"/>
          <w:lang w:eastAsia="fr-FR"/>
        </w:rPr>
        <w:t>n!</w:t>
      </w:r>
      <w:proofErr w:type="gramEnd"/>
      <w:r w:rsidRPr="00A12D70">
        <w:rPr>
          <w:rFonts w:ascii="Times New Roman" w:eastAsia="Times New Roman" w:hAnsi="Times New Roman" w:cs="Times New Roman"/>
          <w:sz w:val="24"/>
          <w:szCs w:val="24"/>
          <w:lang w:eastAsia="fr-FR"/>
        </w:rPr>
        <w:t xml:space="preserve"> = (n – 1</w:t>
      </w:r>
      <w:proofErr w:type="gramStart"/>
      <w:r w:rsidRPr="00A12D70">
        <w:rPr>
          <w:rFonts w:ascii="Times New Roman" w:eastAsia="Times New Roman" w:hAnsi="Times New Roman" w:cs="Times New Roman"/>
          <w:sz w:val="24"/>
          <w:szCs w:val="24"/>
          <w:lang w:eastAsia="fr-FR"/>
        </w:rPr>
        <w:t>)!</w:t>
      </w:r>
      <w:proofErr w:type="gramEnd"/>
      <w:r w:rsidRPr="00A12D70">
        <w:rPr>
          <w:rFonts w:ascii="Times New Roman" w:eastAsia="Times New Roman" w:hAnsi="Times New Roman" w:cs="Times New Roman"/>
          <w:sz w:val="24"/>
          <w:szCs w:val="24"/>
          <w:lang w:eastAsia="fr-FR"/>
        </w:rPr>
        <w:t xml:space="preserve"> × n.</w:t>
      </w:r>
    </w:p>
    <w:p w14:paraId="4318CDCA" w14:textId="6BDDE793" w:rsidR="000B564E" w:rsidRDefault="000B564E" w:rsidP="00A12D70">
      <w:pPr>
        <w:pStyle w:val="NormalWeb"/>
        <w:jc w:val="both"/>
      </w:pPr>
      <w:r w:rsidRPr="00A12D70">
        <w:rPr>
          <w:noProof/>
        </w:rPr>
        <w:drawing>
          <wp:anchor distT="0" distB="0" distL="114300" distR="114300" simplePos="0" relativeHeight="251659264" behindDoc="0" locked="0" layoutInCell="1" allowOverlap="1" wp14:anchorId="2FC73CCC" wp14:editId="6BF3BF5A">
            <wp:simplePos x="0" y="0"/>
            <wp:positionH relativeFrom="column">
              <wp:posOffset>-29845</wp:posOffset>
            </wp:positionH>
            <wp:positionV relativeFrom="paragraph">
              <wp:posOffset>420370</wp:posOffset>
            </wp:positionV>
            <wp:extent cx="2806700" cy="755650"/>
            <wp:effectExtent l="0" t="0" r="0" b="6350"/>
            <wp:wrapTopAndBottom/>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6700" cy="755650"/>
                    </a:xfrm>
                    <a:prstGeom prst="rect">
                      <a:avLst/>
                    </a:prstGeom>
                    <a:noFill/>
                    <a:ln>
                      <a:noFill/>
                    </a:ln>
                  </pic:spPr>
                </pic:pic>
              </a:graphicData>
            </a:graphic>
          </wp:anchor>
        </w:drawing>
      </w:r>
      <w:r>
        <w:t xml:space="preserve">Enfin, la </w:t>
      </w:r>
      <w:r w:rsidRPr="00A12D70">
        <w:t>fonction Gamma</w:t>
      </w:r>
      <w:r>
        <w:t xml:space="preserve">, qui prolonge analytiquement la factorielle, donne un résultat cohérent : </w:t>
      </w:r>
    </w:p>
    <w:p w14:paraId="299B9633" w14:textId="1A6A564C" w:rsidR="000B564E" w:rsidRPr="000B564E" w:rsidRDefault="000B564E" w:rsidP="000B564E">
      <w:pPr>
        <w:pStyle w:val="Titre1"/>
        <w:rPr>
          <w:rStyle w:val="mwe-math-mathml-inline"/>
          <w:b/>
          <w:bCs/>
        </w:rPr>
      </w:pPr>
      <w:bookmarkStart w:id="2" w:name="_Toc133067616"/>
      <w:r>
        <w:rPr>
          <w:noProof/>
        </w:rPr>
        <w:drawing>
          <wp:anchor distT="0" distB="0" distL="114300" distR="114300" simplePos="0" relativeHeight="251660288" behindDoc="0" locked="0" layoutInCell="1" allowOverlap="1" wp14:anchorId="6E3FBC7E" wp14:editId="397854E8">
            <wp:simplePos x="0" y="0"/>
            <wp:positionH relativeFrom="margin">
              <wp:align>left</wp:align>
            </wp:positionH>
            <wp:positionV relativeFrom="paragraph">
              <wp:posOffset>249555</wp:posOffset>
            </wp:positionV>
            <wp:extent cx="4184650" cy="1623695"/>
            <wp:effectExtent l="0" t="0" r="6350" b="0"/>
            <wp:wrapTopAndBottom/>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84650" cy="1623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B564E">
        <w:rPr>
          <w:rStyle w:val="mwe-math-mathml-inline"/>
          <w:b/>
          <w:bCs/>
        </w:rPr>
        <w:t>Inverse des factorielles</w:t>
      </w:r>
      <w:bookmarkEnd w:id="2"/>
      <w:r w:rsidRPr="000B564E">
        <w:rPr>
          <w:rStyle w:val="mwe-math-mathml-inline"/>
          <w:b/>
          <w:bCs/>
          <w:vanish/>
        </w:rPr>
        <w:t xml:space="preserve">Γ ( n ) = ( n – 1 ) ! n </w:t>
      </w:r>
      <w:r w:rsidRPr="000B564E">
        <w:rPr>
          <w:rStyle w:val="mwe-math-mathml-inline"/>
          <w:rFonts w:ascii="Cambria Math" w:hAnsi="Cambria Math" w:cs="Cambria Math"/>
          <w:b/>
          <w:bCs/>
          <w:vanish/>
        </w:rPr>
        <w:t>∈</w:t>
      </w:r>
      <w:r w:rsidRPr="000B564E">
        <w:rPr>
          <w:rStyle w:val="mwe-math-mathml-inline"/>
          <w:b/>
          <w:bCs/>
          <w:vanish/>
        </w:rPr>
        <w:t xml:space="preserve"> N 0 , </w:t>
      </w:r>
    </w:p>
    <w:p w14:paraId="66DFF497" w14:textId="3C70ED98" w:rsidR="000B564E" w:rsidRDefault="000B564E" w:rsidP="000B564E">
      <w:pPr>
        <w:rPr>
          <w:rStyle w:val="mwe-math-mathml-inline"/>
        </w:rPr>
      </w:pPr>
    </w:p>
    <w:p w14:paraId="3990B463" w14:textId="2C03D053" w:rsidR="000B564E" w:rsidRPr="000B564E" w:rsidRDefault="000B564E" w:rsidP="000B564E">
      <w:pPr>
        <w:pStyle w:val="Titre1"/>
        <w:rPr>
          <w:b/>
          <w:bCs/>
        </w:rPr>
      </w:pPr>
      <w:bookmarkStart w:id="3" w:name="_Toc133067617"/>
      <w:r>
        <w:rPr>
          <w:noProof/>
          <w:color w:val="0000FF"/>
        </w:rPr>
        <w:drawing>
          <wp:anchor distT="0" distB="0" distL="114300" distR="114300" simplePos="0" relativeHeight="251661312" behindDoc="0" locked="0" layoutInCell="1" allowOverlap="1" wp14:anchorId="32E9E0D2" wp14:editId="794DFD1B">
            <wp:simplePos x="0" y="0"/>
            <wp:positionH relativeFrom="column">
              <wp:posOffset>3113405</wp:posOffset>
            </wp:positionH>
            <wp:positionV relativeFrom="paragraph">
              <wp:posOffset>57150</wp:posOffset>
            </wp:positionV>
            <wp:extent cx="3143250" cy="2514600"/>
            <wp:effectExtent l="0" t="0" r="0" b="0"/>
            <wp:wrapSquare wrapText="bothSides"/>
            <wp:docPr id="9" name="Image 9">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43250" cy="2514600"/>
                    </a:xfrm>
                    <a:prstGeom prst="rect">
                      <a:avLst/>
                    </a:prstGeom>
                    <a:noFill/>
                    <a:ln>
                      <a:noFill/>
                    </a:ln>
                  </pic:spPr>
                </pic:pic>
              </a:graphicData>
            </a:graphic>
          </wp:anchor>
        </w:drawing>
      </w:r>
      <w:r w:rsidRPr="000B564E">
        <w:rPr>
          <w:rStyle w:val="mw-headline"/>
          <w:b/>
          <w:bCs/>
        </w:rPr>
        <w:t>Généralisation</w:t>
      </w:r>
      <w:bookmarkEnd w:id="3"/>
    </w:p>
    <w:p w14:paraId="02184BC3" w14:textId="77777777" w:rsidR="000B564E" w:rsidRPr="00A12D70" w:rsidRDefault="000B564E" w:rsidP="00A12D70">
      <w:pPr>
        <w:jc w:val="both"/>
        <w:rPr>
          <w:rFonts w:ascii="Times New Roman" w:eastAsia="Times New Roman" w:hAnsi="Times New Roman" w:cs="Times New Roman"/>
          <w:sz w:val="24"/>
          <w:szCs w:val="24"/>
          <w:lang w:eastAsia="fr-FR"/>
        </w:rPr>
      </w:pPr>
      <w:r w:rsidRPr="00A12D70">
        <w:rPr>
          <w:rFonts w:ascii="Times New Roman" w:eastAsia="Times New Roman" w:hAnsi="Times New Roman" w:cs="Times New Roman"/>
          <w:sz w:val="24"/>
          <w:szCs w:val="24"/>
          <w:lang w:eastAsia="fr-FR"/>
        </w:rPr>
        <w:t>La fonction gamma, tracée ici le long de l'axe des réels, prolonge la factorielle sur les valeurs qui ne sont pas entières.</w:t>
      </w:r>
    </w:p>
    <w:p w14:paraId="791F1A74" w14:textId="5A4B94A6" w:rsidR="000B564E" w:rsidRDefault="00A12D70" w:rsidP="00A12D70">
      <w:pPr>
        <w:pStyle w:val="NormalWeb"/>
        <w:jc w:val="both"/>
      </w:pPr>
      <w:r>
        <w:rPr>
          <w:rStyle w:val="mwe-math-mathml-inline"/>
          <w:noProof/>
        </w:rPr>
        <w:drawing>
          <wp:anchor distT="0" distB="0" distL="114300" distR="114300" simplePos="0" relativeHeight="251662336" behindDoc="0" locked="0" layoutInCell="1" allowOverlap="1" wp14:anchorId="1263444B" wp14:editId="478AA3D1">
            <wp:simplePos x="0" y="0"/>
            <wp:positionH relativeFrom="margin">
              <wp:align>left</wp:align>
            </wp:positionH>
            <wp:positionV relativeFrom="paragraph">
              <wp:posOffset>977265</wp:posOffset>
            </wp:positionV>
            <wp:extent cx="2089150" cy="444500"/>
            <wp:effectExtent l="0" t="0" r="6350" b="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89150" cy="444500"/>
                    </a:xfrm>
                    <a:prstGeom prst="rect">
                      <a:avLst/>
                    </a:prstGeom>
                    <a:noFill/>
                    <a:ln>
                      <a:noFill/>
                    </a:ln>
                  </pic:spPr>
                </pic:pic>
              </a:graphicData>
            </a:graphic>
          </wp:anchor>
        </w:drawing>
      </w:r>
      <w:r w:rsidR="000B564E">
        <w:t xml:space="preserve">La fonction factorielle admet pour </w:t>
      </w:r>
      <w:r w:rsidR="000B564E" w:rsidRPr="00A12D70">
        <w:t>prolongement</w:t>
      </w:r>
      <w:r w:rsidR="000B564E">
        <w:t xml:space="preserve">, à l'ensemble des </w:t>
      </w:r>
      <w:r w:rsidR="000B564E" w:rsidRPr="00A12D70">
        <w:t>nombres complexes</w:t>
      </w:r>
      <w:r w:rsidR="000B564E">
        <w:t xml:space="preserve"> autres que les entiers strictement négatifs, l'application </w:t>
      </w:r>
      <w:r w:rsidR="000B564E">
        <w:rPr>
          <w:rStyle w:val="nowrap"/>
          <w:rFonts w:eastAsiaTheme="majorEastAsia"/>
          <w:i/>
          <w:iCs/>
        </w:rPr>
        <w:t>z</w:t>
      </w:r>
      <w:r w:rsidR="000B564E">
        <w:rPr>
          <w:rStyle w:val="nowrap"/>
          <w:rFonts w:eastAsiaTheme="majorEastAsia"/>
        </w:rPr>
        <w:t xml:space="preserve"> </w:t>
      </w:r>
      <w:r w:rsidR="000B564E">
        <w:rPr>
          <w:rStyle w:val="nowrap"/>
          <w:rFonts w:ascii="Cambria Math" w:eastAsiaTheme="majorEastAsia" w:hAnsi="Cambria Math" w:cs="Cambria Math"/>
        </w:rPr>
        <w:t>↦</w:t>
      </w:r>
      <w:r w:rsidR="000B564E">
        <w:rPr>
          <w:rStyle w:val="nowrap"/>
          <w:rFonts w:eastAsiaTheme="majorEastAsia"/>
        </w:rPr>
        <w:t xml:space="preserve"> </w:t>
      </w:r>
      <w:proofErr w:type="gramStart"/>
      <w:r w:rsidR="000B564E">
        <w:rPr>
          <w:rStyle w:val="nowrap"/>
          <w:rFonts w:eastAsiaTheme="majorEastAsia"/>
        </w:rPr>
        <w:t>Γ(</w:t>
      </w:r>
      <w:proofErr w:type="gramEnd"/>
      <w:r w:rsidR="000B564E">
        <w:rPr>
          <w:rStyle w:val="nowrap"/>
          <w:rFonts w:eastAsiaTheme="majorEastAsia"/>
          <w:i/>
          <w:iCs/>
        </w:rPr>
        <w:t>z</w:t>
      </w:r>
      <w:r w:rsidR="000B564E">
        <w:rPr>
          <w:rStyle w:val="nowrap"/>
          <w:rFonts w:eastAsiaTheme="majorEastAsia"/>
        </w:rPr>
        <w:t xml:space="preserve"> + 1)</w:t>
      </w:r>
      <w:r w:rsidR="000B564E">
        <w:t xml:space="preserve"> où Γ désigne la </w:t>
      </w:r>
      <w:r w:rsidR="000B564E" w:rsidRPr="00A12D70">
        <w:t>fonction gamma</w:t>
      </w:r>
      <w:r w:rsidR="000B564E">
        <w:t xml:space="preserve"> d'</w:t>
      </w:r>
      <w:r w:rsidR="000B564E" w:rsidRPr="00A12D70">
        <w:t>Euler</w:t>
      </w:r>
      <w:r w:rsidR="000B564E">
        <w:t xml:space="preserve">. En effet, pour tout entier naturel </w:t>
      </w:r>
      <w:r w:rsidR="000B564E">
        <w:rPr>
          <w:i/>
          <w:iCs/>
        </w:rPr>
        <w:t>n</w:t>
      </w:r>
      <w:r w:rsidR="000B564E">
        <w:t xml:space="preserve">, on a : </w:t>
      </w:r>
    </w:p>
    <w:p w14:paraId="3946D133" w14:textId="16FBF0A4" w:rsidR="000B564E" w:rsidRDefault="000B564E" w:rsidP="00A12D70">
      <w:pPr>
        <w:jc w:val="both"/>
      </w:pPr>
      <w:r>
        <w:rPr>
          <w:rStyle w:val="mwe-math-mathml-inline"/>
          <w:vanish/>
        </w:rPr>
        <w:t xml:space="preserve">n ! = ∫ 0 ∞ t n e − t d t = Γ ( n + 1 ) . </w:t>
      </w:r>
    </w:p>
    <w:p w14:paraId="2AC356DC" w14:textId="4C83B207" w:rsidR="000B564E" w:rsidRDefault="000B564E" w:rsidP="00A12D70">
      <w:pPr>
        <w:pStyle w:val="NormalWeb"/>
        <w:jc w:val="both"/>
      </w:pPr>
      <w:r>
        <w:rPr>
          <w:rStyle w:val="mwe-math-mathml-inline"/>
          <w:rFonts w:ascii="Cambria Math" w:hAnsi="Cambria Math" w:cs="Cambria Math"/>
          <w:noProof/>
        </w:rPr>
        <w:drawing>
          <wp:anchor distT="0" distB="0" distL="114300" distR="114300" simplePos="0" relativeHeight="251663360" behindDoc="0" locked="0" layoutInCell="1" allowOverlap="1" wp14:anchorId="7EA4F070" wp14:editId="0444A69D">
            <wp:simplePos x="0" y="0"/>
            <wp:positionH relativeFrom="column">
              <wp:posOffset>3164205</wp:posOffset>
            </wp:positionH>
            <wp:positionV relativeFrom="paragraph">
              <wp:posOffset>189230</wp:posOffset>
            </wp:positionV>
            <wp:extent cx="2501900" cy="273050"/>
            <wp:effectExtent l="0" t="0" r="0" b="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01900" cy="273050"/>
                    </a:xfrm>
                    <a:prstGeom prst="rect">
                      <a:avLst/>
                    </a:prstGeom>
                    <a:noFill/>
                    <a:ln>
                      <a:noFill/>
                    </a:ln>
                  </pic:spPr>
                </pic:pic>
              </a:graphicData>
            </a:graphic>
          </wp:anchor>
        </w:drawing>
      </w:r>
      <w:r>
        <w:t xml:space="preserve">Par ailleurs, la fonction </w:t>
      </w:r>
      <w:r>
        <w:rPr>
          <w:i/>
          <w:iCs/>
        </w:rPr>
        <w:t>z</w:t>
      </w:r>
      <w:r>
        <w:t xml:space="preserve"> </w:t>
      </w:r>
      <w:r>
        <w:rPr>
          <w:rFonts w:ascii="Cambria Math" w:hAnsi="Cambria Math" w:cs="Cambria Math"/>
        </w:rPr>
        <w:t>↦</w:t>
      </w:r>
      <w:r>
        <w:t xml:space="preserve"> </w:t>
      </w:r>
      <w:proofErr w:type="gramStart"/>
      <w:r>
        <w:t>Γ(</w:t>
      </w:r>
      <w:proofErr w:type="gramEnd"/>
      <w:r>
        <w:rPr>
          <w:i/>
          <w:iCs/>
        </w:rPr>
        <w:t>z</w:t>
      </w:r>
      <w:r>
        <w:t xml:space="preserve"> + 1) vérifie la même relation de récurrence que la factorielle : </w:t>
      </w:r>
      <w:r>
        <w:rPr>
          <w:rStyle w:val="mwe-math-mathml-inline"/>
          <w:rFonts w:ascii="Cambria Math" w:hAnsi="Cambria Math" w:cs="Cambria Math"/>
          <w:vanish/>
        </w:rPr>
        <w:t>∀</w:t>
      </w:r>
      <w:r>
        <w:rPr>
          <w:rStyle w:val="mwe-math-mathml-inline"/>
          <w:vanish/>
        </w:rPr>
        <w:t xml:space="preserve"> z </w:t>
      </w:r>
      <w:r>
        <w:rPr>
          <w:rStyle w:val="mwe-math-mathml-inline"/>
          <w:rFonts w:ascii="Cambria Math" w:hAnsi="Cambria Math" w:cs="Cambria Math"/>
          <w:vanish/>
        </w:rPr>
        <w:t>∈</w:t>
      </w:r>
      <w:r>
        <w:rPr>
          <w:rStyle w:val="mwe-math-mathml-inline"/>
          <w:vanish/>
        </w:rPr>
        <w:t xml:space="preserve"> C </w:t>
      </w:r>
      <w:r>
        <w:rPr>
          <w:rStyle w:val="mwe-math-mathml-inline"/>
          <w:rFonts w:ascii="Cambria Math" w:hAnsi="Cambria Math" w:cs="Cambria Math"/>
          <w:vanish/>
        </w:rPr>
        <w:t>∖</w:t>
      </w:r>
      <w:r>
        <w:rPr>
          <w:rStyle w:val="mwe-math-mathml-inline"/>
          <w:vanish/>
        </w:rPr>
        <w:t xml:space="preserve"> ( − N ) , Γ ( z + 1 ) = z Γ ( z ) . </w:t>
      </w:r>
    </w:p>
    <w:p w14:paraId="22E7F563" w14:textId="77777777" w:rsidR="000B564E" w:rsidRDefault="000B564E" w:rsidP="00A12D70">
      <w:pPr>
        <w:pStyle w:val="NormalWeb"/>
        <w:jc w:val="both"/>
      </w:pPr>
      <w:r>
        <w:t xml:space="preserve">Cette vision de la fonction gamma (translatée) comme prolongement privilégié de la factorielle est justifiée par les raisons suivantes : </w:t>
      </w:r>
    </w:p>
    <w:p w14:paraId="37BDAB09" w14:textId="77777777" w:rsidR="000B564E" w:rsidRPr="00A12D70" w:rsidRDefault="000B564E" w:rsidP="00A12D7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A12D70">
        <w:rPr>
          <w:rFonts w:ascii="Times New Roman" w:eastAsia="Times New Roman" w:hAnsi="Times New Roman" w:cs="Times New Roman"/>
          <w:sz w:val="24"/>
          <w:szCs w:val="24"/>
          <w:lang w:eastAsia="fr-FR"/>
        </w:rPr>
        <w:t>les</w:t>
      </w:r>
      <w:proofErr w:type="gramEnd"/>
      <w:r w:rsidRPr="00A12D70">
        <w:rPr>
          <w:rFonts w:ascii="Times New Roman" w:eastAsia="Times New Roman" w:hAnsi="Times New Roman" w:cs="Times New Roman"/>
          <w:sz w:val="24"/>
          <w:szCs w:val="24"/>
          <w:lang w:eastAsia="fr-FR"/>
        </w:rPr>
        <w:t xml:space="preserve"> deux fonctions partagent une même définition récurrente ;</w:t>
      </w:r>
    </w:p>
    <w:p w14:paraId="02574A78" w14:textId="77777777" w:rsidR="000B564E" w:rsidRPr="00A12D70" w:rsidRDefault="000B564E" w:rsidP="00A12D7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A12D70">
        <w:rPr>
          <w:rFonts w:ascii="Times New Roman" w:eastAsia="Times New Roman" w:hAnsi="Times New Roman" w:cs="Times New Roman"/>
          <w:sz w:val="24"/>
          <w:szCs w:val="24"/>
          <w:lang w:eastAsia="fr-FR"/>
        </w:rPr>
        <w:t>la</w:t>
      </w:r>
      <w:proofErr w:type="gramEnd"/>
      <w:r w:rsidRPr="00A12D70">
        <w:rPr>
          <w:rFonts w:ascii="Times New Roman" w:eastAsia="Times New Roman" w:hAnsi="Times New Roman" w:cs="Times New Roman"/>
          <w:sz w:val="24"/>
          <w:szCs w:val="24"/>
          <w:lang w:eastAsia="fr-FR"/>
        </w:rPr>
        <w:t xml:space="preserve"> fonction gamma est généralement utilisée dans un contexte similaire (même si plus général) à la factorielle ;</w:t>
      </w:r>
    </w:p>
    <w:p w14:paraId="69D09B08" w14:textId="3DE86750" w:rsidR="000B564E" w:rsidRPr="00A12D70" w:rsidRDefault="000B564E" w:rsidP="00A12D7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A12D70">
        <w:rPr>
          <w:rFonts w:ascii="Times New Roman" w:eastAsia="Times New Roman" w:hAnsi="Times New Roman" w:cs="Times New Roman"/>
          <w:sz w:val="24"/>
          <w:szCs w:val="24"/>
          <w:lang w:eastAsia="fr-FR"/>
        </w:rPr>
        <w:t>la</w:t>
      </w:r>
      <w:proofErr w:type="gramEnd"/>
      <w:r w:rsidRPr="00A12D70">
        <w:rPr>
          <w:rFonts w:ascii="Times New Roman" w:eastAsia="Times New Roman" w:hAnsi="Times New Roman" w:cs="Times New Roman"/>
          <w:sz w:val="24"/>
          <w:szCs w:val="24"/>
          <w:lang w:eastAsia="fr-FR"/>
        </w:rPr>
        <w:t xml:space="preserve"> fonction gamma est la seule fonction qui satisfasse cette définition de récurrence sur les nombres complexes, qui est holomorphe et dont le logarithme de la restriction aux réels positifs est convexe (théorème de Bohr-</w:t>
      </w:r>
      <w:proofErr w:type="spellStart"/>
      <w:r w:rsidRPr="00A12D70">
        <w:rPr>
          <w:rFonts w:ascii="Times New Roman" w:eastAsia="Times New Roman" w:hAnsi="Times New Roman" w:cs="Times New Roman"/>
          <w:sz w:val="24"/>
          <w:szCs w:val="24"/>
          <w:lang w:eastAsia="fr-FR"/>
        </w:rPr>
        <w:t>Mollerup</w:t>
      </w:r>
      <w:proofErr w:type="spellEnd"/>
      <w:r w:rsidRPr="00A12D70">
        <w:rPr>
          <w:rFonts w:ascii="Times New Roman" w:eastAsia="Times New Roman" w:hAnsi="Times New Roman" w:cs="Times New Roman"/>
          <w:sz w:val="24"/>
          <w:szCs w:val="24"/>
          <w:lang w:eastAsia="fr-FR"/>
        </w:rPr>
        <w:t>).</w:t>
      </w:r>
    </w:p>
    <w:p w14:paraId="02D88004" w14:textId="05B428D3" w:rsidR="000B564E" w:rsidRDefault="000B564E" w:rsidP="00A12D70">
      <w:pPr>
        <w:pStyle w:val="NormalWeb"/>
        <w:jc w:val="both"/>
      </w:pPr>
      <w:r>
        <w:lastRenderedPageBreak/>
        <w:t xml:space="preserve">Il existe cependant d'autres prolongements ayant de « bonnes propriétés », comme la </w:t>
      </w:r>
      <w:r w:rsidRPr="00A12D70">
        <w:t>fonction gamma d'Hadamard</w:t>
      </w:r>
      <w:r>
        <w:t xml:space="preserve">, qui est </w:t>
      </w:r>
      <w:r w:rsidRPr="00A12D70">
        <w:t>entière</w:t>
      </w:r>
    </w:p>
    <w:p w14:paraId="1A2E914D" w14:textId="20E55E96" w:rsidR="000B564E" w:rsidRDefault="000B564E" w:rsidP="000B564E"/>
    <w:p w14:paraId="0E7EC0BE" w14:textId="7351940D" w:rsidR="000B564E" w:rsidRDefault="000B564E" w:rsidP="000B564E"/>
    <w:p w14:paraId="3008C082" w14:textId="77777777" w:rsidR="000B564E" w:rsidRPr="000B564E" w:rsidRDefault="000B564E" w:rsidP="000B564E">
      <w:pPr>
        <w:pStyle w:val="Titre1"/>
        <w:rPr>
          <w:b/>
          <w:bCs/>
        </w:rPr>
      </w:pPr>
      <w:bookmarkStart w:id="4" w:name="_Toc133067618"/>
      <w:r w:rsidRPr="000B564E">
        <w:rPr>
          <w:rStyle w:val="mw-headline"/>
          <w:b/>
          <w:bCs/>
        </w:rPr>
        <w:t>Approximation</w:t>
      </w:r>
      <w:bookmarkEnd w:id="4"/>
    </w:p>
    <w:p w14:paraId="2F589B5B" w14:textId="1A881004" w:rsidR="000B564E" w:rsidRDefault="000B564E" w:rsidP="00A12D70">
      <w:pPr>
        <w:pStyle w:val="NormalWeb"/>
        <w:jc w:val="both"/>
      </w:pPr>
      <w:r>
        <w:t xml:space="preserve">La </w:t>
      </w:r>
      <w:r w:rsidRPr="00A12D70">
        <w:t>formule de Stirling</w:t>
      </w:r>
      <w:r>
        <w:t xml:space="preserve"> donne un </w:t>
      </w:r>
      <w:r w:rsidRPr="00A12D70">
        <w:t>équivalent</w:t>
      </w:r>
      <w:r>
        <w:t xml:space="preserve"> de </w:t>
      </w:r>
      <w:proofErr w:type="gramStart"/>
      <w:r>
        <w:rPr>
          <w:i/>
          <w:iCs/>
        </w:rPr>
        <w:t>n</w:t>
      </w:r>
      <w:r>
        <w:t>!</w:t>
      </w:r>
      <w:proofErr w:type="gramEnd"/>
      <w:r>
        <w:t xml:space="preserve"> quand </w:t>
      </w:r>
      <w:r>
        <w:rPr>
          <w:i/>
          <w:iCs/>
        </w:rPr>
        <w:t>n</w:t>
      </w:r>
      <w:r>
        <w:t xml:space="preserve"> est grand :</w:t>
      </w:r>
    </w:p>
    <w:p w14:paraId="322A23D0" w14:textId="1D1106A2" w:rsidR="000B564E" w:rsidRDefault="000B564E" w:rsidP="000B564E">
      <w:pPr>
        <w:pStyle w:val="NormalWeb"/>
      </w:pPr>
      <w:r>
        <w:rPr>
          <w:noProof/>
        </w:rPr>
        <w:drawing>
          <wp:inline distT="0" distB="0" distL="0" distR="0" wp14:anchorId="2AFCC01F" wp14:editId="5305B581">
            <wp:extent cx="4959350" cy="2308022"/>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67656" cy="2311888"/>
                    </a:xfrm>
                    <a:prstGeom prst="rect">
                      <a:avLst/>
                    </a:prstGeom>
                    <a:noFill/>
                    <a:ln>
                      <a:noFill/>
                    </a:ln>
                  </pic:spPr>
                </pic:pic>
              </a:graphicData>
            </a:graphic>
          </wp:inline>
        </w:drawing>
      </w:r>
    </w:p>
    <w:p w14:paraId="5685FDD0" w14:textId="77777777" w:rsidR="00A12D70" w:rsidRPr="00A12D70" w:rsidRDefault="00A12D70" w:rsidP="00A12D70">
      <w:pPr>
        <w:pStyle w:val="Titre1"/>
        <w:rPr>
          <w:b/>
          <w:bCs/>
        </w:rPr>
      </w:pPr>
      <w:bookmarkStart w:id="5" w:name="_Toc133067619"/>
      <w:r w:rsidRPr="00A12D70">
        <w:rPr>
          <w:rStyle w:val="mw-headline"/>
          <w:b/>
          <w:bCs/>
        </w:rPr>
        <w:t>Exemples d'applications</w:t>
      </w:r>
      <w:bookmarkEnd w:id="5"/>
    </w:p>
    <w:p w14:paraId="3138367D" w14:textId="07FF69FC" w:rsidR="000B564E" w:rsidRDefault="00A12D70" w:rsidP="00A12D70">
      <w:pPr>
        <w:pStyle w:val="NormalWeb"/>
        <w:jc w:val="both"/>
      </w:pPr>
      <w:r>
        <w:t xml:space="preserve">En </w:t>
      </w:r>
      <w:r w:rsidRPr="00A12D70">
        <w:t>combinatoire</w:t>
      </w:r>
      <w:r>
        <w:t xml:space="preserve">, il existe </w:t>
      </w:r>
      <w:proofErr w:type="gramStart"/>
      <w:r>
        <w:rPr>
          <w:i/>
          <w:iCs/>
        </w:rPr>
        <w:t>n</w:t>
      </w:r>
      <w:r>
        <w:t>!</w:t>
      </w:r>
      <w:proofErr w:type="gramEnd"/>
      <w:r>
        <w:t xml:space="preserve"> façons différentes d'</w:t>
      </w:r>
      <w:r w:rsidRPr="00A12D70">
        <w:t>arranger</w:t>
      </w:r>
      <w:r>
        <w:t xml:space="preserve"> </w:t>
      </w:r>
      <w:r>
        <w:rPr>
          <w:i/>
          <w:iCs/>
        </w:rPr>
        <w:t>n</w:t>
      </w:r>
      <w:r>
        <w:t xml:space="preserve"> objets distincts (c’est-à-dire </w:t>
      </w:r>
      <w:r>
        <w:rPr>
          <w:i/>
          <w:iCs/>
        </w:rPr>
        <w:t>n</w:t>
      </w:r>
      <w:r>
        <w:t xml:space="preserve">! </w:t>
      </w:r>
      <w:r w:rsidRPr="00A12D70">
        <w:t>permutations</w:t>
      </w:r>
      <w:r>
        <w:t xml:space="preserve">). Et le nombre de façons de choisir </w:t>
      </w:r>
      <w:r>
        <w:rPr>
          <w:i/>
          <w:iCs/>
        </w:rPr>
        <w:t>k</w:t>
      </w:r>
      <w:r>
        <w:t xml:space="preserve"> éléments parmi un ensemble de </w:t>
      </w:r>
      <w:r>
        <w:rPr>
          <w:i/>
          <w:iCs/>
        </w:rPr>
        <w:t>n</w:t>
      </w:r>
      <w:r>
        <w:t xml:space="preserve"> est donné par le </w:t>
      </w:r>
      <w:r w:rsidRPr="00A12D70">
        <w:t>coefficient binomial</w:t>
      </w:r>
      <w:r>
        <w:t> :</w:t>
      </w:r>
    </w:p>
    <w:p w14:paraId="1DBA7B3F" w14:textId="47FE4669" w:rsidR="00A12D70" w:rsidRDefault="00A12D70" w:rsidP="00A12D70">
      <w:pPr>
        <w:pStyle w:val="NormalWeb"/>
      </w:pPr>
      <w:r>
        <w:rPr>
          <w:noProof/>
        </w:rPr>
        <w:drawing>
          <wp:inline distT="0" distB="0" distL="0" distR="0" wp14:anchorId="06939BF1" wp14:editId="2C73AB30">
            <wp:extent cx="1473200" cy="527050"/>
            <wp:effectExtent l="0" t="0" r="0" b="635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73200" cy="527050"/>
                    </a:xfrm>
                    <a:prstGeom prst="rect">
                      <a:avLst/>
                    </a:prstGeom>
                    <a:noFill/>
                    <a:ln>
                      <a:noFill/>
                    </a:ln>
                  </pic:spPr>
                </pic:pic>
              </a:graphicData>
            </a:graphic>
          </wp:inline>
        </w:drawing>
      </w:r>
    </w:p>
    <w:p w14:paraId="00E00363" w14:textId="77777777" w:rsidR="00A12D70" w:rsidRDefault="00A12D70" w:rsidP="00A12D70">
      <w:pPr>
        <w:pStyle w:val="NormalWeb"/>
      </w:pPr>
    </w:p>
    <w:p w14:paraId="1BA9AAF0" w14:textId="77777777" w:rsidR="000B564E" w:rsidRDefault="000B564E" w:rsidP="000B564E"/>
    <w:p w14:paraId="50DDF7DF" w14:textId="19DAEDC3" w:rsidR="000B564E" w:rsidRDefault="000B564E" w:rsidP="000B564E">
      <w:pPr>
        <w:ind w:left="720"/>
      </w:pPr>
      <w:r>
        <w:rPr>
          <w:rStyle w:val="mwe-math-mathml-inline"/>
          <w:vanish/>
        </w:rPr>
        <w:t xml:space="preserve">Γ ( 1 ) = 1 = 0 ! </w:t>
      </w:r>
      <w:r>
        <w:rPr>
          <w:noProof/>
        </w:rPr>
        <mc:AlternateContent>
          <mc:Choice Requires="wps">
            <w:drawing>
              <wp:inline distT="0" distB="0" distL="0" distR="0" wp14:anchorId="4EC30886" wp14:editId="2D2FB261">
                <wp:extent cx="304800" cy="304800"/>
                <wp:effectExtent l="0" t="0" r="0" b="0"/>
                <wp:docPr id="1" name="Rectangle 1" descr="{\displaystyle \Gamma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2E1BAB" id="Rectangle 1" o:spid="_x0000_s1026" alt="{\displaystyle \Gamma (1)=1=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701856" w14:textId="77777777" w:rsidR="001A01F8" w:rsidRPr="001A01F8" w:rsidRDefault="001A01F8" w:rsidP="001A01F8"/>
    <w:sectPr w:rsidR="001A01F8" w:rsidRPr="001A01F8">
      <w:headerReference w:type="default" r:id="rId16"/>
      <w:foot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24F63" w14:textId="77777777" w:rsidR="00275069" w:rsidRDefault="00275069" w:rsidP="00517035">
      <w:pPr>
        <w:spacing w:after="0" w:line="240" w:lineRule="auto"/>
      </w:pPr>
      <w:r>
        <w:separator/>
      </w:r>
    </w:p>
  </w:endnote>
  <w:endnote w:type="continuationSeparator" w:id="0">
    <w:p w14:paraId="57D0D253" w14:textId="77777777" w:rsidR="00275069" w:rsidRDefault="00275069" w:rsidP="00517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4195734"/>
      <w:docPartObj>
        <w:docPartGallery w:val="Page Numbers (Bottom of Page)"/>
        <w:docPartUnique/>
      </w:docPartObj>
    </w:sdtPr>
    <w:sdtContent>
      <w:p w14:paraId="1B15EE22" w14:textId="1E3CD676" w:rsidR="00517035" w:rsidRDefault="00517035">
        <w:pPr>
          <w:pStyle w:val="Pieddepage"/>
          <w:jc w:val="right"/>
        </w:pPr>
        <w:r>
          <w:fldChar w:fldCharType="begin"/>
        </w:r>
        <w:r>
          <w:instrText>PAGE   \* MERGEFORMAT</w:instrText>
        </w:r>
        <w:r>
          <w:fldChar w:fldCharType="separate"/>
        </w:r>
        <w:r>
          <w:t>2</w:t>
        </w:r>
        <w:r>
          <w:fldChar w:fldCharType="end"/>
        </w:r>
      </w:p>
    </w:sdtContent>
  </w:sdt>
  <w:p w14:paraId="0E2CA89D" w14:textId="77777777" w:rsidR="00517035" w:rsidRDefault="0051703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B23AAE" w14:textId="77777777" w:rsidR="00275069" w:rsidRDefault="00275069" w:rsidP="00517035">
      <w:pPr>
        <w:spacing w:after="0" w:line="240" w:lineRule="auto"/>
      </w:pPr>
      <w:r>
        <w:separator/>
      </w:r>
    </w:p>
  </w:footnote>
  <w:footnote w:type="continuationSeparator" w:id="0">
    <w:p w14:paraId="7A9EAFDF" w14:textId="77777777" w:rsidR="00275069" w:rsidRDefault="00275069" w:rsidP="005170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29ACD" w14:textId="1B8324CF" w:rsidR="00517035" w:rsidRDefault="00517035">
    <w:pPr>
      <w:pStyle w:val="En-tte"/>
    </w:pPr>
    <w:r>
      <w:t>MATHS - Factorielle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AD4DC8"/>
    <w:multiLevelType w:val="multilevel"/>
    <w:tmpl w:val="7EE21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A52817"/>
    <w:multiLevelType w:val="multilevel"/>
    <w:tmpl w:val="4DF0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521681">
    <w:abstractNumId w:val="0"/>
  </w:num>
  <w:num w:numId="2" w16cid:durableId="66729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6C1"/>
    <w:rsid w:val="00084CEE"/>
    <w:rsid w:val="000B564E"/>
    <w:rsid w:val="001A01F8"/>
    <w:rsid w:val="001F16C1"/>
    <w:rsid w:val="00275069"/>
    <w:rsid w:val="003B22A5"/>
    <w:rsid w:val="00517035"/>
    <w:rsid w:val="00915051"/>
    <w:rsid w:val="00975931"/>
    <w:rsid w:val="00A12D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6F32C"/>
  <w15:chartTrackingRefBased/>
  <w15:docId w15:val="{862548C1-FB55-4D09-8964-5C25626A2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A01F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0B56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0B564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17035"/>
    <w:pPr>
      <w:tabs>
        <w:tab w:val="center" w:pos="4536"/>
        <w:tab w:val="right" w:pos="9072"/>
      </w:tabs>
      <w:spacing w:after="0" w:line="240" w:lineRule="auto"/>
    </w:pPr>
  </w:style>
  <w:style w:type="character" w:customStyle="1" w:styleId="En-tteCar">
    <w:name w:val="En-tête Car"/>
    <w:basedOn w:val="Policepardfaut"/>
    <w:link w:val="En-tte"/>
    <w:uiPriority w:val="99"/>
    <w:rsid w:val="00517035"/>
  </w:style>
  <w:style w:type="paragraph" w:styleId="Pieddepage">
    <w:name w:val="footer"/>
    <w:basedOn w:val="Normal"/>
    <w:link w:val="PieddepageCar"/>
    <w:uiPriority w:val="99"/>
    <w:unhideWhenUsed/>
    <w:rsid w:val="0051703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17035"/>
  </w:style>
  <w:style w:type="paragraph" w:styleId="Titre">
    <w:name w:val="Title"/>
    <w:basedOn w:val="Normal"/>
    <w:next w:val="Normal"/>
    <w:link w:val="TitreCar"/>
    <w:uiPriority w:val="10"/>
    <w:qFormat/>
    <w:rsid w:val="0051703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7035"/>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1A01F8"/>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1A01F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1A01F8"/>
    <w:rPr>
      <w:color w:val="0000FF"/>
      <w:u w:val="single"/>
    </w:rPr>
  </w:style>
  <w:style w:type="character" w:customStyle="1" w:styleId="Titre3Car">
    <w:name w:val="Titre 3 Car"/>
    <w:basedOn w:val="Policepardfaut"/>
    <w:link w:val="Titre3"/>
    <w:uiPriority w:val="9"/>
    <w:semiHidden/>
    <w:rsid w:val="000B564E"/>
    <w:rPr>
      <w:rFonts w:asciiTheme="majorHAnsi" w:eastAsiaTheme="majorEastAsia" w:hAnsiTheme="majorHAnsi" w:cstheme="majorBidi"/>
      <w:color w:val="1F3763" w:themeColor="accent1" w:themeShade="7F"/>
      <w:sz w:val="24"/>
      <w:szCs w:val="24"/>
    </w:rPr>
  </w:style>
  <w:style w:type="character" w:customStyle="1" w:styleId="mwe-math-mathml-inline">
    <w:name w:val="mwe-math-mathml-inline"/>
    <w:basedOn w:val="Policepardfaut"/>
    <w:rsid w:val="000B564E"/>
  </w:style>
  <w:style w:type="character" w:customStyle="1" w:styleId="mw-headline">
    <w:name w:val="mw-headline"/>
    <w:basedOn w:val="Policepardfaut"/>
    <w:rsid w:val="000B564E"/>
  </w:style>
  <w:style w:type="character" w:customStyle="1" w:styleId="Titre2Car">
    <w:name w:val="Titre 2 Car"/>
    <w:basedOn w:val="Policepardfaut"/>
    <w:link w:val="Titre2"/>
    <w:uiPriority w:val="9"/>
    <w:semiHidden/>
    <w:rsid w:val="000B564E"/>
    <w:rPr>
      <w:rFonts w:asciiTheme="majorHAnsi" w:eastAsiaTheme="majorEastAsia" w:hAnsiTheme="majorHAnsi" w:cstheme="majorBidi"/>
      <w:color w:val="2F5496" w:themeColor="accent1" w:themeShade="BF"/>
      <w:sz w:val="26"/>
      <w:szCs w:val="26"/>
    </w:rPr>
  </w:style>
  <w:style w:type="character" w:customStyle="1" w:styleId="nowrap">
    <w:name w:val="nowrap"/>
    <w:basedOn w:val="Policepardfaut"/>
    <w:rsid w:val="000B564E"/>
  </w:style>
  <w:style w:type="paragraph" w:styleId="En-ttedetabledesmatires">
    <w:name w:val="TOC Heading"/>
    <w:basedOn w:val="Titre1"/>
    <w:next w:val="Normal"/>
    <w:uiPriority w:val="39"/>
    <w:unhideWhenUsed/>
    <w:qFormat/>
    <w:rsid w:val="00915051"/>
    <w:pPr>
      <w:outlineLvl w:val="9"/>
    </w:pPr>
    <w:rPr>
      <w:lang w:eastAsia="fr-FR"/>
    </w:rPr>
  </w:style>
  <w:style w:type="paragraph" w:styleId="TM1">
    <w:name w:val="toc 1"/>
    <w:basedOn w:val="Normal"/>
    <w:next w:val="Normal"/>
    <w:autoRedefine/>
    <w:uiPriority w:val="39"/>
    <w:unhideWhenUsed/>
    <w:rsid w:val="0091505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384651">
      <w:bodyDiv w:val="1"/>
      <w:marLeft w:val="0"/>
      <w:marRight w:val="0"/>
      <w:marTop w:val="0"/>
      <w:marBottom w:val="0"/>
      <w:divBdr>
        <w:top w:val="none" w:sz="0" w:space="0" w:color="auto"/>
        <w:left w:val="none" w:sz="0" w:space="0" w:color="auto"/>
        <w:bottom w:val="none" w:sz="0" w:space="0" w:color="auto"/>
        <w:right w:val="none" w:sz="0" w:space="0" w:color="auto"/>
      </w:divBdr>
    </w:div>
    <w:div w:id="750077683">
      <w:bodyDiv w:val="1"/>
      <w:marLeft w:val="0"/>
      <w:marRight w:val="0"/>
      <w:marTop w:val="0"/>
      <w:marBottom w:val="0"/>
      <w:divBdr>
        <w:top w:val="none" w:sz="0" w:space="0" w:color="auto"/>
        <w:left w:val="none" w:sz="0" w:space="0" w:color="auto"/>
        <w:bottom w:val="none" w:sz="0" w:space="0" w:color="auto"/>
        <w:right w:val="none" w:sz="0" w:space="0" w:color="auto"/>
      </w:divBdr>
    </w:div>
    <w:div w:id="1017267437">
      <w:bodyDiv w:val="1"/>
      <w:marLeft w:val="0"/>
      <w:marRight w:val="0"/>
      <w:marTop w:val="0"/>
      <w:marBottom w:val="0"/>
      <w:divBdr>
        <w:top w:val="none" w:sz="0" w:space="0" w:color="auto"/>
        <w:left w:val="none" w:sz="0" w:space="0" w:color="auto"/>
        <w:bottom w:val="none" w:sz="0" w:space="0" w:color="auto"/>
        <w:right w:val="none" w:sz="0" w:space="0" w:color="auto"/>
      </w:divBdr>
    </w:div>
    <w:div w:id="1583903859">
      <w:bodyDiv w:val="1"/>
      <w:marLeft w:val="0"/>
      <w:marRight w:val="0"/>
      <w:marTop w:val="0"/>
      <w:marBottom w:val="0"/>
      <w:divBdr>
        <w:top w:val="none" w:sz="0" w:space="0" w:color="auto"/>
        <w:left w:val="none" w:sz="0" w:space="0" w:color="auto"/>
        <w:bottom w:val="none" w:sz="0" w:space="0" w:color="auto"/>
        <w:right w:val="none" w:sz="0" w:space="0" w:color="auto"/>
      </w:divBdr>
      <w:divsChild>
        <w:div w:id="268321614">
          <w:marLeft w:val="0"/>
          <w:marRight w:val="0"/>
          <w:marTop w:val="0"/>
          <w:marBottom w:val="0"/>
          <w:divBdr>
            <w:top w:val="none" w:sz="0" w:space="0" w:color="auto"/>
            <w:left w:val="none" w:sz="0" w:space="0" w:color="auto"/>
            <w:bottom w:val="none" w:sz="0" w:space="0" w:color="auto"/>
            <w:right w:val="none" w:sz="0" w:space="0" w:color="auto"/>
          </w:divBdr>
          <w:divsChild>
            <w:div w:id="1978341268">
              <w:marLeft w:val="0"/>
              <w:marRight w:val="0"/>
              <w:marTop w:val="0"/>
              <w:marBottom w:val="0"/>
              <w:divBdr>
                <w:top w:val="none" w:sz="0" w:space="0" w:color="auto"/>
                <w:left w:val="none" w:sz="0" w:space="0" w:color="auto"/>
                <w:bottom w:val="none" w:sz="0" w:space="0" w:color="auto"/>
                <w:right w:val="none" w:sz="0" w:space="0" w:color="auto"/>
              </w:divBdr>
            </w:div>
          </w:divsChild>
        </w:div>
        <w:div w:id="1449621478">
          <w:marLeft w:val="0"/>
          <w:marRight w:val="0"/>
          <w:marTop w:val="0"/>
          <w:marBottom w:val="0"/>
          <w:divBdr>
            <w:top w:val="none" w:sz="0" w:space="0" w:color="auto"/>
            <w:left w:val="none" w:sz="0" w:space="0" w:color="auto"/>
            <w:bottom w:val="none" w:sz="0" w:space="0" w:color="auto"/>
            <w:right w:val="none" w:sz="0" w:space="0" w:color="auto"/>
          </w:divBdr>
          <w:divsChild>
            <w:div w:id="496655525">
              <w:marLeft w:val="0"/>
              <w:marRight w:val="0"/>
              <w:marTop w:val="0"/>
              <w:marBottom w:val="0"/>
              <w:divBdr>
                <w:top w:val="none" w:sz="0" w:space="0" w:color="auto"/>
                <w:left w:val="none" w:sz="0" w:space="0" w:color="auto"/>
                <w:bottom w:val="none" w:sz="0" w:space="0" w:color="auto"/>
                <w:right w:val="none" w:sz="0" w:space="0" w:color="auto"/>
              </w:divBdr>
            </w:div>
          </w:divsChild>
        </w:div>
        <w:div w:id="1792244881">
          <w:marLeft w:val="0"/>
          <w:marRight w:val="0"/>
          <w:marTop w:val="0"/>
          <w:marBottom w:val="0"/>
          <w:divBdr>
            <w:top w:val="none" w:sz="0" w:space="0" w:color="auto"/>
            <w:left w:val="none" w:sz="0" w:space="0" w:color="auto"/>
            <w:bottom w:val="none" w:sz="0" w:space="0" w:color="auto"/>
            <w:right w:val="none" w:sz="0" w:space="0" w:color="auto"/>
          </w:divBdr>
          <w:divsChild>
            <w:div w:id="2048870705">
              <w:marLeft w:val="0"/>
              <w:marRight w:val="0"/>
              <w:marTop w:val="0"/>
              <w:marBottom w:val="0"/>
              <w:divBdr>
                <w:top w:val="none" w:sz="0" w:space="0" w:color="auto"/>
                <w:left w:val="none" w:sz="0" w:space="0" w:color="auto"/>
                <w:bottom w:val="none" w:sz="0" w:space="0" w:color="auto"/>
                <w:right w:val="none" w:sz="0" w:space="0" w:color="auto"/>
              </w:divBdr>
              <w:divsChild>
                <w:div w:id="149410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30116">
      <w:bodyDiv w:val="1"/>
      <w:marLeft w:val="0"/>
      <w:marRight w:val="0"/>
      <w:marTop w:val="0"/>
      <w:marBottom w:val="0"/>
      <w:divBdr>
        <w:top w:val="none" w:sz="0" w:space="0" w:color="auto"/>
        <w:left w:val="none" w:sz="0" w:space="0" w:color="auto"/>
        <w:bottom w:val="none" w:sz="0" w:space="0" w:color="auto"/>
        <w:right w:val="none" w:sz="0" w:space="0" w:color="auto"/>
      </w:divBdr>
      <w:divsChild>
        <w:div w:id="1687946390">
          <w:marLeft w:val="0"/>
          <w:marRight w:val="0"/>
          <w:marTop w:val="0"/>
          <w:marBottom w:val="0"/>
          <w:divBdr>
            <w:top w:val="none" w:sz="0" w:space="0" w:color="auto"/>
            <w:left w:val="none" w:sz="0" w:space="0" w:color="auto"/>
            <w:bottom w:val="none" w:sz="0" w:space="0" w:color="auto"/>
            <w:right w:val="none" w:sz="0" w:space="0" w:color="auto"/>
          </w:divBdr>
          <w:divsChild>
            <w:div w:id="92808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hyperlink" Target="https://commons.wikimedia.org/wiki/File:Gamma_plot.svg?uselang=fr"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606</Words>
  <Characters>3336</Characters>
  <Application>Microsoft Office Word</Application>
  <DocSecurity>0</DocSecurity>
  <Lines>27</Lines>
  <Paragraphs>7</Paragraphs>
  <ScaleCrop>false</ScaleCrop>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6</cp:revision>
  <dcterms:created xsi:type="dcterms:W3CDTF">2022-12-20T14:53:00Z</dcterms:created>
  <dcterms:modified xsi:type="dcterms:W3CDTF">2023-04-22T12:53:00Z</dcterms:modified>
</cp:coreProperties>
</file>