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FBE0" w14:textId="77777777" w:rsidR="00E42A12" w:rsidRDefault="00E42A12">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E42A12">
        <w:rPr>
          <w:rFonts w:ascii="Times New Roman" w:eastAsia="Times New Roman" w:hAnsi="Times New Roman" w:cs="Times New Roman"/>
          <w:b/>
          <w:bCs/>
          <w:color w:val="auto"/>
          <w:kern w:val="36"/>
          <w:sz w:val="48"/>
          <w:szCs w:val="48"/>
        </w:rPr>
        <w:t>Diffusion de Mie</w:t>
      </w:r>
      <w:r w:rsidRPr="00E42A12">
        <w:rPr>
          <w:rFonts w:ascii="Times New Roman" w:eastAsia="Times New Roman" w:hAnsi="Times New Roman" w:cs="Times New Roman"/>
          <w:b/>
          <w:bCs/>
          <w:color w:val="auto"/>
          <w:kern w:val="36"/>
          <w:sz w:val="48"/>
          <w:szCs w:val="48"/>
        </w:rPr>
        <w:t xml:space="preserve"> </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AAEBBDE" w:rsidR="00182B43" w:rsidRDefault="00182B43">
          <w:pPr>
            <w:pStyle w:val="En-ttedetabledesmatires"/>
          </w:pPr>
          <w:r>
            <w:t>Table des matières</w:t>
          </w:r>
        </w:p>
        <w:p w14:paraId="40EFC669" w14:textId="025A6AF4" w:rsidR="00785AB5"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02789" w:history="1">
            <w:r w:rsidR="00785AB5" w:rsidRPr="00360A4B">
              <w:rPr>
                <w:rStyle w:val="Lienhypertexte"/>
                <w:noProof/>
              </w:rPr>
              <w:t>Introduction</w:t>
            </w:r>
            <w:r w:rsidR="00785AB5">
              <w:rPr>
                <w:noProof/>
                <w:webHidden/>
              </w:rPr>
              <w:tab/>
            </w:r>
            <w:r w:rsidR="00785AB5">
              <w:rPr>
                <w:noProof/>
                <w:webHidden/>
              </w:rPr>
              <w:fldChar w:fldCharType="begin"/>
            </w:r>
            <w:r w:rsidR="00785AB5">
              <w:rPr>
                <w:noProof/>
                <w:webHidden/>
              </w:rPr>
              <w:instrText xml:space="preserve"> PAGEREF _Toc148702789 \h </w:instrText>
            </w:r>
            <w:r w:rsidR="00785AB5">
              <w:rPr>
                <w:noProof/>
                <w:webHidden/>
              </w:rPr>
            </w:r>
            <w:r w:rsidR="00785AB5">
              <w:rPr>
                <w:noProof/>
                <w:webHidden/>
              </w:rPr>
              <w:fldChar w:fldCharType="separate"/>
            </w:r>
            <w:r w:rsidR="00785AB5">
              <w:rPr>
                <w:noProof/>
                <w:webHidden/>
              </w:rPr>
              <w:t>2</w:t>
            </w:r>
            <w:r w:rsidR="00785AB5">
              <w:rPr>
                <w:noProof/>
                <w:webHidden/>
              </w:rPr>
              <w:fldChar w:fldCharType="end"/>
            </w:r>
          </w:hyperlink>
        </w:p>
        <w:p w14:paraId="499B8987" w14:textId="120C7CBD" w:rsidR="00785AB5" w:rsidRDefault="00785AB5">
          <w:pPr>
            <w:pStyle w:val="TM2"/>
            <w:tabs>
              <w:tab w:val="right" w:leader="dot" w:pos="9062"/>
            </w:tabs>
            <w:rPr>
              <w:rFonts w:eastAsiaTheme="minorEastAsia"/>
              <w:noProof/>
              <w:kern w:val="2"/>
              <w:lang w:eastAsia="fr-FR"/>
              <w14:ligatures w14:val="standardContextual"/>
            </w:rPr>
          </w:pPr>
          <w:hyperlink w:anchor="_Toc148702790" w:history="1">
            <w:r w:rsidRPr="00360A4B">
              <w:rPr>
                <w:rStyle w:val="Lienhypertexte"/>
                <w:noProof/>
              </w:rPr>
              <w:t>Géométrie de la diffusion</w:t>
            </w:r>
            <w:r>
              <w:rPr>
                <w:noProof/>
                <w:webHidden/>
              </w:rPr>
              <w:tab/>
            </w:r>
            <w:r>
              <w:rPr>
                <w:noProof/>
                <w:webHidden/>
              </w:rPr>
              <w:fldChar w:fldCharType="begin"/>
            </w:r>
            <w:r>
              <w:rPr>
                <w:noProof/>
                <w:webHidden/>
              </w:rPr>
              <w:instrText xml:space="preserve"> PAGEREF _Toc148702790 \h </w:instrText>
            </w:r>
            <w:r>
              <w:rPr>
                <w:noProof/>
                <w:webHidden/>
              </w:rPr>
            </w:r>
            <w:r>
              <w:rPr>
                <w:noProof/>
                <w:webHidden/>
              </w:rPr>
              <w:fldChar w:fldCharType="separate"/>
            </w:r>
            <w:r>
              <w:rPr>
                <w:noProof/>
                <w:webHidden/>
              </w:rPr>
              <w:t>2</w:t>
            </w:r>
            <w:r>
              <w:rPr>
                <w:noProof/>
                <w:webHidden/>
              </w:rPr>
              <w:fldChar w:fldCharType="end"/>
            </w:r>
          </w:hyperlink>
        </w:p>
        <w:p w14:paraId="6EF7E2A5" w14:textId="0ECC8A1B" w:rsidR="00785AB5" w:rsidRDefault="00785AB5">
          <w:pPr>
            <w:pStyle w:val="TM2"/>
            <w:tabs>
              <w:tab w:val="right" w:leader="dot" w:pos="9062"/>
            </w:tabs>
            <w:rPr>
              <w:rFonts w:eastAsiaTheme="minorEastAsia"/>
              <w:noProof/>
              <w:kern w:val="2"/>
              <w:lang w:eastAsia="fr-FR"/>
              <w14:ligatures w14:val="standardContextual"/>
            </w:rPr>
          </w:pPr>
          <w:hyperlink w:anchor="_Toc148702791" w:history="1">
            <w:r w:rsidRPr="00360A4B">
              <w:rPr>
                <w:rStyle w:val="Lienhypertexte"/>
                <w:noProof/>
              </w:rPr>
              <w:t>Section efficace de diffusion</w:t>
            </w:r>
            <w:r>
              <w:rPr>
                <w:noProof/>
                <w:webHidden/>
              </w:rPr>
              <w:tab/>
            </w:r>
            <w:r>
              <w:rPr>
                <w:noProof/>
                <w:webHidden/>
              </w:rPr>
              <w:fldChar w:fldCharType="begin"/>
            </w:r>
            <w:r>
              <w:rPr>
                <w:noProof/>
                <w:webHidden/>
              </w:rPr>
              <w:instrText xml:space="preserve"> PAGEREF _Toc148702791 \h </w:instrText>
            </w:r>
            <w:r>
              <w:rPr>
                <w:noProof/>
                <w:webHidden/>
              </w:rPr>
            </w:r>
            <w:r>
              <w:rPr>
                <w:noProof/>
                <w:webHidden/>
              </w:rPr>
              <w:fldChar w:fldCharType="separate"/>
            </w:r>
            <w:r>
              <w:rPr>
                <w:noProof/>
                <w:webHidden/>
              </w:rPr>
              <w:t>3</w:t>
            </w:r>
            <w:r>
              <w:rPr>
                <w:noProof/>
                <w:webHidden/>
              </w:rPr>
              <w:fldChar w:fldCharType="end"/>
            </w:r>
          </w:hyperlink>
        </w:p>
        <w:p w14:paraId="36BED5A5" w14:textId="53EBF4C8" w:rsidR="00785AB5" w:rsidRDefault="00785AB5">
          <w:pPr>
            <w:pStyle w:val="TM2"/>
            <w:tabs>
              <w:tab w:val="right" w:leader="dot" w:pos="9062"/>
            </w:tabs>
            <w:rPr>
              <w:rFonts w:eastAsiaTheme="minorEastAsia"/>
              <w:noProof/>
              <w:kern w:val="2"/>
              <w:lang w:eastAsia="fr-FR"/>
              <w14:ligatures w14:val="standardContextual"/>
            </w:rPr>
          </w:pPr>
          <w:hyperlink w:anchor="_Toc148702792" w:history="1">
            <w:r w:rsidRPr="00360A4B">
              <w:rPr>
                <w:rStyle w:val="Lienhypertexte"/>
                <w:noProof/>
              </w:rPr>
              <w:t>Petites sphères – diffusion Rayleigh</w:t>
            </w:r>
            <w:r>
              <w:rPr>
                <w:noProof/>
                <w:webHidden/>
              </w:rPr>
              <w:tab/>
            </w:r>
            <w:r>
              <w:rPr>
                <w:noProof/>
                <w:webHidden/>
              </w:rPr>
              <w:fldChar w:fldCharType="begin"/>
            </w:r>
            <w:r>
              <w:rPr>
                <w:noProof/>
                <w:webHidden/>
              </w:rPr>
              <w:instrText xml:space="preserve"> PAGEREF _Toc148702792 \h </w:instrText>
            </w:r>
            <w:r>
              <w:rPr>
                <w:noProof/>
                <w:webHidden/>
              </w:rPr>
            </w:r>
            <w:r>
              <w:rPr>
                <w:noProof/>
                <w:webHidden/>
              </w:rPr>
              <w:fldChar w:fldCharType="separate"/>
            </w:r>
            <w:r>
              <w:rPr>
                <w:noProof/>
                <w:webHidden/>
              </w:rPr>
              <w:t>3</w:t>
            </w:r>
            <w:r>
              <w:rPr>
                <w:noProof/>
                <w:webHidden/>
              </w:rPr>
              <w:fldChar w:fldCharType="end"/>
            </w:r>
          </w:hyperlink>
        </w:p>
        <w:p w14:paraId="5216DE9A" w14:textId="3BB99FD0" w:rsidR="00785AB5" w:rsidRDefault="00785AB5">
          <w:pPr>
            <w:pStyle w:val="TM2"/>
            <w:tabs>
              <w:tab w:val="right" w:leader="dot" w:pos="9062"/>
            </w:tabs>
            <w:rPr>
              <w:rFonts w:eastAsiaTheme="minorEastAsia"/>
              <w:noProof/>
              <w:kern w:val="2"/>
              <w:lang w:eastAsia="fr-FR"/>
              <w14:ligatures w14:val="standardContextual"/>
            </w:rPr>
          </w:pPr>
          <w:hyperlink w:anchor="_Toc148702793" w:history="1">
            <w:r w:rsidRPr="00360A4B">
              <w:rPr>
                <w:rStyle w:val="Lienhypertexte"/>
                <w:noProof/>
              </w:rPr>
              <w:t>Oscillations larges – structure d'interférences</w:t>
            </w:r>
            <w:r>
              <w:rPr>
                <w:noProof/>
                <w:webHidden/>
              </w:rPr>
              <w:tab/>
            </w:r>
            <w:r>
              <w:rPr>
                <w:noProof/>
                <w:webHidden/>
              </w:rPr>
              <w:fldChar w:fldCharType="begin"/>
            </w:r>
            <w:r>
              <w:rPr>
                <w:noProof/>
                <w:webHidden/>
              </w:rPr>
              <w:instrText xml:space="preserve"> PAGEREF _Toc148702793 \h </w:instrText>
            </w:r>
            <w:r>
              <w:rPr>
                <w:noProof/>
                <w:webHidden/>
              </w:rPr>
            </w:r>
            <w:r>
              <w:rPr>
                <w:noProof/>
                <w:webHidden/>
              </w:rPr>
              <w:fldChar w:fldCharType="separate"/>
            </w:r>
            <w:r>
              <w:rPr>
                <w:noProof/>
                <w:webHidden/>
              </w:rPr>
              <w:t>4</w:t>
            </w:r>
            <w:r>
              <w:rPr>
                <w:noProof/>
                <w:webHidden/>
              </w:rPr>
              <w:fldChar w:fldCharType="end"/>
            </w:r>
          </w:hyperlink>
        </w:p>
        <w:p w14:paraId="5266949C" w14:textId="681407FF" w:rsidR="00785AB5" w:rsidRDefault="00785AB5">
          <w:pPr>
            <w:pStyle w:val="TM2"/>
            <w:tabs>
              <w:tab w:val="right" w:leader="dot" w:pos="9062"/>
            </w:tabs>
            <w:rPr>
              <w:rFonts w:eastAsiaTheme="minorEastAsia"/>
              <w:noProof/>
              <w:kern w:val="2"/>
              <w:lang w:eastAsia="fr-FR"/>
              <w14:ligatures w14:val="standardContextual"/>
            </w:rPr>
          </w:pPr>
          <w:hyperlink w:anchor="_Toc148702794" w:history="1">
            <w:r w:rsidRPr="00360A4B">
              <w:rPr>
                <w:rStyle w:val="Lienhypertexte"/>
                <w:noProof/>
              </w:rPr>
              <w:t>Grosses sphères – paradoxe de l'extinction</w:t>
            </w:r>
            <w:r>
              <w:rPr>
                <w:noProof/>
                <w:webHidden/>
              </w:rPr>
              <w:tab/>
            </w:r>
            <w:r>
              <w:rPr>
                <w:noProof/>
                <w:webHidden/>
              </w:rPr>
              <w:fldChar w:fldCharType="begin"/>
            </w:r>
            <w:r>
              <w:rPr>
                <w:noProof/>
                <w:webHidden/>
              </w:rPr>
              <w:instrText xml:space="preserve"> PAGEREF _Toc148702794 \h </w:instrText>
            </w:r>
            <w:r>
              <w:rPr>
                <w:noProof/>
                <w:webHidden/>
              </w:rPr>
            </w:r>
            <w:r>
              <w:rPr>
                <w:noProof/>
                <w:webHidden/>
              </w:rPr>
              <w:fldChar w:fldCharType="separate"/>
            </w:r>
            <w:r>
              <w:rPr>
                <w:noProof/>
                <w:webHidden/>
              </w:rPr>
              <w:t>4</w:t>
            </w:r>
            <w:r>
              <w:rPr>
                <w:noProof/>
                <w:webHidden/>
              </w:rPr>
              <w:fldChar w:fldCharType="end"/>
            </w:r>
          </w:hyperlink>
        </w:p>
        <w:p w14:paraId="445FF645" w14:textId="0D5C08E1" w:rsidR="00785AB5" w:rsidRDefault="00785AB5">
          <w:pPr>
            <w:pStyle w:val="TM2"/>
            <w:tabs>
              <w:tab w:val="right" w:leader="dot" w:pos="9062"/>
            </w:tabs>
            <w:rPr>
              <w:rFonts w:eastAsiaTheme="minorEastAsia"/>
              <w:noProof/>
              <w:kern w:val="2"/>
              <w:lang w:eastAsia="fr-FR"/>
              <w14:ligatures w14:val="standardContextual"/>
            </w:rPr>
          </w:pPr>
          <w:hyperlink w:anchor="_Toc148702795" w:history="1">
            <w:r w:rsidRPr="00360A4B">
              <w:rPr>
                <w:rStyle w:val="Lienhypertexte"/>
                <w:noProof/>
              </w:rPr>
              <w:t>Pics fins – modes de galerie</w:t>
            </w:r>
            <w:r>
              <w:rPr>
                <w:noProof/>
                <w:webHidden/>
              </w:rPr>
              <w:tab/>
            </w:r>
            <w:r>
              <w:rPr>
                <w:noProof/>
                <w:webHidden/>
              </w:rPr>
              <w:fldChar w:fldCharType="begin"/>
            </w:r>
            <w:r>
              <w:rPr>
                <w:noProof/>
                <w:webHidden/>
              </w:rPr>
              <w:instrText xml:space="preserve"> PAGEREF _Toc148702795 \h </w:instrText>
            </w:r>
            <w:r>
              <w:rPr>
                <w:noProof/>
                <w:webHidden/>
              </w:rPr>
            </w:r>
            <w:r>
              <w:rPr>
                <w:noProof/>
                <w:webHidden/>
              </w:rPr>
              <w:fldChar w:fldCharType="separate"/>
            </w:r>
            <w:r>
              <w:rPr>
                <w:noProof/>
                <w:webHidden/>
              </w:rPr>
              <w:t>5</w:t>
            </w:r>
            <w:r>
              <w:rPr>
                <w:noProof/>
                <w:webHidden/>
              </w:rPr>
              <w:fldChar w:fldCharType="end"/>
            </w:r>
          </w:hyperlink>
        </w:p>
        <w:p w14:paraId="3077877D" w14:textId="152A8508" w:rsidR="00785AB5" w:rsidRDefault="00785AB5">
          <w:pPr>
            <w:pStyle w:val="TM2"/>
            <w:tabs>
              <w:tab w:val="right" w:leader="dot" w:pos="9062"/>
            </w:tabs>
            <w:rPr>
              <w:rFonts w:eastAsiaTheme="minorEastAsia"/>
              <w:noProof/>
              <w:kern w:val="2"/>
              <w:lang w:eastAsia="fr-FR"/>
              <w14:ligatures w14:val="standardContextual"/>
            </w:rPr>
          </w:pPr>
          <w:hyperlink w:anchor="_Toc148702796" w:history="1">
            <w:r w:rsidRPr="00360A4B">
              <w:rPr>
                <w:rStyle w:val="Lienhypertexte"/>
                <w:noProof/>
              </w:rPr>
              <w:t>Impact de l'absorption</w:t>
            </w:r>
            <w:r>
              <w:rPr>
                <w:noProof/>
                <w:webHidden/>
              </w:rPr>
              <w:tab/>
            </w:r>
            <w:r>
              <w:rPr>
                <w:noProof/>
                <w:webHidden/>
              </w:rPr>
              <w:fldChar w:fldCharType="begin"/>
            </w:r>
            <w:r>
              <w:rPr>
                <w:noProof/>
                <w:webHidden/>
              </w:rPr>
              <w:instrText xml:space="preserve"> PAGEREF _Toc148702796 \h </w:instrText>
            </w:r>
            <w:r>
              <w:rPr>
                <w:noProof/>
                <w:webHidden/>
              </w:rPr>
            </w:r>
            <w:r>
              <w:rPr>
                <w:noProof/>
                <w:webHidden/>
              </w:rPr>
              <w:fldChar w:fldCharType="separate"/>
            </w:r>
            <w:r>
              <w:rPr>
                <w:noProof/>
                <w:webHidden/>
              </w:rPr>
              <w:t>5</w:t>
            </w:r>
            <w:r>
              <w:rPr>
                <w:noProof/>
                <w:webHidden/>
              </w:rPr>
              <w:fldChar w:fldCharType="end"/>
            </w:r>
          </w:hyperlink>
        </w:p>
        <w:p w14:paraId="749598C1" w14:textId="3350689F" w:rsidR="00785AB5" w:rsidRDefault="00785AB5">
          <w:pPr>
            <w:pStyle w:val="TM2"/>
            <w:tabs>
              <w:tab w:val="right" w:leader="dot" w:pos="9062"/>
            </w:tabs>
            <w:rPr>
              <w:rFonts w:eastAsiaTheme="minorEastAsia"/>
              <w:noProof/>
              <w:kern w:val="2"/>
              <w:lang w:eastAsia="fr-FR"/>
              <w14:ligatures w14:val="standardContextual"/>
            </w:rPr>
          </w:pPr>
          <w:hyperlink w:anchor="_Toc148702797" w:history="1">
            <w:r w:rsidRPr="00360A4B">
              <w:rPr>
                <w:rStyle w:val="Lienhypertexte"/>
                <w:noProof/>
              </w:rPr>
              <w:t>Distribution angulaire du rayonnement diffusé</w:t>
            </w:r>
            <w:r>
              <w:rPr>
                <w:noProof/>
                <w:webHidden/>
              </w:rPr>
              <w:tab/>
            </w:r>
            <w:r>
              <w:rPr>
                <w:noProof/>
                <w:webHidden/>
              </w:rPr>
              <w:fldChar w:fldCharType="begin"/>
            </w:r>
            <w:r>
              <w:rPr>
                <w:noProof/>
                <w:webHidden/>
              </w:rPr>
              <w:instrText xml:space="preserve"> PAGEREF _Toc148702797 \h </w:instrText>
            </w:r>
            <w:r>
              <w:rPr>
                <w:noProof/>
                <w:webHidden/>
              </w:rPr>
            </w:r>
            <w:r>
              <w:rPr>
                <w:noProof/>
                <w:webHidden/>
              </w:rPr>
              <w:fldChar w:fldCharType="separate"/>
            </w:r>
            <w:r>
              <w:rPr>
                <w:noProof/>
                <w:webHidden/>
              </w:rPr>
              <w:t>5</w:t>
            </w:r>
            <w:r>
              <w:rPr>
                <w:noProof/>
                <w:webHidden/>
              </w:rPr>
              <w:fldChar w:fldCharType="end"/>
            </w:r>
          </w:hyperlink>
        </w:p>
        <w:p w14:paraId="2268661A" w14:textId="2A1215DB"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862AB75" w14:textId="3D461E5A" w:rsidR="00E42A12" w:rsidRDefault="00454729" w:rsidP="00E42A12">
      <w:bookmarkStart w:id="2" w:name="_Toc148535513"/>
      <w:bookmarkStart w:id="3" w:name="_Toc148702789"/>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E42A12">
        <w:t>En </w:t>
      </w:r>
      <w:r w:rsidR="00E42A12" w:rsidRPr="00E42A12">
        <w:t>optique ondulatoire</w:t>
      </w:r>
      <w:r w:rsidR="00E42A12">
        <w:t>, la </w:t>
      </w:r>
      <w:r w:rsidR="00E42A12" w:rsidRPr="00E42A12">
        <w:t>théorie de Mie</w:t>
      </w:r>
      <w:r w:rsidR="00E42A12">
        <w:t>, ou </w:t>
      </w:r>
      <w:r w:rsidR="00E42A12" w:rsidRPr="00E42A12">
        <w:t>solution de Mie</w:t>
      </w:r>
      <w:r w:rsidR="00E42A12">
        <w:t>, est une solution particulière des </w:t>
      </w:r>
      <w:r w:rsidR="00E42A12" w:rsidRPr="00E42A12">
        <w:t>équations de Maxwell</w:t>
      </w:r>
      <w:r w:rsidR="00E42A12">
        <w:t> décrivant la </w:t>
      </w:r>
      <w:r w:rsidR="00E42A12" w:rsidRPr="00E42A12">
        <w:t>diffusion élastique</w:t>
      </w:r>
      <w:r w:rsidR="00E42A12">
        <w:t> – c'est-à-dire sans changement de longueur d'onde – d'une onde électromagnétique plane par une </w:t>
      </w:r>
      <w:r w:rsidR="00E42A12" w:rsidRPr="00E42A12">
        <w:t>particule</w:t>
      </w:r>
      <w:r w:rsidR="00E42A12">
        <w:t> </w:t>
      </w:r>
      <w:r w:rsidR="00E42A12" w:rsidRPr="00E42A12">
        <w:t>sphérique</w:t>
      </w:r>
      <w:r w:rsidR="00E42A12">
        <w:t> caractérisée par son diamètre et son </w:t>
      </w:r>
      <w:r w:rsidR="00E42A12" w:rsidRPr="00E42A12">
        <w:t>indice de réfraction</w:t>
      </w:r>
      <w:r w:rsidR="00E42A12">
        <w:t> complexe. Elle tire son nom du physicien allemand </w:t>
      </w:r>
      <w:r w:rsidR="00E42A12" w:rsidRPr="00E42A12">
        <w:t>Gustav Mie</w:t>
      </w:r>
      <w:r w:rsidR="00E42A12">
        <w:t>, qui la décrivit en détail en </w:t>
      </w:r>
      <w:r w:rsidR="00E42A12" w:rsidRPr="00E42A12">
        <w:t>1908</w:t>
      </w:r>
      <w:r w:rsidR="00E42A12">
        <w:t>. Le travail de son prédécesseur </w:t>
      </w:r>
      <w:r w:rsidR="00E42A12" w:rsidRPr="00E42A12">
        <w:t>Ludvig Lorenz</w:t>
      </w:r>
      <w:r w:rsidR="00E42A12">
        <w:t> est aujourd'hui reconnu comme « empiriquement équivalent »</w:t>
      </w:r>
      <w:r w:rsidR="00E42A12" w:rsidRPr="00E42A12">
        <w:t>1</w:t>
      </w:r>
      <w:r w:rsidR="00E42A12">
        <w:t> et l'on parle parfois de la </w:t>
      </w:r>
      <w:r w:rsidR="00E42A12" w:rsidRPr="00E42A12">
        <w:t>théorie de Lorenz-Mie</w:t>
      </w:r>
      <w:r w:rsidR="00E42A12">
        <w:t>. Elle reçut de nombreux apports du physicien </w:t>
      </w:r>
      <w:r w:rsidR="00E42A12" w:rsidRPr="00E42A12">
        <w:t>Peter Debye</w:t>
      </w:r>
      <w:r w:rsidR="00E42A12">
        <w:t> dans les années qui suivirent.</w:t>
      </w:r>
    </w:p>
    <w:p w14:paraId="7C58A468" w14:textId="270387EA" w:rsidR="00E42A12" w:rsidRPr="00E42A12" w:rsidRDefault="00E42A12" w:rsidP="00E42A12">
      <w:pPr>
        <w:rPr>
          <w:rFonts w:cstheme="minorHAnsi"/>
        </w:rPr>
      </w:pPr>
      <w:r w:rsidRPr="00E42A12">
        <w:rPr>
          <w:rFonts w:cstheme="minorHAnsi"/>
        </w:rPr>
        <w:t>La théorie de Mie s'applique par exemple à des gouttes d'eau de taille macroscopique impliquées dans des </w:t>
      </w:r>
      <w:r w:rsidRPr="00785AB5">
        <w:rPr>
          <w:rFonts w:cstheme="minorHAnsi"/>
        </w:rPr>
        <w:t>phénomènes optiques météorologiques</w:t>
      </w:r>
      <w:r w:rsidRPr="00E42A12">
        <w:rPr>
          <w:rFonts w:cstheme="minorHAnsi"/>
        </w:rPr>
        <w:t> tels que la formation des </w:t>
      </w:r>
      <w:r w:rsidRPr="00785AB5">
        <w:rPr>
          <w:rFonts w:cstheme="minorHAnsi"/>
        </w:rPr>
        <w:t>arcs-en-ciel</w:t>
      </w:r>
      <w:r w:rsidRPr="00E42A12">
        <w:rPr>
          <w:rFonts w:cstheme="minorHAnsi"/>
        </w:rPr>
        <w:t>, des </w:t>
      </w:r>
      <w:r w:rsidRPr="00785AB5">
        <w:rPr>
          <w:rFonts w:cstheme="minorHAnsi"/>
        </w:rPr>
        <w:t>couronnes</w:t>
      </w:r>
      <w:r w:rsidRPr="00E42A12">
        <w:rPr>
          <w:rFonts w:cstheme="minorHAnsi"/>
        </w:rPr>
        <w:t> ou des </w:t>
      </w:r>
      <w:r w:rsidRPr="00785AB5">
        <w:rPr>
          <w:rFonts w:cstheme="minorHAnsi"/>
        </w:rPr>
        <w:t>gloires</w:t>
      </w:r>
      <w:r w:rsidRPr="00E42A12">
        <w:rPr>
          <w:rFonts w:cstheme="minorHAnsi"/>
        </w:rPr>
        <w:t>, mais on peut également l'appliquer à des particules microscopiques telles que des </w:t>
      </w:r>
      <w:r w:rsidRPr="00785AB5">
        <w:rPr>
          <w:rFonts w:cstheme="minorHAnsi"/>
        </w:rPr>
        <w:t>molécules</w:t>
      </w:r>
      <w:r w:rsidRPr="00E42A12">
        <w:rPr>
          <w:rFonts w:cstheme="minorHAnsi"/>
        </w:rPr>
        <w:t>, en remplaçant l'indice de réfraction par la </w:t>
      </w:r>
      <w:r w:rsidRPr="00785AB5">
        <w:rPr>
          <w:rFonts w:cstheme="minorHAnsi"/>
        </w:rPr>
        <w:t>polarisabilité</w:t>
      </w:r>
      <w:r w:rsidRPr="00E42A12">
        <w:rPr>
          <w:rFonts w:cstheme="minorHAnsi"/>
        </w:rPr>
        <w:t> de la molécule grâce à l'</w:t>
      </w:r>
      <w:r w:rsidRPr="00785AB5">
        <w:rPr>
          <w:rFonts w:cstheme="minorHAnsi"/>
        </w:rPr>
        <w:t>équation de Lorentz et Lorenz</w:t>
      </w:r>
      <w:r w:rsidRPr="00E42A12">
        <w:rPr>
          <w:rFonts w:cstheme="minorHAnsi"/>
        </w:rPr>
        <w:t>. Le cas des petites particules correspond à la </w:t>
      </w:r>
      <w:r w:rsidRPr="00785AB5">
        <w:rPr>
          <w:rFonts w:cstheme="minorHAnsi"/>
        </w:rPr>
        <w:t>diffusion de Rayleigh</w:t>
      </w:r>
      <w:r w:rsidRPr="00E42A12">
        <w:rPr>
          <w:rFonts w:cstheme="minorHAnsi"/>
        </w:rPr>
        <w:t> qui donne les mêmes résultats que la théorie de Mie jusqu'à des rayons de l'ordre de </w:t>
      </w:r>
      <w:r w:rsidRPr="00E42A12">
        <w:rPr>
          <w:rStyle w:val="frac"/>
          <w:rFonts w:cstheme="minorHAnsi"/>
          <w:i/>
          <w:iCs/>
          <w:vertAlign w:val="superscript"/>
        </w:rPr>
        <w:t>λ</w:t>
      </w:r>
      <w:r w:rsidRPr="00E42A12">
        <w:rPr>
          <w:rStyle w:val="frac"/>
          <w:rFonts w:cstheme="minorHAnsi"/>
        </w:rPr>
        <w:t>⁄</w:t>
      </w:r>
      <w:r w:rsidRPr="00E42A12">
        <w:rPr>
          <w:rStyle w:val="frac"/>
          <w:rFonts w:cstheme="minorHAnsi"/>
          <w:vertAlign w:val="subscript"/>
        </w:rPr>
        <w:t>10</w:t>
      </w:r>
      <w:r w:rsidRPr="00E42A12">
        <w:rPr>
          <w:rFonts w:cstheme="minorHAnsi"/>
        </w:rPr>
        <w:t>. Pour les plus grandes particules, la théorie exacte de Mie s'écarte notablement des résultats de Rayleigh. On parle ainsi de diffusion de Mie pour décrire les phénomènes qualitativement différents observés dans le cas de sphères de taille comparable ou supérieure à la longueur d'onde </w:t>
      </w:r>
      <w:r w:rsidRPr="00E42A12">
        <w:rPr>
          <w:rStyle w:val="texhtml"/>
          <w:rFonts w:cstheme="minorHAnsi"/>
          <w:i/>
          <w:iCs/>
        </w:rPr>
        <w:t>λ</w:t>
      </w:r>
      <w:r w:rsidRPr="00E42A12">
        <w:rPr>
          <w:rFonts w:cstheme="minorHAnsi"/>
        </w:rPr>
        <w:t>.</w:t>
      </w:r>
    </w:p>
    <w:p w14:paraId="62883228" w14:textId="6FA82230" w:rsidR="00DD47C7" w:rsidRDefault="00DD47C7" w:rsidP="00E42A12"/>
    <w:p w14:paraId="738B6908" w14:textId="48838647" w:rsidR="00E42A12" w:rsidRPr="00E42A12" w:rsidRDefault="00E42A12" w:rsidP="00E42A12">
      <w:pPr>
        <w:pStyle w:val="Titre2"/>
      </w:pPr>
      <w:bookmarkStart w:id="4" w:name="_Toc148702790"/>
      <w:r w:rsidRPr="00E42A12">
        <w:drawing>
          <wp:anchor distT="0" distB="0" distL="114300" distR="114300" simplePos="0" relativeHeight="251658240" behindDoc="0" locked="0" layoutInCell="1" allowOverlap="1" wp14:anchorId="67A9AE2A" wp14:editId="1CB9DB4F">
            <wp:simplePos x="0" y="0"/>
            <wp:positionH relativeFrom="margin">
              <wp:align>right</wp:align>
            </wp:positionH>
            <wp:positionV relativeFrom="paragraph">
              <wp:posOffset>283845</wp:posOffset>
            </wp:positionV>
            <wp:extent cx="2095500" cy="1569720"/>
            <wp:effectExtent l="0" t="0" r="0" b="0"/>
            <wp:wrapSquare wrapText="bothSides"/>
            <wp:docPr id="482349886"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Pr="00E42A12">
        <w:rPr>
          <w:rStyle w:val="mw-headline"/>
        </w:rPr>
        <w:t>Géométrie de la diffusion</w:t>
      </w:r>
      <w:bookmarkEnd w:id="4"/>
    </w:p>
    <w:p w14:paraId="0450782C" w14:textId="7FEEC92D" w:rsidR="00E42A12" w:rsidRPr="00E42A12" w:rsidRDefault="00E42A12" w:rsidP="00E42A12">
      <w:pPr>
        <w:rPr>
          <w:rFonts w:cstheme="minorHAnsi"/>
        </w:rPr>
      </w:pPr>
      <w:r w:rsidRPr="00E42A12">
        <w:rPr>
          <w:rFonts w:cstheme="minorHAnsi"/>
        </w:rPr>
        <w:t>Dans la diffusion de la lumière résolue par la théorie de Mie, une </w:t>
      </w:r>
      <w:r w:rsidRPr="00785AB5">
        <w:rPr>
          <w:rFonts w:cstheme="minorHAnsi"/>
        </w:rPr>
        <w:t>onde plane</w:t>
      </w:r>
      <w:r w:rsidRPr="00E42A12">
        <w:rPr>
          <w:rFonts w:cstheme="minorHAnsi"/>
        </w:rPr>
        <w:t> monochromatique de </w:t>
      </w:r>
      <w:r w:rsidRPr="00785AB5">
        <w:rPr>
          <w:rFonts w:cstheme="minorHAnsi"/>
        </w:rPr>
        <w:t>vecteur d'onde</w:t>
      </w:r>
      <w:r w:rsidRPr="00E42A12">
        <w:rPr>
          <w:rFonts w:cstheme="minorHAnsi"/>
        </w:rPr>
        <w:t> </w:t>
      </w:r>
      <w:r w:rsidRPr="00E42A12">
        <w:rPr>
          <w:rStyle w:val="texhtml"/>
          <w:rFonts w:cstheme="minorHAnsi"/>
          <w:i/>
          <w:iCs/>
        </w:rPr>
        <w:t>k</w:t>
      </w:r>
      <w:r w:rsidRPr="00E42A12">
        <w:rPr>
          <w:rStyle w:val="texhtml"/>
          <w:rFonts w:cstheme="minorHAnsi"/>
        </w:rPr>
        <w:t> = </w:t>
      </w:r>
      <w:r w:rsidRPr="00E42A12">
        <w:rPr>
          <w:rStyle w:val="frac"/>
          <w:rFonts w:cstheme="minorHAnsi"/>
          <w:vertAlign w:val="superscript"/>
        </w:rPr>
        <w:t>2π</w:t>
      </w:r>
      <w:r w:rsidRPr="00E42A12">
        <w:rPr>
          <w:rStyle w:val="frac"/>
          <w:rFonts w:cstheme="minorHAnsi"/>
        </w:rPr>
        <w:t>⁄</w:t>
      </w:r>
      <w:r w:rsidRPr="00E42A12">
        <w:rPr>
          <w:rStyle w:val="frac"/>
          <w:rFonts w:cstheme="minorHAnsi"/>
          <w:i/>
          <w:iCs/>
          <w:vertAlign w:val="subscript"/>
        </w:rPr>
        <w:t>λ</w:t>
      </w:r>
      <w:r w:rsidRPr="00E42A12">
        <w:rPr>
          <w:rFonts w:cstheme="minorHAnsi"/>
        </w:rPr>
        <w:t> se propage dans un milieu d'</w:t>
      </w:r>
      <w:r w:rsidRPr="00785AB5">
        <w:rPr>
          <w:rFonts w:cstheme="minorHAnsi"/>
        </w:rPr>
        <w:t>indice de réfraction</w:t>
      </w:r>
      <w:r w:rsidRPr="00E42A12">
        <w:rPr>
          <w:rFonts w:cstheme="minorHAnsi"/>
        </w:rPr>
        <w:t> </w:t>
      </w:r>
      <w:r w:rsidRPr="00E42A12">
        <w:rPr>
          <w:rStyle w:val="texhtml"/>
          <w:rFonts w:cstheme="minorHAnsi"/>
          <w:i/>
          <w:iCs/>
        </w:rPr>
        <w:t>N</w:t>
      </w:r>
      <w:r w:rsidRPr="00E42A12">
        <w:rPr>
          <w:rFonts w:cstheme="minorHAnsi"/>
        </w:rPr>
        <w:t>. Cette onde incidente rencontre une sphère de rayon </w:t>
      </w:r>
      <w:r w:rsidRPr="00E42A12">
        <w:rPr>
          <w:rStyle w:val="texhtml"/>
          <w:rFonts w:cstheme="minorHAnsi"/>
          <w:i/>
          <w:iCs/>
        </w:rPr>
        <w:t>a</w:t>
      </w:r>
      <w:r w:rsidRPr="00E42A12">
        <w:rPr>
          <w:rFonts w:cstheme="minorHAnsi"/>
        </w:rPr>
        <w:t> et d'indice de réfraction </w:t>
      </w:r>
      <w:r w:rsidRPr="00E42A12">
        <w:rPr>
          <w:rStyle w:val="texhtml"/>
          <w:rFonts w:cstheme="minorHAnsi"/>
          <w:i/>
          <w:iCs/>
        </w:rPr>
        <w:t>N</w:t>
      </w:r>
      <w:r w:rsidRPr="00E42A12">
        <w:rPr>
          <w:rStyle w:val="texhtml"/>
          <w:rFonts w:cstheme="minorHAnsi"/>
          <w:i/>
          <w:iCs/>
          <w:vertAlign w:val="subscript"/>
        </w:rPr>
        <w:t>1</w:t>
      </w:r>
      <w:r w:rsidRPr="00E42A12">
        <w:rPr>
          <w:rFonts w:cstheme="minorHAnsi"/>
        </w:rPr>
        <w:t>. À la suite de l'interaction une onde est réfléchie, ou plus exactement diffusée par la sphère dans tout l'espace. Pour connaître son amplitude en un point </w:t>
      </w:r>
      <w:r w:rsidRPr="00E42A12">
        <w:rPr>
          <w:rStyle w:val="texhtml"/>
          <w:rFonts w:cstheme="minorHAnsi"/>
          <w:i/>
          <w:iCs/>
        </w:rPr>
        <w:t>P</w:t>
      </w:r>
      <w:r w:rsidRPr="00E42A12">
        <w:rPr>
          <w:rFonts w:cstheme="minorHAnsi"/>
        </w:rPr>
        <w:t> situé à l'extérieur de la sphère, on repère celui-ci en coordonnées sphériques </w:t>
      </w:r>
      <w:r w:rsidRPr="00E42A12">
        <w:rPr>
          <w:rStyle w:val="texhtml"/>
          <w:rFonts w:cstheme="minorHAnsi"/>
        </w:rPr>
        <w:t>(</w:t>
      </w:r>
      <w:r w:rsidRPr="00E42A12">
        <w:rPr>
          <w:rStyle w:val="texhtml"/>
          <w:rFonts w:cstheme="minorHAnsi"/>
          <w:i/>
          <w:iCs/>
        </w:rPr>
        <w:t>r</w:t>
      </w:r>
      <w:r w:rsidRPr="00E42A12">
        <w:rPr>
          <w:rStyle w:val="texhtml"/>
          <w:rFonts w:cstheme="minorHAnsi"/>
        </w:rPr>
        <w:t>, </w:t>
      </w:r>
      <w:r w:rsidRPr="00E42A12">
        <w:rPr>
          <w:rStyle w:val="texhtml"/>
          <w:rFonts w:cstheme="minorHAnsi"/>
          <w:i/>
          <w:iCs/>
        </w:rPr>
        <w:t>θ</w:t>
      </w:r>
      <w:r w:rsidRPr="00E42A12">
        <w:rPr>
          <w:rStyle w:val="texhtml"/>
          <w:rFonts w:cstheme="minorHAnsi"/>
        </w:rPr>
        <w:t>, </w:t>
      </w:r>
      <w:r w:rsidRPr="00E42A12">
        <w:rPr>
          <w:rStyle w:val="texhtml"/>
          <w:rFonts w:cstheme="minorHAnsi"/>
          <w:i/>
          <w:iCs/>
        </w:rPr>
        <w:t>φ</w:t>
      </w:r>
      <w:r w:rsidRPr="00E42A12">
        <w:rPr>
          <w:rStyle w:val="texhtml"/>
          <w:rFonts w:cstheme="minorHAnsi"/>
        </w:rPr>
        <w:t>)</w:t>
      </w:r>
      <w:r w:rsidRPr="00E42A12">
        <w:rPr>
          <w:rFonts w:cstheme="minorHAnsi"/>
        </w:rPr>
        <w:t>. Comme le montre le schéma ci-contre où </w:t>
      </w:r>
      <w:r w:rsidRPr="00E42A12">
        <w:rPr>
          <w:rStyle w:val="texhtml"/>
          <w:rFonts w:cstheme="minorHAnsi"/>
          <w:i/>
          <w:iCs/>
        </w:rPr>
        <w:t>φ</w:t>
      </w:r>
      <w:r w:rsidRPr="00E42A12">
        <w:rPr>
          <w:rStyle w:val="texhtml"/>
          <w:rFonts w:cstheme="minorHAnsi"/>
        </w:rPr>
        <w:t> = 0</w:t>
      </w:r>
      <w:r w:rsidRPr="00E42A12">
        <w:rPr>
          <w:rFonts w:cstheme="minorHAnsi"/>
        </w:rPr>
        <w:t>, le problème est invariant par rotation selon l'angle </w:t>
      </w:r>
      <w:r w:rsidRPr="00E42A12">
        <w:rPr>
          <w:rStyle w:val="texhtml"/>
          <w:rFonts w:cstheme="minorHAnsi"/>
          <w:i/>
          <w:iCs/>
        </w:rPr>
        <w:t>φ</w:t>
      </w:r>
      <w:r w:rsidRPr="00E42A12">
        <w:rPr>
          <w:rFonts w:cstheme="minorHAnsi"/>
        </w:rPr>
        <w:t> tant que l'on ne considère pas la </w:t>
      </w:r>
      <w:r w:rsidRPr="00785AB5">
        <w:rPr>
          <w:rFonts w:cstheme="minorHAnsi"/>
        </w:rPr>
        <w:t>polarisation</w:t>
      </w:r>
      <w:r w:rsidRPr="00E42A12">
        <w:rPr>
          <w:rFonts w:cstheme="minorHAnsi"/>
        </w:rPr>
        <w:t> de l'onde. On peut donc choisir soit de partir d'une polarisation fixée et de laisser </w:t>
      </w:r>
      <w:r w:rsidRPr="00E42A12">
        <w:rPr>
          <w:rStyle w:val="texhtml"/>
          <w:rFonts w:cstheme="minorHAnsi"/>
          <w:i/>
          <w:iCs/>
        </w:rPr>
        <w:t>φ</w:t>
      </w:r>
      <w:r w:rsidRPr="00E42A12">
        <w:rPr>
          <w:rFonts w:cstheme="minorHAnsi"/>
        </w:rPr>
        <w:t> variable – c'est ce qui est fait dans la dérivation de la solution de Mie – soit considérer que </w:t>
      </w:r>
      <w:r w:rsidRPr="00E42A12">
        <w:rPr>
          <w:rStyle w:val="texhtml"/>
          <w:rFonts w:cstheme="minorHAnsi"/>
          <w:i/>
          <w:iCs/>
        </w:rPr>
        <w:t>φ</w:t>
      </w:r>
      <w:r w:rsidRPr="00E42A12">
        <w:rPr>
          <w:rFonts w:cstheme="minorHAnsi"/>
        </w:rPr>
        <w:t> est nul et utiliser une polarisation variable – c'est ce qui est fait dans l'exploitation des résultats.</w:t>
      </w:r>
    </w:p>
    <w:p w14:paraId="1E1ED0CE" w14:textId="6B1C1E06" w:rsidR="00E42A12" w:rsidRPr="00E42A12" w:rsidRDefault="00E42A12" w:rsidP="00E42A12">
      <w:pPr>
        <w:rPr>
          <w:rFonts w:cstheme="minorHAnsi"/>
        </w:rPr>
      </w:pPr>
      <w:r w:rsidRPr="00E42A12">
        <w:rPr>
          <w:rFonts w:cstheme="minorHAnsi"/>
        </w:rPr>
        <w:t>Le plan de diffusion est le plan donné par la direction de </w:t>
      </w:r>
      <w:r w:rsidRPr="00E42A12">
        <w:rPr>
          <w:rStyle w:val="texhtml"/>
          <w:rFonts w:cstheme="minorHAnsi"/>
        </w:rPr>
        <w:t>k</w:t>
      </w:r>
      <w:r w:rsidRPr="00E42A12">
        <w:rPr>
          <w:rFonts w:cstheme="minorHAnsi"/>
        </w:rPr>
        <w:t> et par la direction d'observation </w:t>
      </w:r>
      <w:r w:rsidRPr="00E42A12">
        <w:rPr>
          <w:rStyle w:val="texhtml"/>
          <w:rFonts w:cstheme="minorHAnsi"/>
        </w:rPr>
        <w:t>e</w:t>
      </w:r>
      <w:r w:rsidRPr="00E42A12">
        <w:rPr>
          <w:rStyle w:val="texhtml"/>
          <w:rFonts w:cstheme="minorHAnsi"/>
          <w:vertAlign w:val="subscript"/>
        </w:rPr>
        <w:t>r</w:t>
      </w:r>
      <w:r w:rsidRPr="00E42A12">
        <w:rPr>
          <w:rFonts w:cstheme="minorHAnsi"/>
        </w:rPr>
        <w:t>. Il correspond donc au plan du schéma et permet de repérer la polarisation de l'onde. Une polarisation est dite perpendiculaire si elle est orientée selon </w:t>
      </w:r>
      <w:proofErr w:type="spellStart"/>
      <w:r w:rsidRPr="00E42A12">
        <w:rPr>
          <w:rStyle w:val="texhtml"/>
          <w:rFonts w:cstheme="minorHAnsi"/>
        </w:rPr>
        <w:t>e</w:t>
      </w:r>
      <w:r w:rsidRPr="00E42A12">
        <w:rPr>
          <w:rStyle w:val="texhtml"/>
          <w:rFonts w:cstheme="minorHAnsi"/>
          <w:vertAlign w:val="subscript"/>
        </w:rPr>
        <w:t>y</w:t>
      </w:r>
      <w:proofErr w:type="spellEnd"/>
      <w:r w:rsidRPr="00E42A12">
        <w:rPr>
          <w:rFonts w:cstheme="minorHAnsi"/>
        </w:rPr>
        <w:t> et parallèle si elle est dans le plan du schéma. Si l'on connaît les </w:t>
      </w:r>
      <w:r w:rsidRPr="00785AB5">
        <w:rPr>
          <w:rFonts w:cstheme="minorHAnsi"/>
        </w:rPr>
        <w:t>amplitudes de diffusion</w:t>
      </w:r>
      <w:r w:rsidRPr="00E42A12">
        <w:rPr>
          <w:rFonts w:cstheme="minorHAnsi"/>
        </w:rPr>
        <w:t> pour ces deux polarisations, notées respectivement </w:t>
      </w:r>
      <w:r w:rsidRPr="00E42A12">
        <w:rPr>
          <w:rStyle w:val="texhtml"/>
          <w:rFonts w:cstheme="minorHAnsi"/>
          <w:i/>
          <w:iCs/>
        </w:rPr>
        <w:t>S</w:t>
      </w:r>
      <w:r w:rsidRPr="00E42A12">
        <w:rPr>
          <w:rStyle w:val="texhtml"/>
          <w:rFonts w:cstheme="minorHAnsi"/>
          <w:vertAlign w:val="subscript"/>
        </w:rPr>
        <w:t>1</w:t>
      </w:r>
      <w:r w:rsidRPr="00E42A12">
        <w:rPr>
          <w:rStyle w:val="texhtml"/>
          <w:rFonts w:cstheme="minorHAnsi"/>
        </w:rPr>
        <w:t>(</w:t>
      </w:r>
      <w:r w:rsidRPr="00E42A12">
        <w:rPr>
          <w:rStyle w:val="texhtml"/>
          <w:rFonts w:cstheme="minorHAnsi"/>
          <w:i/>
          <w:iCs/>
        </w:rPr>
        <w:t>θ</w:t>
      </w:r>
      <w:r w:rsidRPr="00E42A12">
        <w:rPr>
          <w:rStyle w:val="texhtml"/>
          <w:rFonts w:cstheme="minorHAnsi"/>
        </w:rPr>
        <w:t>)</w:t>
      </w:r>
      <w:r w:rsidRPr="00E42A12">
        <w:rPr>
          <w:rFonts w:cstheme="minorHAnsi"/>
        </w:rPr>
        <w:t> et </w:t>
      </w:r>
      <w:r w:rsidRPr="00E42A12">
        <w:rPr>
          <w:rStyle w:val="texhtml"/>
          <w:rFonts w:cstheme="minorHAnsi"/>
          <w:i/>
          <w:iCs/>
        </w:rPr>
        <w:t>S</w:t>
      </w:r>
      <w:r w:rsidRPr="00E42A12">
        <w:rPr>
          <w:rStyle w:val="texhtml"/>
          <w:rFonts w:cstheme="minorHAnsi"/>
          <w:vertAlign w:val="subscript"/>
        </w:rPr>
        <w:t>2</w:t>
      </w:r>
      <w:r w:rsidRPr="00E42A12">
        <w:rPr>
          <w:rStyle w:val="texhtml"/>
          <w:rFonts w:cstheme="minorHAnsi"/>
        </w:rPr>
        <w:t>(</w:t>
      </w:r>
      <w:r w:rsidRPr="00E42A12">
        <w:rPr>
          <w:rStyle w:val="texhtml"/>
          <w:rFonts w:cstheme="minorHAnsi"/>
          <w:i/>
          <w:iCs/>
        </w:rPr>
        <w:t>θ</w:t>
      </w:r>
      <w:r w:rsidRPr="00E42A12">
        <w:rPr>
          <w:rStyle w:val="texhtml"/>
          <w:rFonts w:cstheme="minorHAnsi"/>
        </w:rPr>
        <w:t>)</w:t>
      </w:r>
      <w:r w:rsidRPr="00E42A12">
        <w:rPr>
          <w:rFonts w:cstheme="minorHAnsi"/>
        </w:rPr>
        <w:t>, il est possible de prévoir la diffusion pour n'importe quelle polarisation incidente en la décomposant sur ces deux polarisations de base.</w:t>
      </w:r>
    </w:p>
    <w:p w14:paraId="1F3D37BE" w14:textId="77777777" w:rsidR="00E42A12" w:rsidRPr="00E42A12" w:rsidRDefault="00E42A12" w:rsidP="00E42A12">
      <w:pPr>
        <w:rPr>
          <w:rFonts w:cstheme="minorHAnsi"/>
        </w:rPr>
      </w:pPr>
      <w:r w:rsidRPr="00E42A12">
        <w:rPr>
          <w:rFonts w:cstheme="minorHAnsi"/>
        </w:rPr>
        <w:t>Outre la polarisation de l'onde, la diffusion est entièrement déterminée par le paramètre de taille </w:t>
      </w:r>
      <w:r w:rsidRPr="00E42A12">
        <w:rPr>
          <w:rStyle w:val="texhtml"/>
          <w:rFonts w:cstheme="minorHAnsi"/>
          <w:i/>
          <w:iCs/>
        </w:rPr>
        <w:t>x</w:t>
      </w:r>
      <w:r w:rsidRPr="00E42A12">
        <w:rPr>
          <w:rFonts w:cstheme="minorHAnsi"/>
        </w:rPr>
        <w:t> et le rapport d'indice </w:t>
      </w:r>
      <w:r w:rsidRPr="00E42A12">
        <w:rPr>
          <w:rStyle w:val="texhtml"/>
          <w:rFonts w:cstheme="minorHAnsi"/>
          <w:i/>
          <w:iCs/>
        </w:rPr>
        <w:t>m</w:t>
      </w:r>
      <w:r w:rsidRPr="00E42A12">
        <w:rPr>
          <w:rFonts w:cstheme="minorHAnsi"/>
        </w:rPr>
        <w:t> définis par :</w:t>
      </w:r>
    </w:p>
    <w:p w14:paraId="0A313B46" w14:textId="30E8A11A" w:rsidR="00E42A12" w:rsidRPr="000B6220" w:rsidRDefault="00E42A12" w:rsidP="00E42A12">
      <w:r w:rsidRPr="00E42A12">
        <w:drawing>
          <wp:inline distT="0" distB="0" distL="0" distR="0" wp14:anchorId="67793D68" wp14:editId="3135AC41">
            <wp:extent cx="2385267" cy="434378"/>
            <wp:effectExtent l="0" t="0" r="0" b="3810"/>
            <wp:docPr id="1916029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29587" name=""/>
                    <pic:cNvPicPr/>
                  </pic:nvPicPr>
                  <pic:blipFill>
                    <a:blip r:embed="rId10"/>
                    <a:stretch>
                      <a:fillRect/>
                    </a:stretch>
                  </pic:blipFill>
                  <pic:spPr>
                    <a:xfrm>
                      <a:off x="0" y="0"/>
                      <a:ext cx="2385267" cy="434378"/>
                    </a:xfrm>
                    <a:prstGeom prst="rect">
                      <a:avLst/>
                    </a:prstGeom>
                  </pic:spPr>
                </pic:pic>
              </a:graphicData>
            </a:graphic>
          </wp:inline>
        </w:drawing>
      </w:r>
    </w:p>
    <w:p w14:paraId="520FC047" w14:textId="103BD467" w:rsidR="00785AB5" w:rsidRPr="00785AB5" w:rsidRDefault="00785AB5" w:rsidP="00785AB5">
      <w:pPr>
        <w:pStyle w:val="Titre2"/>
      </w:pPr>
      <w:bookmarkStart w:id="5" w:name="_Toc148702791"/>
      <w:r w:rsidRPr="00785AB5">
        <w:rPr>
          <w:rStyle w:val="mw-headline"/>
        </w:rPr>
        <w:lastRenderedPageBreak/>
        <w:t>Section efficace de diffusion</w:t>
      </w:r>
      <w:bookmarkEnd w:id="5"/>
    </w:p>
    <w:p w14:paraId="4047AB48" w14:textId="537D838B" w:rsidR="00785AB5" w:rsidRPr="00785AB5" w:rsidRDefault="00785AB5" w:rsidP="00785AB5">
      <w:pPr>
        <w:rPr>
          <w:rFonts w:cstheme="minorHAnsi"/>
        </w:rPr>
      </w:pPr>
      <w:r w:rsidRPr="00785AB5">
        <w:rPr>
          <w:rFonts w:cstheme="minorHAnsi"/>
        </w:rPr>
        <w:t>La sphère a une dimension finie alors que l'onde plane incidente a une extension en théorie infinie. La section efficace de diffusion </w:t>
      </w:r>
      <w:proofErr w:type="spellStart"/>
      <w:r w:rsidRPr="00785AB5">
        <w:rPr>
          <w:rStyle w:val="texhtml"/>
          <w:rFonts w:cstheme="minorHAnsi"/>
          <w:i/>
          <w:iCs/>
        </w:rPr>
        <w:t>σ</w:t>
      </w:r>
      <w:r w:rsidRPr="00785AB5">
        <w:rPr>
          <w:rStyle w:val="texhtml"/>
          <w:rFonts w:cstheme="minorHAnsi"/>
          <w:vertAlign w:val="subscript"/>
        </w:rPr>
        <w:t>diff</w:t>
      </w:r>
      <w:proofErr w:type="spellEnd"/>
      <w:r w:rsidRPr="00785AB5">
        <w:rPr>
          <w:rFonts w:cstheme="minorHAnsi"/>
        </w:rPr>
        <w:t> permet de caractériser l'interaction entre les deux. Elle est définie comme le rapport entre la </w:t>
      </w:r>
      <w:r w:rsidRPr="00785AB5">
        <w:rPr>
          <w:rFonts w:cstheme="minorHAnsi"/>
        </w:rPr>
        <w:t>puissance</w:t>
      </w:r>
      <w:r w:rsidRPr="00785AB5">
        <w:rPr>
          <w:rFonts w:cstheme="minorHAnsi"/>
        </w:rPr>
        <w:t> diffusée (en </w:t>
      </w:r>
      <w:r w:rsidRPr="00785AB5">
        <w:rPr>
          <w:rFonts w:cstheme="minorHAnsi"/>
        </w:rPr>
        <w:t>watts</w:t>
      </w:r>
      <w:r w:rsidRPr="00785AB5">
        <w:rPr>
          <w:rFonts w:cstheme="minorHAnsi"/>
        </w:rPr>
        <w:t>) et l'</w:t>
      </w:r>
      <w:r w:rsidRPr="00785AB5">
        <w:rPr>
          <w:rFonts w:cstheme="minorHAnsi"/>
        </w:rPr>
        <w:t>irradiance</w:t>
      </w:r>
      <w:r w:rsidRPr="00785AB5">
        <w:rPr>
          <w:rFonts w:cstheme="minorHAnsi"/>
        </w:rPr>
        <w:t> de l'onde incidente (en W</w:t>
      </w:r>
      <w:r w:rsidRPr="00785AB5">
        <w:rPr>
          <w:rFonts w:ascii="Cambria Math" w:hAnsi="Cambria Math" w:cs="Cambria Math"/>
        </w:rPr>
        <w:t>⋅</w:t>
      </w:r>
      <w:r w:rsidRPr="00785AB5">
        <w:rPr>
          <w:rFonts w:cstheme="minorHAnsi"/>
        </w:rPr>
        <w:t>m</w:t>
      </w:r>
      <w:r w:rsidRPr="00785AB5">
        <w:rPr>
          <w:rFonts w:cstheme="minorHAnsi"/>
          <w:vertAlign w:val="superscript"/>
        </w:rPr>
        <w:t>−2</w:t>
      </w:r>
      <w:r w:rsidRPr="00785AB5">
        <w:rPr>
          <w:rFonts w:cstheme="minorHAnsi"/>
        </w:rPr>
        <w:t>). Intuitivement, l'ombre portée par une sphère opaque de rayon </w:t>
      </w:r>
      <w:r w:rsidRPr="00785AB5">
        <w:rPr>
          <w:rStyle w:val="texhtml"/>
          <w:rFonts w:cstheme="minorHAnsi"/>
          <w:i/>
          <w:iCs/>
        </w:rPr>
        <w:t>a</w:t>
      </w:r>
      <w:r w:rsidRPr="00785AB5">
        <w:rPr>
          <w:rFonts w:cstheme="minorHAnsi"/>
        </w:rPr>
        <w:t> est de surface </w:t>
      </w:r>
      <w:r w:rsidRPr="00785AB5">
        <w:rPr>
          <w:rStyle w:val="texhtml"/>
          <w:rFonts w:cstheme="minorHAnsi"/>
          <w:i/>
          <w:iCs/>
        </w:rPr>
        <w:t>π a</w:t>
      </w:r>
      <w:r w:rsidRPr="00785AB5">
        <w:rPr>
          <w:rStyle w:val="texhtml"/>
          <w:rFonts w:cstheme="minorHAnsi"/>
          <w:i/>
          <w:iCs/>
          <w:vertAlign w:val="superscript"/>
        </w:rPr>
        <w:t>2</w:t>
      </w:r>
      <w:r w:rsidRPr="00785AB5">
        <w:rPr>
          <w:rFonts w:cstheme="minorHAnsi"/>
        </w:rPr>
        <w:t>, aussi on compare souvent la section efficace de diffusion avec cette section droite en définissant l'efficacité de diffusion</w:t>
      </w:r>
    </w:p>
    <w:p w14:paraId="1882B044" w14:textId="4F867A28" w:rsidR="00785AB5" w:rsidRPr="00785AB5" w:rsidRDefault="00785AB5" w:rsidP="00785AB5">
      <w:pPr>
        <w:shd w:val="clear" w:color="auto" w:fill="FFFFFF"/>
        <w:spacing w:after="24"/>
        <w:rPr>
          <w:rFonts w:cstheme="minorHAnsi"/>
        </w:rPr>
      </w:pPr>
      <w:r w:rsidRPr="00785AB5">
        <w:rPr>
          <w:rStyle w:val="mwe-math-mathml-inline"/>
          <w:rFonts w:cstheme="minorHAnsi"/>
        </w:rPr>
        <w:drawing>
          <wp:inline distT="0" distB="0" distL="0" distR="0" wp14:anchorId="75092A84" wp14:editId="7BB10FEC">
            <wp:extent cx="990686" cy="396274"/>
            <wp:effectExtent l="0" t="0" r="0" b="3810"/>
            <wp:docPr id="440361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1042" name=""/>
                    <pic:cNvPicPr/>
                  </pic:nvPicPr>
                  <pic:blipFill>
                    <a:blip r:embed="rId11"/>
                    <a:stretch>
                      <a:fillRect/>
                    </a:stretch>
                  </pic:blipFill>
                  <pic:spPr>
                    <a:xfrm>
                      <a:off x="0" y="0"/>
                      <a:ext cx="990686" cy="396274"/>
                    </a:xfrm>
                    <a:prstGeom prst="rect">
                      <a:avLst/>
                    </a:prstGeom>
                  </pic:spPr>
                </pic:pic>
              </a:graphicData>
            </a:graphic>
          </wp:inline>
        </w:drawing>
      </w:r>
      <w:r w:rsidRPr="00785AB5">
        <w:rPr>
          <w:rStyle w:val="mwe-math-mathml-inline"/>
          <w:rFonts w:ascii="Tahoma" w:hAnsi="Tahoma" w:cs="Tahoma"/>
          <w:vanish/>
        </w:rPr>
        <w:t>�</w:t>
      </w:r>
      <w:r w:rsidRPr="00785AB5">
        <w:rPr>
          <w:rStyle w:val="mwe-math-mathml-inline"/>
          <w:rFonts w:cstheme="minorHAnsi"/>
          <w:vanish/>
        </w:rPr>
        <w:t>diff=</w:t>
      </w:r>
      <w:r w:rsidRPr="00785AB5">
        <w:rPr>
          <w:rStyle w:val="mwe-math-mathml-inline"/>
          <w:rFonts w:ascii="Tahoma" w:hAnsi="Tahoma" w:cs="Tahoma"/>
          <w:vanish/>
        </w:rPr>
        <w:t>�</w:t>
      </w:r>
      <w:r w:rsidRPr="00785AB5">
        <w:rPr>
          <w:rStyle w:val="mwe-math-mathml-inline"/>
          <w:rFonts w:cstheme="minorHAnsi"/>
          <w:vanish/>
        </w:rPr>
        <w:t>diff</w:t>
      </w:r>
      <w:r w:rsidRPr="00785AB5">
        <w:rPr>
          <w:rStyle w:val="mwe-math-mathml-inline"/>
          <w:rFonts w:ascii="Tahoma" w:hAnsi="Tahoma" w:cs="Tahoma"/>
          <w:vanish/>
        </w:rPr>
        <w:t>��</w:t>
      </w:r>
      <w:r w:rsidRPr="00785AB5">
        <w:rPr>
          <w:rStyle w:val="mwe-math-mathml-inline"/>
          <w:rFonts w:cstheme="minorHAnsi"/>
          <w:vanish/>
        </w:rPr>
        <w:t>2.</w:t>
      </w:r>
    </w:p>
    <w:p w14:paraId="68B0E2A3" w14:textId="77777777" w:rsidR="00785AB5" w:rsidRPr="00785AB5" w:rsidRDefault="00785AB5" w:rsidP="00785AB5">
      <w:pPr>
        <w:rPr>
          <w:rFonts w:cstheme="minorHAnsi"/>
        </w:rPr>
      </w:pPr>
      <w:r w:rsidRPr="00785AB5">
        <w:rPr>
          <w:rFonts w:cstheme="minorHAnsi"/>
        </w:rPr>
        <w:t>Le graphique de droite montre l'efficacité de diffusion calculée pour un rapport d'indice de 1.33 entre la particule et le milieu. Il permet de montrer plusieurs caractéristiques de la diffusion de Mie. Après une augmentation de </w:t>
      </w:r>
      <w:proofErr w:type="spellStart"/>
      <w:r w:rsidRPr="00785AB5">
        <w:rPr>
          <w:rStyle w:val="texhtml"/>
          <w:rFonts w:cstheme="minorHAnsi"/>
          <w:i/>
          <w:iCs/>
        </w:rPr>
        <w:t>Q</w:t>
      </w:r>
      <w:r w:rsidRPr="00785AB5">
        <w:rPr>
          <w:rStyle w:val="texhtml"/>
          <w:rFonts w:cstheme="minorHAnsi"/>
          <w:vertAlign w:val="subscript"/>
        </w:rPr>
        <w:t>diff</w:t>
      </w:r>
      <w:proofErr w:type="spellEnd"/>
      <w:r w:rsidRPr="00785AB5">
        <w:rPr>
          <w:rStyle w:val="texhtml"/>
          <w:rFonts w:cstheme="minorHAnsi"/>
        </w:rPr>
        <w:t> = 0</w:t>
      </w:r>
      <w:r w:rsidRPr="00785AB5">
        <w:rPr>
          <w:rFonts w:cstheme="minorHAnsi"/>
        </w:rPr>
        <w:t> à </w:t>
      </w:r>
      <w:proofErr w:type="spellStart"/>
      <w:r w:rsidRPr="00785AB5">
        <w:rPr>
          <w:rStyle w:val="texhtml"/>
          <w:rFonts w:cstheme="minorHAnsi"/>
          <w:i/>
          <w:iCs/>
        </w:rPr>
        <w:t>Q</w:t>
      </w:r>
      <w:r w:rsidRPr="00785AB5">
        <w:rPr>
          <w:rStyle w:val="texhtml"/>
          <w:rFonts w:cstheme="minorHAnsi"/>
          <w:vertAlign w:val="subscript"/>
        </w:rPr>
        <w:t>diff</w:t>
      </w:r>
      <w:proofErr w:type="spellEnd"/>
      <w:r w:rsidRPr="00785AB5">
        <w:rPr>
          <w:rStyle w:val="texhtml"/>
          <w:rFonts w:cstheme="minorHAnsi"/>
        </w:rPr>
        <w:t> = 4</w:t>
      </w:r>
      <w:r w:rsidRPr="00785AB5">
        <w:rPr>
          <w:rFonts w:cstheme="minorHAnsi"/>
        </w:rPr>
        <w:t>, l'efficacité de diffusion tend asymptotiquement vers 2 par des oscillations amorties. À ces oscillations de grande période se superposent des pics étroits répartis irrégulièrement. Ces caractéristiques sont présentées plus en détail ci-dessous.</w:t>
      </w:r>
    </w:p>
    <w:p w14:paraId="1E2D46E7" w14:textId="77777777" w:rsidR="00785AB5" w:rsidRDefault="00785AB5" w:rsidP="00785AB5">
      <w:r>
        <w:rPr>
          <w:noProof/>
          <w:color w:val="3366CC"/>
          <w:bdr w:val="none" w:sz="0" w:space="0" w:color="auto" w:frame="1"/>
        </w:rPr>
        <w:drawing>
          <wp:inline distT="0" distB="0" distL="0" distR="0" wp14:anchorId="4FF66F0F" wp14:editId="3C0F6ACA">
            <wp:extent cx="3147060" cy="2430780"/>
            <wp:effectExtent l="0" t="0" r="0" b="7620"/>
            <wp:docPr id="1031264278" name="Image 1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060" cy="2430780"/>
                    </a:xfrm>
                    <a:prstGeom prst="rect">
                      <a:avLst/>
                    </a:prstGeom>
                    <a:noFill/>
                    <a:ln>
                      <a:noFill/>
                    </a:ln>
                  </pic:spPr>
                </pic:pic>
              </a:graphicData>
            </a:graphic>
          </wp:inline>
        </w:drawing>
      </w:r>
    </w:p>
    <w:p w14:paraId="5129E9AD" w14:textId="728CC9F9" w:rsidR="00785AB5" w:rsidRPr="00785AB5" w:rsidRDefault="00785AB5" w:rsidP="00785AB5">
      <w:pPr>
        <w:rPr>
          <w:rFonts w:cstheme="minorHAnsi"/>
        </w:rPr>
      </w:pPr>
      <w:r w:rsidRPr="00785AB5">
        <w:rPr>
          <w:rFonts w:cstheme="minorHAnsi"/>
        </w:rPr>
        <w:t>Efficacité de diffusion </w:t>
      </w:r>
      <w:proofErr w:type="spellStart"/>
      <w:r w:rsidRPr="00785AB5">
        <w:rPr>
          <w:rStyle w:val="texhtml"/>
          <w:rFonts w:cstheme="minorHAnsi"/>
          <w:i/>
          <w:iCs/>
        </w:rPr>
        <w:t>Q</w:t>
      </w:r>
      <w:r w:rsidRPr="00785AB5">
        <w:rPr>
          <w:rStyle w:val="texhtml"/>
          <w:rFonts w:cstheme="minorHAnsi"/>
          <w:vertAlign w:val="subscript"/>
        </w:rPr>
        <w:t>diff</w:t>
      </w:r>
      <w:proofErr w:type="spellEnd"/>
      <w:r w:rsidRPr="00785AB5">
        <w:rPr>
          <w:rFonts w:cstheme="minorHAnsi"/>
        </w:rPr>
        <w:t> en fonction du paramètre de taille </w:t>
      </w:r>
      <w:r w:rsidRPr="00785AB5">
        <w:rPr>
          <w:rStyle w:val="texhtml"/>
          <w:rFonts w:cstheme="minorHAnsi"/>
          <w:i/>
          <w:iCs/>
        </w:rPr>
        <w:t>x</w:t>
      </w:r>
      <w:r w:rsidRPr="00785AB5">
        <w:rPr>
          <w:rStyle w:val="texhtml"/>
          <w:rFonts w:cstheme="minorHAnsi"/>
        </w:rPr>
        <w:t> = </w:t>
      </w:r>
      <w:proofErr w:type="spellStart"/>
      <w:r w:rsidRPr="00785AB5">
        <w:rPr>
          <w:rStyle w:val="texhtml"/>
          <w:rFonts w:cstheme="minorHAnsi"/>
          <w:i/>
          <w:iCs/>
        </w:rPr>
        <w:t>k·a</w:t>
      </w:r>
      <w:proofErr w:type="spellEnd"/>
      <w:r w:rsidRPr="00785AB5">
        <w:rPr>
          <w:rFonts w:cstheme="minorHAnsi"/>
        </w:rPr>
        <w:t> pour un rapport d'indice </w:t>
      </w:r>
      <w:r w:rsidRPr="00785AB5">
        <w:rPr>
          <w:rStyle w:val="texhtml"/>
          <w:rFonts w:cstheme="minorHAnsi"/>
          <w:i/>
          <w:iCs/>
        </w:rPr>
        <w:t>m</w:t>
      </w:r>
      <w:r w:rsidRPr="00785AB5">
        <w:rPr>
          <w:rStyle w:val="texhtml"/>
          <w:rFonts w:cstheme="minorHAnsi"/>
        </w:rPr>
        <w:t> = 1.33</w:t>
      </w:r>
      <w:r w:rsidRPr="00785AB5">
        <w:rPr>
          <w:rFonts w:cstheme="minorHAnsi"/>
        </w:rPr>
        <w:t> entre les deux matériaux – correspondant à une sphère d'eau dans l'air. L'insert montre la même courbe en échelle logarithmique, mettant en évidence la loi de puissance </w:t>
      </w:r>
      <w:proofErr w:type="spellStart"/>
      <w:r w:rsidRPr="00785AB5">
        <w:rPr>
          <w:rStyle w:val="texhtml"/>
          <w:rFonts w:cstheme="minorHAnsi"/>
          <w:i/>
          <w:iCs/>
        </w:rPr>
        <w:t>Q</w:t>
      </w:r>
      <w:r w:rsidRPr="00785AB5">
        <w:rPr>
          <w:rStyle w:val="texhtml"/>
          <w:rFonts w:cstheme="minorHAnsi"/>
          <w:vertAlign w:val="subscript"/>
        </w:rPr>
        <w:t>diff</w:t>
      </w:r>
      <w:proofErr w:type="spellEnd"/>
      <w:r w:rsidRPr="00785AB5">
        <w:rPr>
          <w:rStyle w:val="texhtml"/>
          <w:rFonts w:cstheme="minorHAnsi"/>
        </w:rPr>
        <w:t> </w:t>
      </w:r>
      <w:r w:rsidRPr="00785AB5">
        <w:rPr>
          <w:rStyle w:val="texhtml"/>
          <w:rFonts w:ascii="Cambria Math" w:hAnsi="Cambria Math" w:cs="Cambria Math"/>
        </w:rPr>
        <w:t>∝</w:t>
      </w:r>
      <w:r w:rsidRPr="00785AB5">
        <w:rPr>
          <w:rStyle w:val="texhtml"/>
          <w:rFonts w:ascii="Calibri" w:hAnsi="Calibri" w:cs="Calibri"/>
        </w:rPr>
        <w:t> </w:t>
      </w:r>
      <w:r w:rsidRPr="00785AB5">
        <w:rPr>
          <w:rStyle w:val="texhtml"/>
          <w:rFonts w:cstheme="minorHAnsi"/>
          <w:i/>
          <w:iCs/>
        </w:rPr>
        <w:t>x</w:t>
      </w:r>
      <w:r w:rsidRPr="00785AB5">
        <w:rPr>
          <w:rStyle w:val="texhtml"/>
          <w:rFonts w:cstheme="minorHAnsi"/>
          <w:vertAlign w:val="superscript"/>
        </w:rPr>
        <w:t>4</w:t>
      </w:r>
      <w:r w:rsidRPr="00785AB5">
        <w:rPr>
          <w:rFonts w:cstheme="minorHAnsi"/>
        </w:rPr>
        <w:t> pour les sphères de petite taille.</w:t>
      </w:r>
    </w:p>
    <w:p w14:paraId="54CCD590" w14:textId="77777777" w:rsidR="00785AB5" w:rsidRDefault="00785AB5" w:rsidP="00785AB5">
      <w:pPr>
        <w:pStyle w:val="NormalWeb"/>
        <w:shd w:val="clear" w:color="auto" w:fill="FFFFFF"/>
        <w:spacing w:before="120" w:beforeAutospacing="0" w:after="120" w:afterAutospacing="0"/>
        <w:rPr>
          <w:rFonts w:ascii="Arial" w:hAnsi="Arial" w:cs="Arial"/>
          <w:color w:val="202122"/>
          <w:sz w:val="21"/>
          <w:szCs w:val="21"/>
        </w:rPr>
      </w:pPr>
    </w:p>
    <w:p w14:paraId="64F3816C" w14:textId="26C9FD37" w:rsidR="00785AB5" w:rsidRPr="00785AB5" w:rsidRDefault="00785AB5" w:rsidP="00785AB5">
      <w:pPr>
        <w:pStyle w:val="Titre2"/>
      </w:pPr>
      <w:bookmarkStart w:id="6" w:name="_Toc148702792"/>
      <w:r w:rsidRPr="00785AB5">
        <w:rPr>
          <w:rStyle w:val="mw-headline"/>
        </w:rPr>
        <w:t>Petites sphères – diffusion Rayleigh</w:t>
      </w:r>
      <w:bookmarkEnd w:id="6"/>
    </w:p>
    <w:p w14:paraId="0DD7C7A3" w14:textId="35151A6C" w:rsidR="00785AB5" w:rsidRPr="00785AB5" w:rsidRDefault="00785AB5" w:rsidP="00785AB5">
      <w:pPr>
        <w:rPr>
          <w:rFonts w:cstheme="minorHAnsi"/>
        </w:rPr>
      </w:pPr>
      <w:r w:rsidRPr="00785AB5">
        <w:rPr>
          <w:rFonts w:cstheme="minorHAnsi"/>
        </w:rPr>
        <w:t>Pour les petites sphères (région </w:t>
      </w:r>
      <w:r w:rsidRPr="00785AB5">
        <w:rPr>
          <w:rStyle w:val="texhtml"/>
          <w:rFonts w:cstheme="minorHAnsi"/>
          <w:i/>
          <w:iCs/>
        </w:rPr>
        <w:t>x</w:t>
      </w:r>
      <w:r w:rsidRPr="00785AB5">
        <w:rPr>
          <w:rStyle w:val="texhtml"/>
          <w:rFonts w:cstheme="minorHAnsi"/>
        </w:rPr>
        <w:t> &lt; 1</w:t>
      </w:r>
      <w:r w:rsidRPr="00785AB5">
        <w:rPr>
          <w:rFonts w:cstheme="minorHAnsi"/>
        </w:rPr>
        <w:t>), l'efficacité de diffusion augmente très rapidement de manière proportionnelle à </w:t>
      </w:r>
      <w:r w:rsidRPr="00785AB5">
        <w:rPr>
          <w:rStyle w:val="texhtml"/>
          <w:rFonts w:cstheme="minorHAnsi"/>
          <w:i/>
          <w:iCs/>
        </w:rPr>
        <w:t>x</w:t>
      </w:r>
      <w:r w:rsidRPr="00785AB5">
        <w:rPr>
          <w:rStyle w:val="texhtml"/>
          <w:rFonts w:cstheme="minorHAnsi"/>
          <w:vertAlign w:val="superscript"/>
        </w:rPr>
        <w:t>4</w:t>
      </w:r>
      <w:r w:rsidRPr="00785AB5">
        <w:rPr>
          <w:rFonts w:cstheme="minorHAnsi"/>
        </w:rPr>
        <w:t>. On retrouve là les résultats de la </w:t>
      </w:r>
      <w:r w:rsidRPr="00785AB5">
        <w:rPr>
          <w:rFonts w:cstheme="minorHAnsi"/>
        </w:rPr>
        <w:t>diffusion Rayleigh</w:t>
      </w:r>
      <w:r w:rsidRPr="00785AB5">
        <w:rPr>
          <w:rFonts w:cstheme="minorHAnsi"/>
        </w:rPr>
        <w:t>, qui donnent pour cette région</w:t>
      </w:r>
    </w:p>
    <w:p w14:paraId="2A12688C" w14:textId="2EDE8438" w:rsidR="00785AB5" w:rsidRPr="00785AB5" w:rsidRDefault="00785AB5" w:rsidP="00785AB5">
      <w:pPr>
        <w:rPr>
          <w:rFonts w:cstheme="minorHAnsi"/>
        </w:rPr>
      </w:pPr>
      <w:r w:rsidRPr="00785AB5">
        <w:rPr>
          <w:rStyle w:val="mwe-math-mathml-inline"/>
          <w:rFonts w:cstheme="minorHAnsi"/>
        </w:rPr>
        <w:drawing>
          <wp:inline distT="0" distB="0" distL="0" distR="0" wp14:anchorId="29832FDD" wp14:editId="28CFEAC2">
            <wp:extent cx="1653683" cy="472481"/>
            <wp:effectExtent l="0" t="0" r="3810" b="3810"/>
            <wp:docPr id="2024219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9891" name=""/>
                    <pic:cNvPicPr/>
                  </pic:nvPicPr>
                  <pic:blipFill>
                    <a:blip r:embed="rId14"/>
                    <a:stretch>
                      <a:fillRect/>
                    </a:stretch>
                  </pic:blipFill>
                  <pic:spPr>
                    <a:xfrm>
                      <a:off x="0" y="0"/>
                      <a:ext cx="1653683" cy="472481"/>
                    </a:xfrm>
                    <a:prstGeom prst="rect">
                      <a:avLst/>
                    </a:prstGeom>
                  </pic:spPr>
                </pic:pic>
              </a:graphicData>
            </a:graphic>
          </wp:inline>
        </w:drawing>
      </w:r>
      <w:r w:rsidRPr="00785AB5">
        <w:rPr>
          <w:rStyle w:val="mwe-math-mathml-inline"/>
          <w:rFonts w:ascii="Tahoma" w:hAnsi="Tahoma" w:cs="Tahoma"/>
          <w:vanish/>
        </w:rPr>
        <w:t>�</w:t>
      </w:r>
      <w:r w:rsidRPr="00785AB5">
        <w:rPr>
          <w:rStyle w:val="mwe-math-mathml-inline"/>
          <w:rFonts w:cstheme="minorHAnsi"/>
          <w:vanish/>
        </w:rPr>
        <w:t>diff=83|</w:t>
      </w:r>
      <w:r w:rsidRPr="00785AB5">
        <w:rPr>
          <w:rStyle w:val="mwe-math-mathml-inline"/>
          <w:rFonts w:ascii="Tahoma" w:hAnsi="Tahoma" w:cs="Tahoma"/>
          <w:vanish/>
        </w:rPr>
        <w:t>�</w:t>
      </w:r>
      <w:r w:rsidRPr="00785AB5">
        <w:rPr>
          <w:rStyle w:val="mwe-math-mathml-inline"/>
          <w:rFonts w:cstheme="minorHAnsi"/>
          <w:vanish/>
        </w:rPr>
        <w:t>2−1</w:t>
      </w:r>
      <w:r w:rsidRPr="00785AB5">
        <w:rPr>
          <w:rStyle w:val="mwe-math-mathml-inline"/>
          <w:rFonts w:ascii="Tahoma" w:hAnsi="Tahoma" w:cs="Tahoma"/>
          <w:vanish/>
        </w:rPr>
        <w:t>�</w:t>
      </w:r>
      <w:r w:rsidRPr="00785AB5">
        <w:rPr>
          <w:rStyle w:val="mwe-math-mathml-inline"/>
          <w:rFonts w:cstheme="minorHAnsi"/>
          <w:vanish/>
        </w:rPr>
        <w:t>2+2|2</w:t>
      </w:r>
      <w:r w:rsidRPr="00785AB5">
        <w:rPr>
          <w:rStyle w:val="mwe-math-mathml-inline"/>
          <w:rFonts w:ascii="Tahoma" w:hAnsi="Tahoma" w:cs="Tahoma"/>
          <w:vanish/>
        </w:rPr>
        <w:t>�</w:t>
      </w:r>
      <w:r w:rsidRPr="00785AB5">
        <w:rPr>
          <w:rStyle w:val="mwe-math-mathml-inline"/>
          <w:rFonts w:cstheme="minorHAnsi"/>
          <w:vanish/>
        </w:rPr>
        <w:t>4.</w:t>
      </w:r>
    </w:p>
    <w:p w14:paraId="1F417C68" w14:textId="4F8CE823" w:rsidR="00785AB5" w:rsidRPr="00785AB5" w:rsidRDefault="00785AB5" w:rsidP="00785AB5">
      <w:pPr>
        <w:rPr>
          <w:rFonts w:cstheme="minorHAnsi"/>
        </w:rPr>
      </w:pPr>
      <w:r w:rsidRPr="00785AB5">
        <w:rPr>
          <w:rFonts w:cstheme="minorHAnsi"/>
        </w:rPr>
        <w:t>La diffusion Rayleigh est un cas limite de la diffusion de Mie. Néanmoins, elle en diffère par plusieurs aspects perceptibles lorsqu'on les compare pour des particules de tailles très différentes.</w:t>
      </w:r>
      <w:r w:rsidRPr="00785AB5">
        <w:rPr>
          <w:rFonts w:cstheme="minorHAnsi"/>
        </w:rPr>
        <w:t xml:space="preserve"> </w:t>
      </w:r>
      <w:r w:rsidRPr="00785AB5">
        <w:rPr>
          <w:rFonts w:cstheme="minorHAnsi"/>
        </w:rPr>
        <w:t>On peut apprécier la différence entre la diffusion Rayleigh et la diffusion Mie en observant le ciel : pour les molécules qui constituent l'</w:t>
      </w:r>
      <w:r w:rsidRPr="00785AB5">
        <w:rPr>
          <w:rFonts w:cstheme="minorHAnsi"/>
        </w:rPr>
        <w:t>atmosphère</w:t>
      </w:r>
      <w:r w:rsidRPr="00785AB5">
        <w:rPr>
          <w:rFonts w:cstheme="minorHAnsi"/>
        </w:rPr>
        <w:t>, la première explique la </w:t>
      </w:r>
      <w:r w:rsidRPr="00785AB5">
        <w:rPr>
          <w:rFonts w:cstheme="minorHAnsi"/>
        </w:rPr>
        <w:t>couleur bleue du ciel</w:t>
      </w:r>
      <w:r w:rsidRPr="00785AB5">
        <w:rPr>
          <w:rFonts w:cstheme="minorHAnsi"/>
        </w:rPr>
        <w:t> ; pour les gouttelettes d'eau qui forment les </w:t>
      </w:r>
      <w:r w:rsidRPr="00785AB5">
        <w:rPr>
          <w:rFonts w:cstheme="minorHAnsi"/>
        </w:rPr>
        <w:t>nuages</w:t>
      </w:r>
      <w:r w:rsidRPr="00785AB5">
        <w:rPr>
          <w:rFonts w:cstheme="minorHAnsi"/>
        </w:rPr>
        <w:t>, la seconde explique leur couleur </w:t>
      </w:r>
      <w:r w:rsidRPr="00785AB5">
        <w:rPr>
          <w:rFonts w:cstheme="minorHAnsi"/>
        </w:rPr>
        <w:t>blanche</w:t>
      </w:r>
      <w:r w:rsidRPr="00785AB5">
        <w:rPr>
          <w:rFonts w:cstheme="minorHAnsi"/>
        </w:rPr>
        <w:t>.</w:t>
      </w:r>
    </w:p>
    <w:p w14:paraId="2E4E6871" w14:textId="5C998F9B" w:rsidR="00785AB5" w:rsidRPr="00785AB5" w:rsidRDefault="00785AB5" w:rsidP="00785AB5">
      <w:pPr>
        <w:rPr>
          <w:rFonts w:cstheme="minorHAnsi"/>
        </w:rPr>
      </w:pPr>
      <w:r w:rsidRPr="00785AB5">
        <w:rPr>
          <w:rFonts w:cstheme="minorHAnsi"/>
        </w:rPr>
        <w:lastRenderedPageBreak/>
        <w:t>En effet, pour l'air, la sphère à considérer est la sphère moyenne occupée par une molécule du gaz, qui est de rayon </w:t>
      </w:r>
      <w:r w:rsidRPr="00785AB5">
        <w:rPr>
          <w:rStyle w:val="texhtml"/>
          <w:rFonts w:cstheme="minorHAnsi"/>
          <w:i/>
          <w:iCs/>
        </w:rPr>
        <w:t>a</w:t>
      </w:r>
      <w:r w:rsidRPr="00785AB5">
        <w:rPr>
          <w:rStyle w:val="texhtml"/>
          <w:rFonts w:cstheme="minorHAnsi"/>
        </w:rPr>
        <w:t> ≈ 2 nm</w:t>
      </w:r>
      <w:r w:rsidRPr="00785AB5">
        <w:rPr>
          <w:rFonts w:cstheme="minorHAnsi"/>
        </w:rPr>
        <w:t>. Le spectre visible se situe donc entre </w:t>
      </w:r>
      <w:r w:rsidRPr="00785AB5">
        <w:rPr>
          <w:rStyle w:val="texhtml"/>
          <w:rFonts w:cstheme="minorHAnsi"/>
          <w:i/>
          <w:iCs/>
        </w:rPr>
        <w:t>x</w:t>
      </w:r>
      <w:r w:rsidRPr="00785AB5">
        <w:rPr>
          <w:rStyle w:val="texhtml"/>
          <w:rFonts w:cstheme="minorHAnsi"/>
        </w:rPr>
        <w:t> ≈ 1.6 × 10</w:t>
      </w:r>
      <w:r w:rsidRPr="00785AB5">
        <w:rPr>
          <w:rStyle w:val="texhtml"/>
          <w:rFonts w:cstheme="minorHAnsi"/>
          <w:vertAlign w:val="superscript"/>
        </w:rPr>
        <w:t>-2</w:t>
      </w:r>
      <w:r w:rsidRPr="00785AB5">
        <w:rPr>
          <w:rFonts w:cstheme="minorHAnsi"/>
        </w:rPr>
        <w:t> pour le rouge et </w:t>
      </w:r>
      <w:r w:rsidRPr="00785AB5">
        <w:rPr>
          <w:rStyle w:val="texhtml"/>
          <w:rFonts w:cstheme="minorHAnsi"/>
          <w:i/>
          <w:iCs/>
        </w:rPr>
        <w:t>x</w:t>
      </w:r>
      <w:r w:rsidRPr="00785AB5">
        <w:rPr>
          <w:rStyle w:val="texhtml"/>
          <w:rFonts w:cstheme="minorHAnsi"/>
        </w:rPr>
        <w:t> ≈ 3.2 × 10</w:t>
      </w:r>
      <w:r w:rsidRPr="00785AB5">
        <w:rPr>
          <w:rStyle w:val="texhtml"/>
          <w:rFonts w:cstheme="minorHAnsi"/>
          <w:vertAlign w:val="superscript"/>
        </w:rPr>
        <w:t>-2</w:t>
      </w:r>
      <w:r w:rsidRPr="00785AB5">
        <w:rPr>
          <w:rFonts w:cstheme="minorHAnsi"/>
        </w:rPr>
        <w:t> pour le bleu, donc précisément dans la région de la diffusion Rayleigh. À cause de la puissance 4, le bleu sera 16 fois plus diffusé que le rouge, donnant la couleur du ciel. Pour les nuages, les gouttes d'eau sont beaucoup plus grosses, de l'ordre de </w:t>
      </w:r>
      <w:proofErr w:type="spellStart"/>
      <w:r w:rsidRPr="00785AB5">
        <w:rPr>
          <w:rStyle w:val="texhtml"/>
          <w:rFonts w:cstheme="minorHAnsi"/>
          <w:i/>
          <w:iCs/>
        </w:rPr>
        <w:t>a</w:t>
      </w:r>
      <w:proofErr w:type="spellEnd"/>
      <w:r w:rsidRPr="00785AB5">
        <w:rPr>
          <w:rStyle w:val="texhtml"/>
          <w:rFonts w:cstheme="minorHAnsi"/>
        </w:rPr>
        <w:t> ≈ 10 µm</w:t>
      </w:r>
      <w:r w:rsidRPr="00785AB5">
        <w:rPr>
          <w:rFonts w:cstheme="minorHAnsi"/>
        </w:rPr>
        <w:t>, aussi le spectre visible s'étale entre </w:t>
      </w:r>
      <w:r w:rsidRPr="00785AB5">
        <w:rPr>
          <w:rStyle w:val="texhtml"/>
          <w:rFonts w:cstheme="minorHAnsi"/>
          <w:i/>
          <w:iCs/>
        </w:rPr>
        <w:t>x</w:t>
      </w:r>
      <w:r w:rsidRPr="00785AB5">
        <w:rPr>
          <w:rStyle w:val="texhtml"/>
          <w:rFonts w:cstheme="minorHAnsi"/>
        </w:rPr>
        <w:t> ≈ 80</w:t>
      </w:r>
      <w:r w:rsidRPr="00785AB5">
        <w:rPr>
          <w:rFonts w:cstheme="minorHAnsi"/>
        </w:rPr>
        <w:t> et </w:t>
      </w:r>
      <w:r w:rsidRPr="00785AB5">
        <w:rPr>
          <w:rStyle w:val="texhtml"/>
          <w:rFonts w:cstheme="minorHAnsi"/>
          <w:i/>
          <w:iCs/>
        </w:rPr>
        <w:t>x</w:t>
      </w:r>
      <w:r w:rsidRPr="00785AB5">
        <w:rPr>
          <w:rStyle w:val="texhtml"/>
          <w:rFonts w:cstheme="minorHAnsi"/>
        </w:rPr>
        <w:t> ≈ 160</w:t>
      </w:r>
      <w:r w:rsidRPr="00785AB5">
        <w:rPr>
          <w:rFonts w:cstheme="minorHAnsi"/>
        </w:rPr>
        <w:t>. Comme le montre le graphique, dans cette région l'intensité diffusée sera essentiellement la même pour toutes les longueurs d'onde et le nuage paraîtra blanc, ou gris dans les régions plus épaisses.</w:t>
      </w:r>
    </w:p>
    <w:p w14:paraId="12CC31CF" w14:textId="77777777" w:rsidR="00785AB5" w:rsidRDefault="00785AB5" w:rsidP="00785AB5">
      <w:pPr>
        <w:pStyle w:val="NormalWeb"/>
        <w:shd w:val="clear" w:color="auto" w:fill="FFFFFF"/>
        <w:spacing w:before="120" w:beforeAutospacing="0" w:after="120" w:afterAutospacing="0"/>
        <w:rPr>
          <w:rFonts w:ascii="Arial" w:hAnsi="Arial" w:cs="Arial"/>
          <w:color w:val="202122"/>
          <w:sz w:val="21"/>
          <w:szCs w:val="21"/>
        </w:rPr>
      </w:pPr>
    </w:p>
    <w:p w14:paraId="1109758B" w14:textId="0B16F5A8" w:rsidR="00785AB5" w:rsidRPr="00785AB5" w:rsidRDefault="00785AB5" w:rsidP="00785AB5">
      <w:pPr>
        <w:pStyle w:val="Titre2"/>
      </w:pPr>
      <w:bookmarkStart w:id="7" w:name="_Toc148702793"/>
      <w:r w:rsidRPr="00785AB5">
        <w:rPr>
          <w:rStyle w:val="mw-headline"/>
        </w:rPr>
        <w:t>Oscillations larges – structure d'interférences</w:t>
      </w:r>
      <w:bookmarkEnd w:id="7"/>
    </w:p>
    <w:p w14:paraId="1A06A9CD" w14:textId="52F54D3B" w:rsidR="00785AB5" w:rsidRPr="00785AB5" w:rsidRDefault="00785AB5" w:rsidP="00785AB5">
      <w:pPr>
        <w:rPr>
          <w:rFonts w:cstheme="minorHAnsi"/>
        </w:rPr>
      </w:pPr>
      <w:r w:rsidRPr="00785AB5">
        <w:rPr>
          <w:rFonts w:cstheme="minorHAnsi"/>
        </w:rPr>
        <w:t>Entre les très petites et les très grandes valeurs de </w:t>
      </w:r>
      <w:r w:rsidRPr="00785AB5">
        <w:rPr>
          <w:rFonts w:cstheme="minorHAnsi"/>
          <w:i/>
          <w:iCs/>
        </w:rPr>
        <w:t>x</w:t>
      </w:r>
      <w:r w:rsidRPr="00785AB5">
        <w:rPr>
          <w:rFonts w:cstheme="minorHAnsi"/>
        </w:rPr>
        <w:t>, l'efficacité de diffusion oscille en fonction de </w:t>
      </w:r>
      <w:r w:rsidRPr="00785AB5">
        <w:rPr>
          <w:rFonts w:cstheme="minorHAnsi"/>
          <w:i/>
          <w:iCs/>
        </w:rPr>
        <w:t>x</w:t>
      </w:r>
      <w:r w:rsidRPr="00785AB5">
        <w:rPr>
          <w:rFonts w:cstheme="minorHAnsi"/>
        </w:rPr>
        <w:t>, avec une période de l'ordre de 10 dans l'exemple précédent de la goutte d'eau. Ces oscillations peuvent également donner lieu à des phénomènes météorologiques surprenants, comme l'observation inhabituelle d'un soleil bleu dans le nord de l'</w:t>
      </w:r>
      <w:r w:rsidRPr="00785AB5">
        <w:rPr>
          <w:rFonts w:cstheme="minorHAnsi"/>
        </w:rPr>
        <w:t>Europe</w:t>
      </w:r>
      <w:r w:rsidRPr="00785AB5">
        <w:rPr>
          <w:rFonts w:cstheme="minorHAnsi"/>
        </w:rPr>
        <w:t> le 26 septembre 1950 et les jours suivants. L'explication de ce phénomène a pu être trouvée : à la suite de grands feux ayant eu lieu en </w:t>
      </w:r>
      <w:r w:rsidRPr="00785AB5">
        <w:rPr>
          <w:rFonts w:cstheme="minorHAnsi"/>
        </w:rPr>
        <w:t>Alberta</w:t>
      </w:r>
      <w:r w:rsidRPr="00785AB5">
        <w:rPr>
          <w:rFonts w:cstheme="minorHAnsi"/>
        </w:rPr>
        <w:t> les jours précédents, des gouttes d'huile micrométrique ont été poussées dans la haute atmosphère jusqu'en Europe. Le spectre réalisé en </w:t>
      </w:r>
      <w:r w:rsidRPr="00785AB5">
        <w:rPr>
          <w:rFonts w:cstheme="minorHAnsi"/>
        </w:rPr>
        <w:t>Écosse</w:t>
      </w:r>
      <w:r w:rsidRPr="00785AB5">
        <w:rPr>
          <w:rFonts w:cstheme="minorHAnsi"/>
        </w:rPr>
        <w:t> s'accorde bien avec la théorie de Lorenz-Mie si la taille des particules permet au premier minimum d'oscillation de se trouver à </w:t>
      </w:r>
      <w:r w:rsidRPr="00785AB5">
        <w:rPr>
          <w:rStyle w:val="texhtml"/>
          <w:rFonts w:cstheme="minorHAnsi"/>
          <w:i/>
          <w:iCs/>
        </w:rPr>
        <w:t>λ</w:t>
      </w:r>
      <w:r w:rsidRPr="00785AB5">
        <w:rPr>
          <w:rStyle w:val="texhtml"/>
          <w:rFonts w:cstheme="minorHAnsi"/>
        </w:rPr>
        <w:t> = 435 nm</w:t>
      </w:r>
      <w:r w:rsidRPr="00785AB5">
        <w:rPr>
          <w:rFonts w:cstheme="minorHAnsi"/>
        </w:rPr>
        <w:t>, dans le bleu du spectre. Au lieu d'être 16 fois plus diffusé comme dans la diffusion Rayleigh, le bleu est alors 2 fois </w:t>
      </w:r>
      <w:r w:rsidRPr="00785AB5">
        <w:rPr>
          <w:rFonts w:cstheme="minorHAnsi"/>
          <w:i/>
          <w:iCs/>
        </w:rPr>
        <w:t>moins</w:t>
      </w:r>
      <w:r w:rsidRPr="00785AB5">
        <w:rPr>
          <w:rFonts w:cstheme="minorHAnsi"/>
        </w:rPr>
        <w:t> diffusé et le soleil apparaît bleu.</w:t>
      </w:r>
    </w:p>
    <w:p w14:paraId="0CACD60C" w14:textId="17A2AAB3" w:rsidR="00785AB5" w:rsidRPr="00785AB5" w:rsidRDefault="00785AB5" w:rsidP="00785AB5">
      <w:pPr>
        <w:rPr>
          <w:rFonts w:cstheme="minorHAnsi"/>
        </w:rPr>
      </w:pPr>
      <w:r w:rsidRPr="00785AB5">
        <w:rPr>
          <w:rFonts w:cstheme="minorHAnsi"/>
        </w:rPr>
        <w:t>L'image ci-contre montre comment évolue l'efficacité de diffraction, non seulement avec le paramètre de taille, mais aussi avec le rapport d'indice </w:t>
      </w:r>
      <w:r w:rsidRPr="00785AB5">
        <w:rPr>
          <w:rFonts w:cstheme="minorHAnsi"/>
          <w:i/>
          <w:iCs/>
        </w:rPr>
        <w:t>m</w:t>
      </w:r>
      <w:r w:rsidRPr="00785AB5">
        <w:rPr>
          <w:rFonts w:cstheme="minorHAnsi"/>
        </w:rPr>
        <w:t> entre la sphère et le milieu environnant. Un </w:t>
      </w:r>
      <w:r w:rsidRPr="00785AB5">
        <w:rPr>
          <w:rFonts w:cstheme="minorHAnsi"/>
        </w:rPr>
        <w:t>développement limité</w:t>
      </w:r>
      <w:r w:rsidRPr="00785AB5">
        <w:rPr>
          <w:rFonts w:cstheme="minorHAnsi"/>
        </w:rPr>
        <w:t xml:space="preserve"> à partir de la théorie de Mie, valable pour les grands paramètres de taille, montre que </w:t>
      </w:r>
      <w:r w:rsidRPr="00785AB5">
        <w:rPr>
          <w:rFonts w:cstheme="minorHAnsi"/>
        </w:rPr>
        <w:t>les maximas</w:t>
      </w:r>
      <w:r w:rsidRPr="00785AB5">
        <w:rPr>
          <w:rFonts w:cstheme="minorHAnsi"/>
        </w:rPr>
        <w:t xml:space="preserve"> ont lieu approximativement pour</w:t>
      </w:r>
    </w:p>
    <w:p w14:paraId="5D9C4327" w14:textId="51217227" w:rsidR="00785AB5" w:rsidRPr="00785AB5" w:rsidRDefault="00785AB5" w:rsidP="00785AB5">
      <w:pPr>
        <w:rPr>
          <w:rFonts w:cstheme="minorHAnsi"/>
        </w:rPr>
      </w:pPr>
      <w:r w:rsidRPr="00785AB5">
        <w:rPr>
          <w:rStyle w:val="mwe-math-mathml-inline"/>
          <w:rFonts w:cstheme="minorHAnsi"/>
        </w:rPr>
        <w:drawing>
          <wp:inline distT="0" distB="0" distL="0" distR="0" wp14:anchorId="0B252F31" wp14:editId="2C90294B">
            <wp:extent cx="2415749" cy="342930"/>
            <wp:effectExtent l="0" t="0" r="3810" b="0"/>
            <wp:docPr id="1610564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4231" name=""/>
                    <pic:cNvPicPr/>
                  </pic:nvPicPr>
                  <pic:blipFill>
                    <a:blip r:embed="rId15"/>
                    <a:stretch>
                      <a:fillRect/>
                    </a:stretch>
                  </pic:blipFill>
                  <pic:spPr>
                    <a:xfrm>
                      <a:off x="0" y="0"/>
                      <a:ext cx="2415749" cy="342930"/>
                    </a:xfrm>
                    <a:prstGeom prst="rect">
                      <a:avLst/>
                    </a:prstGeom>
                  </pic:spPr>
                </pic:pic>
              </a:graphicData>
            </a:graphic>
          </wp:inline>
        </w:drawing>
      </w:r>
      <w:r w:rsidRPr="00785AB5">
        <w:rPr>
          <w:rStyle w:val="mwe-math-mathml-inline"/>
          <w:rFonts w:cstheme="minorHAnsi"/>
          <w:vanish/>
        </w:rPr>
        <w:t>2</w:t>
      </w:r>
      <w:r w:rsidRPr="00785AB5">
        <w:rPr>
          <w:rStyle w:val="mwe-math-mathml-inline"/>
          <w:rFonts w:ascii="Tahoma" w:hAnsi="Tahoma" w:cs="Tahoma"/>
          <w:vanish/>
        </w:rPr>
        <w:t>�</w:t>
      </w:r>
      <w:r w:rsidRPr="00785AB5">
        <w:rPr>
          <w:rStyle w:val="mwe-math-mathml-inline"/>
          <w:rFonts w:ascii="Cambria Math" w:hAnsi="Cambria Math" w:cs="Cambria Math"/>
          <w:vanish/>
        </w:rPr>
        <w:t>⋅</w:t>
      </w:r>
      <w:r w:rsidRPr="00785AB5">
        <w:rPr>
          <w:rStyle w:val="mwe-math-mathml-inline"/>
          <w:rFonts w:cstheme="minorHAnsi"/>
          <w:vanish/>
        </w:rPr>
        <w:t>(</w:t>
      </w:r>
      <w:r w:rsidRPr="00785AB5">
        <w:rPr>
          <w:rStyle w:val="mwe-math-mathml-inline"/>
          <w:rFonts w:ascii="Tahoma" w:hAnsi="Tahoma" w:cs="Tahoma"/>
          <w:vanish/>
        </w:rPr>
        <w:t>�</w:t>
      </w:r>
      <w:r w:rsidRPr="00785AB5">
        <w:rPr>
          <w:rStyle w:val="mwe-math-mathml-inline"/>
          <w:rFonts w:cstheme="minorHAnsi"/>
          <w:vanish/>
        </w:rPr>
        <w:t>−1)=(2</w:t>
      </w:r>
      <w:r w:rsidRPr="00785AB5">
        <w:rPr>
          <w:rStyle w:val="mwe-math-mathml-inline"/>
          <w:rFonts w:ascii="Tahoma" w:hAnsi="Tahoma" w:cs="Tahoma"/>
          <w:vanish/>
        </w:rPr>
        <w:t>�</w:t>
      </w:r>
      <w:r w:rsidRPr="00785AB5">
        <w:rPr>
          <w:rStyle w:val="mwe-math-mathml-inline"/>
          <w:rFonts w:cstheme="minorHAnsi"/>
          <w:vanish/>
        </w:rPr>
        <w:t>+1)</w:t>
      </w:r>
      <w:r w:rsidRPr="00785AB5">
        <w:rPr>
          <w:rStyle w:val="mwe-math-mathml-inline"/>
          <w:rFonts w:ascii="Tahoma" w:hAnsi="Tahoma" w:cs="Tahoma"/>
          <w:vanish/>
        </w:rPr>
        <w:t>�</w:t>
      </w:r>
      <w:r w:rsidRPr="00785AB5">
        <w:rPr>
          <w:rStyle w:val="mwe-math-mathml-inline"/>
          <w:rFonts w:cstheme="minorHAnsi"/>
          <w:vanish/>
        </w:rPr>
        <w:t>,</w:t>
      </w:r>
      <w:r w:rsidRPr="00785AB5">
        <w:rPr>
          <w:rStyle w:val="mwe-math-mathml-inline"/>
          <w:rFonts w:ascii="Tahoma" w:hAnsi="Tahoma" w:cs="Tahoma"/>
          <w:vanish/>
        </w:rPr>
        <w:t>�</w:t>
      </w:r>
      <w:r w:rsidRPr="00785AB5">
        <w:rPr>
          <w:rStyle w:val="mwe-math-mathml-inline"/>
          <w:rFonts w:ascii="Cambria Math" w:hAnsi="Cambria Math" w:cs="Cambria Math"/>
          <w:vanish/>
        </w:rPr>
        <w:t>∈</w:t>
      </w:r>
      <w:r w:rsidRPr="00785AB5">
        <w:rPr>
          <w:rStyle w:val="mwe-math-mathml-inline"/>
          <w:rFonts w:ascii="Tahoma" w:hAnsi="Tahoma" w:cs="Tahoma"/>
          <w:vanish/>
        </w:rPr>
        <w:t>�</w:t>
      </w:r>
      <w:r w:rsidRPr="00785AB5">
        <w:rPr>
          <w:rStyle w:val="mwe-math-mathml-inline"/>
          <w:rFonts w:cstheme="minorHAnsi"/>
          <w:vanish/>
        </w:rPr>
        <w:t>.</w:t>
      </w:r>
    </w:p>
    <w:p w14:paraId="4EC9233B" w14:textId="24A72C1A" w:rsidR="00785AB5" w:rsidRPr="00785AB5" w:rsidRDefault="00785AB5" w:rsidP="00785AB5">
      <w:pPr>
        <w:rPr>
          <w:rFonts w:cstheme="minorHAnsi"/>
        </w:rPr>
      </w:pPr>
      <w:r w:rsidRPr="00785AB5">
        <w:rPr>
          <w:rFonts w:cstheme="minorHAnsi"/>
        </w:rPr>
        <w:t>Les courbes correspondantes sont tracées en noir sur la figure. On voit que cette approximation donne la bonne période, mais qu'il y a un léger décalage dû aux valeurs modérées de </w:t>
      </w:r>
      <w:r w:rsidRPr="00785AB5">
        <w:rPr>
          <w:rFonts w:cstheme="minorHAnsi"/>
          <w:i/>
          <w:iCs/>
        </w:rPr>
        <w:t>x</w:t>
      </w:r>
      <w:r w:rsidRPr="00785AB5">
        <w:rPr>
          <w:rFonts w:cstheme="minorHAnsi"/>
        </w:rPr>
        <w:t> sur cette figure. L'interprétation physique simple est que ces oscillations correspondent aux interférences entre l'onde ayant traversé la sphère et celle étant passée à côté. En effet, le déphasage entre les deux est justement donné par </w:t>
      </w:r>
      <w:r w:rsidRPr="00785AB5">
        <w:rPr>
          <w:rStyle w:val="texhtml"/>
          <w:rFonts w:cstheme="minorHAnsi"/>
        </w:rPr>
        <w:t>2x(m-1)</w:t>
      </w:r>
      <w:r w:rsidRPr="00785AB5">
        <w:rPr>
          <w:rFonts w:cstheme="minorHAnsi"/>
        </w:rPr>
        <w:t>.</w:t>
      </w:r>
    </w:p>
    <w:p w14:paraId="7133C8FC" w14:textId="77777777" w:rsidR="00785AB5" w:rsidRDefault="00785AB5" w:rsidP="00785AB5">
      <w:pPr>
        <w:pStyle w:val="NormalWeb"/>
        <w:shd w:val="clear" w:color="auto" w:fill="FFFFFF"/>
        <w:spacing w:before="120" w:beforeAutospacing="0" w:after="120" w:afterAutospacing="0"/>
        <w:rPr>
          <w:rFonts w:ascii="Arial" w:hAnsi="Arial" w:cs="Arial"/>
          <w:color w:val="202122"/>
          <w:sz w:val="21"/>
          <w:szCs w:val="21"/>
        </w:rPr>
      </w:pPr>
    </w:p>
    <w:p w14:paraId="15597623" w14:textId="587246CA" w:rsidR="00785AB5" w:rsidRPr="00785AB5" w:rsidRDefault="00785AB5" w:rsidP="00785AB5">
      <w:pPr>
        <w:pStyle w:val="Titre2"/>
      </w:pPr>
      <w:bookmarkStart w:id="8" w:name="_Toc148702794"/>
      <w:r w:rsidRPr="00785AB5">
        <w:rPr>
          <w:rStyle w:val="mw-headline"/>
        </w:rPr>
        <w:t>Grosses sphères – paradoxe de l'extinction</w:t>
      </w:r>
      <w:bookmarkEnd w:id="8"/>
    </w:p>
    <w:p w14:paraId="2415DF2E" w14:textId="5E9BA399" w:rsidR="00785AB5" w:rsidRPr="00785AB5" w:rsidRDefault="00785AB5" w:rsidP="00785AB5">
      <w:pPr>
        <w:rPr>
          <w:rFonts w:cstheme="minorHAnsi"/>
        </w:rPr>
      </w:pPr>
      <w:r w:rsidRPr="00785AB5">
        <w:rPr>
          <w:rFonts w:cstheme="minorHAnsi"/>
        </w:rPr>
        <w:t>Dans la limite des grosses sphères, il peut paraître surprenant que la section efficace d'extinction </w:t>
      </w:r>
      <w:proofErr w:type="spellStart"/>
      <w:r w:rsidRPr="00785AB5">
        <w:rPr>
          <w:rStyle w:val="texhtml"/>
          <w:rFonts w:cstheme="minorHAnsi"/>
          <w:i/>
          <w:iCs/>
        </w:rPr>
        <w:t>σ</w:t>
      </w:r>
      <w:r w:rsidRPr="00785AB5">
        <w:rPr>
          <w:rStyle w:val="texhtml"/>
          <w:rFonts w:cstheme="minorHAnsi"/>
          <w:vertAlign w:val="subscript"/>
        </w:rPr>
        <w:t>ext</w:t>
      </w:r>
      <w:proofErr w:type="spellEnd"/>
      <w:r w:rsidRPr="00785AB5">
        <w:rPr>
          <w:rStyle w:val="texhtml"/>
          <w:rFonts w:cstheme="minorHAnsi"/>
        </w:rPr>
        <w:t> = </w:t>
      </w:r>
      <w:proofErr w:type="spellStart"/>
      <w:r w:rsidRPr="00785AB5">
        <w:rPr>
          <w:rStyle w:val="texhtml"/>
          <w:rFonts w:cstheme="minorHAnsi"/>
          <w:i/>
          <w:iCs/>
        </w:rPr>
        <w:t>σ</w:t>
      </w:r>
      <w:r w:rsidRPr="00785AB5">
        <w:rPr>
          <w:rStyle w:val="texhtml"/>
          <w:rFonts w:cstheme="minorHAnsi"/>
          <w:vertAlign w:val="subscript"/>
        </w:rPr>
        <w:t>diff</w:t>
      </w:r>
      <w:proofErr w:type="spellEnd"/>
      <w:r w:rsidRPr="00785AB5">
        <w:rPr>
          <w:rStyle w:val="texhtml"/>
          <w:rFonts w:cstheme="minorHAnsi"/>
        </w:rPr>
        <w:t> + </w:t>
      </w:r>
      <w:proofErr w:type="spellStart"/>
      <w:r w:rsidRPr="00785AB5">
        <w:rPr>
          <w:rStyle w:val="texhtml"/>
          <w:rFonts w:cstheme="minorHAnsi"/>
          <w:i/>
          <w:iCs/>
        </w:rPr>
        <w:t>σ</w:t>
      </w:r>
      <w:r w:rsidRPr="00785AB5">
        <w:rPr>
          <w:rStyle w:val="texhtml"/>
          <w:rFonts w:cstheme="minorHAnsi"/>
          <w:vertAlign w:val="subscript"/>
        </w:rPr>
        <w:t>abs</w:t>
      </w:r>
      <w:proofErr w:type="spellEnd"/>
      <w:r w:rsidRPr="00785AB5">
        <w:rPr>
          <w:rFonts w:cstheme="minorHAnsi"/>
        </w:rPr>
        <w:t> ne tende pas simplement vers la section droite </w:t>
      </w:r>
      <w:r w:rsidRPr="00785AB5">
        <w:rPr>
          <w:rStyle w:val="texhtml"/>
          <w:rFonts w:cstheme="minorHAnsi"/>
        </w:rPr>
        <w:t>πa²</w:t>
      </w:r>
      <w:r w:rsidRPr="00785AB5">
        <w:rPr>
          <w:rFonts w:cstheme="minorHAnsi"/>
        </w:rPr>
        <w:t> de la sphère, mais vers le double de cette valeur. Intuitivement, on ne s'attend en effet pas à ce qu'un gros objet, pour lequel l'</w:t>
      </w:r>
      <w:r w:rsidRPr="00785AB5">
        <w:rPr>
          <w:rFonts w:cstheme="minorHAnsi"/>
        </w:rPr>
        <w:t>optique géométrique</w:t>
      </w:r>
      <w:r w:rsidRPr="00785AB5">
        <w:rPr>
          <w:rFonts w:cstheme="minorHAnsi"/>
        </w:rPr>
        <w:t> est valable, ne retire de l'onde 2 fois la puissance qu'il reçoit. Ce résultat, appelé paradoxe de l'extinction est général et valable que l'indice de réfraction de la sphère soit réel – auquel cas </w:t>
      </w:r>
      <w:proofErr w:type="spellStart"/>
      <w:r w:rsidRPr="00785AB5">
        <w:rPr>
          <w:rStyle w:val="texhtml"/>
          <w:rFonts w:cstheme="minorHAnsi"/>
          <w:i/>
          <w:iCs/>
        </w:rPr>
        <w:t>σ</w:t>
      </w:r>
      <w:r w:rsidRPr="00785AB5">
        <w:rPr>
          <w:rStyle w:val="texhtml"/>
          <w:rFonts w:cstheme="minorHAnsi"/>
          <w:vertAlign w:val="subscript"/>
        </w:rPr>
        <w:t>abs</w:t>
      </w:r>
      <w:proofErr w:type="spellEnd"/>
      <w:r w:rsidRPr="00785AB5">
        <w:rPr>
          <w:rStyle w:val="texhtml"/>
          <w:rFonts w:cstheme="minorHAnsi"/>
        </w:rPr>
        <w:t> = 0</w:t>
      </w:r>
      <w:r w:rsidRPr="00785AB5">
        <w:rPr>
          <w:rFonts w:cstheme="minorHAnsi"/>
        </w:rPr>
        <w:t> – ou complexe.</w:t>
      </w:r>
    </w:p>
    <w:p w14:paraId="761F9F9B" w14:textId="4B1BC2ED" w:rsidR="00785AB5" w:rsidRPr="00785AB5" w:rsidRDefault="00785AB5" w:rsidP="00785AB5">
      <w:pPr>
        <w:rPr>
          <w:rFonts w:cstheme="minorHAnsi"/>
        </w:rPr>
      </w:pPr>
      <w:r w:rsidRPr="00785AB5">
        <w:rPr>
          <w:rFonts w:cstheme="minorHAnsi"/>
        </w:rPr>
        <w:t>Il s'explique facilement en considérant la </w:t>
      </w:r>
      <w:r w:rsidRPr="00785AB5">
        <w:rPr>
          <w:rFonts w:cstheme="minorHAnsi"/>
        </w:rPr>
        <w:t>diffraction de Fraunhofer</w:t>
      </w:r>
      <w:r w:rsidRPr="00785AB5">
        <w:rPr>
          <w:rFonts w:cstheme="minorHAnsi"/>
        </w:rPr>
        <w:t> sur un disque opaque de même diamètre que la sphère. En vertu du </w:t>
      </w:r>
      <w:r w:rsidRPr="00785AB5">
        <w:rPr>
          <w:rFonts w:cstheme="minorHAnsi"/>
        </w:rPr>
        <w:t>principe de Babinet</w:t>
      </w:r>
      <w:r w:rsidRPr="00785AB5">
        <w:rPr>
          <w:rFonts w:cstheme="minorHAnsi"/>
        </w:rPr>
        <w:t>, la figure de diffraction aura la forme d'une </w:t>
      </w:r>
      <w:r w:rsidRPr="00785AB5">
        <w:rPr>
          <w:rFonts w:cstheme="minorHAnsi"/>
        </w:rPr>
        <w:t>tache d'Airy</w:t>
      </w:r>
      <w:r w:rsidRPr="00785AB5">
        <w:rPr>
          <w:rFonts w:cstheme="minorHAnsi"/>
        </w:rPr>
        <w:t>. En intégrant sur tout l'espace, on retrouve bien le résultat que</w:t>
      </w:r>
    </w:p>
    <w:p w14:paraId="363AEA7B" w14:textId="5F0E9087" w:rsidR="00785AB5" w:rsidRPr="00785AB5" w:rsidRDefault="00785AB5" w:rsidP="00785AB5">
      <w:pPr>
        <w:rPr>
          <w:rFonts w:cstheme="minorHAnsi"/>
        </w:rPr>
      </w:pPr>
      <w:r w:rsidRPr="00785AB5">
        <w:rPr>
          <w:rStyle w:val="mwe-math-mathml-inline"/>
          <w:rFonts w:ascii="Tahoma" w:hAnsi="Tahoma" w:cs="Tahoma"/>
          <w:vanish/>
        </w:rPr>
        <w:lastRenderedPageBreak/>
        <w:t>�</w:t>
      </w:r>
      <w:r w:rsidRPr="00785AB5">
        <w:rPr>
          <w:rStyle w:val="mwe-math-mathml-inline"/>
          <w:rFonts w:cstheme="minorHAnsi"/>
          <w:vanish/>
        </w:rPr>
        <w:t>abs→</w:t>
      </w:r>
      <w:r w:rsidRPr="00785AB5">
        <w:rPr>
          <w:rStyle w:val="mwe-math-mathml-inline"/>
          <w:rFonts w:ascii="Tahoma" w:hAnsi="Tahoma" w:cs="Tahoma"/>
          <w:vanish/>
        </w:rPr>
        <w:t>��</w:t>
      </w:r>
      <w:r w:rsidRPr="00785AB5">
        <w:rPr>
          <w:rStyle w:val="mwe-math-mathml-inline"/>
          <w:rFonts w:cstheme="minorHAnsi"/>
          <w:vanish/>
        </w:rPr>
        <w:t>2et</w:t>
      </w:r>
      <w:r w:rsidRPr="00785AB5">
        <w:rPr>
          <w:rStyle w:val="mwe-math-mathml-inline"/>
          <w:rFonts w:ascii="Tahoma" w:hAnsi="Tahoma" w:cs="Tahoma"/>
          <w:vanish/>
        </w:rPr>
        <w:t>�</w:t>
      </w:r>
      <w:r w:rsidRPr="00785AB5">
        <w:rPr>
          <w:rStyle w:val="mwe-math-mathml-inline"/>
          <w:rFonts w:cstheme="minorHAnsi"/>
          <w:vanish/>
        </w:rPr>
        <w:t>diff→</w:t>
      </w:r>
      <w:r w:rsidRPr="00785AB5">
        <w:rPr>
          <w:rStyle w:val="mwe-math-mathml-inline"/>
          <w:rFonts w:ascii="Tahoma" w:hAnsi="Tahoma" w:cs="Tahoma"/>
          <w:vanish/>
        </w:rPr>
        <w:t>��</w:t>
      </w:r>
      <w:r w:rsidRPr="00785AB5">
        <w:rPr>
          <w:rStyle w:val="mwe-math-mathml-inline"/>
          <w:rFonts w:cstheme="minorHAnsi"/>
          <w:vanish/>
        </w:rPr>
        <w:t>2,donc</w:t>
      </w:r>
      <w:r w:rsidRPr="00785AB5">
        <w:rPr>
          <w:rStyle w:val="mwe-math-mathml-inline"/>
          <w:rFonts w:ascii="Tahoma" w:hAnsi="Tahoma" w:cs="Tahoma"/>
          <w:vanish/>
        </w:rPr>
        <w:t>�</w:t>
      </w:r>
      <w:r w:rsidRPr="00785AB5">
        <w:rPr>
          <w:rStyle w:val="mwe-math-mathml-inline"/>
          <w:rFonts w:cstheme="minorHAnsi"/>
          <w:vanish/>
        </w:rPr>
        <w:t>ext→2</w:t>
      </w:r>
      <w:r w:rsidRPr="00785AB5">
        <w:rPr>
          <w:rStyle w:val="mwe-math-mathml-inline"/>
          <w:rFonts w:ascii="Tahoma" w:hAnsi="Tahoma" w:cs="Tahoma"/>
          <w:vanish/>
        </w:rPr>
        <w:t>��</w:t>
      </w:r>
      <w:r w:rsidRPr="00785AB5">
        <w:rPr>
          <w:rStyle w:val="mwe-math-mathml-inline"/>
          <w:rFonts w:cstheme="minorHAnsi"/>
          <w:vanish/>
        </w:rPr>
        <w:t>2.</w:t>
      </w:r>
      <w:r w:rsidRPr="00785AB5">
        <w:rPr>
          <w:rStyle w:val="mwe-math-mathml-inline"/>
          <w:rFonts w:cstheme="minorHAnsi"/>
        </w:rPr>
        <w:drawing>
          <wp:inline distT="0" distB="0" distL="0" distR="0" wp14:anchorId="4CCB7058" wp14:editId="33A1CFFD">
            <wp:extent cx="3398815" cy="289585"/>
            <wp:effectExtent l="0" t="0" r="0" b="0"/>
            <wp:docPr id="1633019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9297" name=""/>
                    <pic:cNvPicPr/>
                  </pic:nvPicPr>
                  <pic:blipFill>
                    <a:blip r:embed="rId16"/>
                    <a:stretch>
                      <a:fillRect/>
                    </a:stretch>
                  </pic:blipFill>
                  <pic:spPr>
                    <a:xfrm>
                      <a:off x="0" y="0"/>
                      <a:ext cx="3398815" cy="289585"/>
                    </a:xfrm>
                    <a:prstGeom prst="rect">
                      <a:avLst/>
                    </a:prstGeom>
                  </pic:spPr>
                </pic:pic>
              </a:graphicData>
            </a:graphic>
          </wp:inline>
        </w:drawing>
      </w:r>
    </w:p>
    <w:p w14:paraId="0D423D30" w14:textId="77777777" w:rsidR="00785AB5" w:rsidRPr="00785AB5" w:rsidRDefault="00785AB5" w:rsidP="00785AB5">
      <w:pPr>
        <w:rPr>
          <w:rFonts w:cstheme="minorHAnsi"/>
        </w:rPr>
      </w:pPr>
      <w:r w:rsidRPr="00785AB5">
        <w:rPr>
          <w:rFonts w:cstheme="minorHAnsi"/>
        </w:rPr>
        <w:t xml:space="preserve">Cependant, la puissance diffusée ne s'écartera que très peu de l'axe du faisceau. L'essentiel de la puissance se trouvera dans la première </w:t>
      </w:r>
      <w:proofErr w:type="spellStart"/>
      <w:r w:rsidRPr="00785AB5">
        <w:rPr>
          <w:rFonts w:cstheme="minorHAnsi"/>
        </w:rPr>
        <w:t>tache</w:t>
      </w:r>
      <w:proofErr w:type="spellEnd"/>
      <w:r w:rsidRPr="00785AB5">
        <w:rPr>
          <w:rFonts w:cstheme="minorHAnsi"/>
        </w:rPr>
        <w:t xml:space="preserve"> d'Airy, correspondant à un angle de diffraction de </w:t>
      </w:r>
      <w:r w:rsidRPr="00785AB5">
        <w:rPr>
          <w:rStyle w:val="texhtml"/>
          <w:rFonts w:cstheme="minorHAnsi"/>
        </w:rPr>
        <w:t>1.22π/</w:t>
      </w:r>
      <w:r w:rsidRPr="00785AB5">
        <w:rPr>
          <w:rStyle w:val="texhtml"/>
          <w:rFonts w:cstheme="minorHAnsi"/>
          <w:i/>
          <w:iCs/>
        </w:rPr>
        <w:t>x</w:t>
      </w:r>
      <w:r w:rsidRPr="00785AB5">
        <w:rPr>
          <w:rFonts w:cstheme="minorHAnsi"/>
        </w:rPr>
        <w:t>. Pour distinguer l'onde diffusée de l'onde transmise, il faut avoir une résolution angulaire d'autant meilleure que </w:t>
      </w:r>
      <w:r w:rsidRPr="00785AB5">
        <w:rPr>
          <w:rFonts w:cstheme="minorHAnsi"/>
          <w:i/>
          <w:iCs/>
        </w:rPr>
        <w:t>x</w:t>
      </w:r>
      <w:r w:rsidRPr="00785AB5">
        <w:rPr>
          <w:rFonts w:cstheme="minorHAnsi"/>
        </w:rPr>
        <w:t> est important. Ainsi, à partir de </w:t>
      </w:r>
      <w:r w:rsidRPr="00785AB5">
        <w:rPr>
          <w:rStyle w:val="texhtml"/>
          <w:rFonts w:cstheme="minorHAnsi"/>
          <w:i/>
          <w:iCs/>
        </w:rPr>
        <w:t>x</w:t>
      </w:r>
      <w:r w:rsidRPr="00785AB5">
        <w:rPr>
          <w:rStyle w:val="texhtml"/>
          <w:rFonts w:cstheme="minorHAnsi"/>
        </w:rPr>
        <w:t> = 440</w:t>
      </w:r>
      <w:r w:rsidRPr="00785AB5">
        <w:rPr>
          <w:rFonts w:cstheme="minorHAnsi"/>
        </w:rPr>
        <w:t>, cet angle devient inférieur à 0.5° qui est l'angle apparent du soleil.</w:t>
      </w:r>
    </w:p>
    <w:p w14:paraId="112BFDE2" w14:textId="77777777" w:rsidR="00785AB5" w:rsidRDefault="00785AB5" w:rsidP="00785AB5">
      <w:pPr>
        <w:pStyle w:val="NormalWeb"/>
        <w:shd w:val="clear" w:color="auto" w:fill="FFFFFF"/>
        <w:spacing w:before="120" w:beforeAutospacing="0" w:after="120" w:afterAutospacing="0"/>
        <w:rPr>
          <w:rFonts w:ascii="Arial" w:hAnsi="Arial" w:cs="Arial"/>
          <w:color w:val="202122"/>
          <w:sz w:val="21"/>
          <w:szCs w:val="21"/>
        </w:rPr>
      </w:pPr>
    </w:p>
    <w:p w14:paraId="41321F5F" w14:textId="64DB12E5" w:rsidR="00785AB5" w:rsidRPr="00785AB5" w:rsidRDefault="00785AB5" w:rsidP="00785AB5">
      <w:pPr>
        <w:pStyle w:val="Titre2"/>
      </w:pPr>
      <w:bookmarkStart w:id="9" w:name="_Toc148702795"/>
      <w:r>
        <w:rPr>
          <w:noProof/>
          <w:color w:val="3366CC"/>
          <w:bdr w:val="none" w:sz="0" w:space="0" w:color="auto" w:frame="1"/>
        </w:rPr>
        <w:drawing>
          <wp:anchor distT="0" distB="0" distL="114300" distR="114300" simplePos="0" relativeHeight="251659264" behindDoc="0" locked="0" layoutInCell="1" allowOverlap="1" wp14:anchorId="239A6440" wp14:editId="4370B87A">
            <wp:simplePos x="0" y="0"/>
            <wp:positionH relativeFrom="margin">
              <wp:align>right</wp:align>
            </wp:positionH>
            <wp:positionV relativeFrom="paragraph">
              <wp:posOffset>7620</wp:posOffset>
            </wp:positionV>
            <wp:extent cx="1303020" cy="1260376"/>
            <wp:effectExtent l="0" t="0" r="0" b="0"/>
            <wp:wrapSquare wrapText="bothSides"/>
            <wp:docPr id="2033961630" name="Image 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03020" cy="1260376"/>
                    </a:xfrm>
                    <a:prstGeom prst="rect">
                      <a:avLst/>
                    </a:prstGeom>
                    <a:noFill/>
                    <a:ln>
                      <a:noFill/>
                    </a:ln>
                  </pic:spPr>
                </pic:pic>
              </a:graphicData>
            </a:graphic>
          </wp:anchor>
        </w:drawing>
      </w:r>
      <w:r w:rsidRPr="00785AB5">
        <w:rPr>
          <w:rStyle w:val="mw-headline"/>
        </w:rPr>
        <w:t>Pics fins – modes de galerie</w:t>
      </w:r>
      <w:bookmarkEnd w:id="9"/>
    </w:p>
    <w:p w14:paraId="4C139C20" w14:textId="640EE3D9" w:rsidR="00785AB5" w:rsidRPr="00785AB5" w:rsidRDefault="00785AB5" w:rsidP="00785AB5">
      <w:pPr>
        <w:rPr>
          <w:rFonts w:cstheme="minorHAnsi"/>
        </w:rPr>
      </w:pPr>
      <w:r w:rsidRPr="00785AB5">
        <w:rPr>
          <w:rFonts w:cstheme="minorHAnsi"/>
        </w:rPr>
        <w:t>Autour de certaines fréquences, la section efficace de diffusion a un comportement </w:t>
      </w:r>
      <w:r w:rsidRPr="00785AB5">
        <w:rPr>
          <w:rFonts w:cstheme="minorHAnsi"/>
        </w:rPr>
        <w:t>résonant</w:t>
      </w:r>
      <w:r w:rsidRPr="00785AB5">
        <w:rPr>
          <w:rFonts w:cstheme="minorHAnsi"/>
        </w:rPr>
        <w:t> ; on observe des pics qui peuvent être très fins et qui sont dus à des </w:t>
      </w:r>
      <w:r w:rsidRPr="00785AB5">
        <w:rPr>
          <w:rFonts w:cstheme="minorHAnsi"/>
        </w:rPr>
        <w:t>modes de galerie</w:t>
      </w:r>
      <w:r w:rsidRPr="00785AB5">
        <w:rPr>
          <w:rFonts w:cstheme="minorHAnsi"/>
        </w:rPr>
        <w:t xml:space="preserve"> dans la sphère. Ils ne sont en général pas </w:t>
      </w:r>
      <w:proofErr w:type="gramStart"/>
      <w:r w:rsidRPr="00785AB5">
        <w:rPr>
          <w:rFonts w:cstheme="minorHAnsi"/>
        </w:rPr>
        <w:t>observable</w:t>
      </w:r>
      <w:proofErr w:type="gramEnd"/>
      <w:r w:rsidRPr="00785AB5">
        <w:rPr>
          <w:rFonts w:cstheme="minorHAnsi"/>
        </w:rPr>
        <w:t xml:space="preserve"> sur des ensembles de sphères en raison de leur très faible largeur spectrale : la moindre dispersion en taille de la population de sphères élargira et brouillera les résonances. Ils peuvent cependant être utilisés en </w:t>
      </w:r>
      <w:r w:rsidRPr="00785AB5">
        <w:rPr>
          <w:rFonts w:cstheme="minorHAnsi"/>
        </w:rPr>
        <w:t>photonique</w:t>
      </w:r>
      <w:r w:rsidRPr="00785AB5">
        <w:rPr>
          <w:rFonts w:cstheme="minorHAnsi"/>
        </w:rPr>
        <w:t> pour créer des filtres très sélectifs ou des lignes à délai. La </w:t>
      </w:r>
      <w:r w:rsidRPr="00785AB5">
        <w:rPr>
          <w:rFonts w:cstheme="minorHAnsi"/>
        </w:rPr>
        <w:t>pression de radiation</w:t>
      </w:r>
      <w:r w:rsidRPr="00785AB5">
        <w:rPr>
          <w:rFonts w:cstheme="minorHAnsi"/>
        </w:rPr>
        <w:t> due à la diffusion au voisinage d'une résonance est également utile pour créer des </w:t>
      </w:r>
      <w:r w:rsidRPr="00785AB5">
        <w:rPr>
          <w:rFonts w:cstheme="minorHAnsi"/>
        </w:rPr>
        <w:t>pinces optiques</w:t>
      </w:r>
      <w:r w:rsidRPr="00785AB5">
        <w:rPr>
          <w:rFonts w:cstheme="minorHAnsi"/>
        </w:rPr>
        <w:t> à partir de sphères diélectriques.</w:t>
      </w:r>
    </w:p>
    <w:p w14:paraId="2775731C" w14:textId="77777777" w:rsidR="00785AB5" w:rsidRDefault="00785AB5" w:rsidP="00785AB5">
      <w:pPr>
        <w:rPr>
          <w:rFonts w:ascii="Arial" w:hAnsi="Arial" w:cs="Arial"/>
          <w:color w:val="202122"/>
          <w:sz w:val="21"/>
          <w:szCs w:val="21"/>
        </w:rPr>
      </w:pPr>
    </w:p>
    <w:p w14:paraId="2759506B" w14:textId="5FCDBD21" w:rsidR="00785AB5" w:rsidRPr="00785AB5" w:rsidRDefault="00785AB5" w:rsidP="00785AB5">
      <w:pPr>
        <w:pStyle w:val="Titre2"/>
      </w:pPr>
      <w:bookmarkStart w:id="10" w:name="_Toc148702796"/>
      <w:r w:rsidRPr="00785AB5">
        <w:rPr>
          <w:rStyle w:val="mw-headline"/>
        </w:rPr>
        <w:t>Impact de l'absorption</w:t>
      </w:r>
      <w:bookmarkEnd w:id="10"/>
    </w:p>
    <w:p w14:paraId="286ED5B7" w14:textId="00B691D3" w:rsidR="00785AB5" w:rsidRDefault="00785AB5" w:rsidP="00785AB5">
      <w:r>
        <w:t>Si la sphère n'est pas un diélectrique sans perte, on peut observer quelques changements par rapport à ce qui est décrit ci-dessus. Tout d'abord, les pics fins s'élargissent puis disparaissent rapidement car ils sont dus à des ondes qui font un grand nombre de tours dans la sphère. Pour de plus forts coefficients d'absorption, la structure d'interférence disparaît également. Il est également possible que de nouveaux pics apparaissent, liés à une résonance dans le coefficient d'absorption du matériau.</w:t>
      </w:r>
    </w:p>
    <w:p w14:paraId="70FCDBE0" w14:textId="77777777" w:rsidR="00785AB5" w:rsidRDefault="00785AB5" w:rsidP="00785AB5">
      <w:pPr>
        <w:pStyle w:val="NormalWeb"/>
        <w:shd w:val="clear" w:color="auto" w:fill="FFFFFF"/>
        <w:spacing w:before="120" w:beforeAutospacing="0" w:after="120" w:afterAutospacing="0"/>
        <w:rPr>
          <w:rFonts w:ascii="Arial" w:hAnsi="Arial" w:cs="Arial"/>
          <w:color w:val="202122"/>
          <w:sz w:val="21"/>
          <w:szCs w:val="21"/>
        </w:rPr>
      </w:pPr>
    </w:p>
    <w:p w14:paraId="3F0993D7" w14:textId="2D8E424E" w:rsidR="00785AB5" w:rsidRPr="00785AB5" w:rsidRDefault="00785AB5" w:rsidP="00785AB5">
      <w:pPr>
        <w:pStyle w:val="Titre2"/>
      </w:pPr>
      <w:bookmarkStart w:id="11" w:name="_Toc148702797"/>
      <w:r w:rsidRPr="00785AB5">
        <w:rPr>
          <w:rStyle w:val="mw-headline"/>
        </w:rPr>
        <w:t>Distribution angulaire du rayonnement diffusé</w:t>
      </w:r>
      <w:bookmarkEnd w:id="11"/>
    </w:p>
    <w:p w14:paraId="6D796815" w14:textId="5552C4D1" w:rsidR="00785AB5" w:rsidRPr="00785AB5" w:rsidRDefault="00785AB5" w:rsidP="00785AB5">
      <w:pPr>
        <w:rPr>
          <w:rFonts w:cstheme="minorHAnsi"/>
        </w:rPr>
      </w:pPr>
      <w:r w:rsidRPr="00785AB5">
        <w:rPr>
          <w:rFonts w:cstheme="minorHAnsi"/>
        </w:rPr>
        <w:t>Le cas de la diffusion par des très petites particules, telles que des </w:t>
      </w:r>
      <w:r w:rsidRPr="00785AB5">
        <w:rPr>
          <w:rFonts w:cstheme="minorHAnsi"/>
        </w:rPr>
        <w:t>molécules</w:t>
      </w:r>
      <w:r w:rsidRPr="00785AB5">
        <w:rPr>
          <w:rFonts w:cstheme="minorHAnsi"/>
        </w:rPr>
        <w:t>, de dimensions inférieures au dixième de la longueur d'onde considérée, est un cas limite appelé </w:t>
      </w:r>
      <w:r w:rsidRPr="00785AB5">
        <w:rPr>
          <w:rFonts w:cstheme="minorHAnsi"/>
        </w:rPr>
        <w:t>diffusion Rayleigh</w:t>
      </w:r>
      <w:r w:rsidRPr="00785AB5">
        <w:rPr>
          <w:rFonts w:cstheme="minorHAnsi"/>
        </w:rPr>
        <w:t>. Pour les particules plus grosses que cette longueur d'onde, on doit prendre en compte la diffusion de Mie dans son intégralité : elle explique dans quelles directions la diffusion est la plus intense, on obtient ainsi un « patron de réémission » qui ressemble à celui des lobes d'émission d'une antenne, avec, dans le cas de grosses particules, un lobe plus intense dans le sens de l'onde incidente.</w:t>
      </w:r>
    </w:p>
    <w:p w14:paraId="659AEAAF" w14:textId="0AD25738" w:rsidR="00785AB5" w:rsidRPr="00785AB5" w:rsidRDefault="00785AB5" w:rsidP="00785AB5">
      <w:pPr>
        <w:rPr>
          <w:rFonts w:cstheme="minorHAnsi"/>
        </w:rPr>
      </w:pPr>
      <w:r w:rsidRPr="00785AB5">
        <w:rPr>
          <w:rFonts w:cstheme="minorHAnsi"/>
          <w:noProof/>
          <w:bdr w:val="none" w:sz="0" w:space="0" w:color="auto" w:frame="1"/>
        </w:rPr>
        <w:drawing>
          <wp:inline distT="0" distB="0" distL="0" distR="0" wp14:anchorId="7504BE91" wp14:editId="1F0480EA">
            <wp:extent cx="5760720" cy="1387475"/>
            <wp:effectExtent l="0" t="0" r="0" b="0"/>
            <wp:docPr id="1289618598" name="Imag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387475"/>
                    </a:xfrm>
                    <a:prstGeom prst="rect">
                      <a:avLst/>
                    </a:prstGeom>
                    <a:noFill/>
                    <a:ln>
                      <a:noFill/>
                    </a:ln>
                  </pic:spPr>
                </pic:pic>
              </a:graphicData>
            </a:graphic>
          </wp:inline>
        </w:drawing>
      </w:r>
      <w:r w:rsidRPr="00785AB5">
        <w:rPr>
          <w:rFonts w:cstheme="minorHAnsi"/>
        </w:rPr>
        <w:t>De gauche à droite : intensité de la diffusion Rayleigh, de la diffusion Mie pour de petites particules et de la diffusion Mie pour de grosses particules, en fonction de la direction. L'onde incidente arrive par la gauche.</w:t>
      </w:r>
    </w:p>
    <w:p w14:paraId="01700A94" w14:textId="00E29400" w:rsidR="00785AB5" w:rsidRPr="00785AB5" w:rsidRDefault="00785AB5" w:rsidP="00785AB5">
      <w:pPr>
        <w:rPr>
          <w:rFonts w:cstheme="minorHAnsi"/>
        </w:rPr>
      </w:pPr>
      <w:r w:rsidRPr="00785AB5">
        <w:rPr>
          <w:rFonts w:cstheme="minorHAnsi"/>
        </w:rPr>
        <w:lastRenderedPageBreak/>
        <w:t>La diffusion de Mie n'est pas toujours fortement dépendante de la longueur d'onde utilisée comme c'est le cas dans celle de Rayleigh. Elle produit donc une lumière presque </w:t>
      </w:r>
      <w:r w:rsidRPr="00785AB5">
        <w:rPr>
          <w:rFonts w:cstheme="minorHAnsi"/>
        </w:rPr>
        <w:t>blanche</w:t>
      </w:r>
      <w:r w:rsidRPr="00785AB5">
        <w:rPr>
          <w:rFonts w:cstheme="minorHAnsi"/>
        </w:rPr>
        <w:t> lorsque le </w:t>
      </w:r>
      <w:r w:rsidRPr="00785AB5">
        <w:rPr>
          <w:rFonts w:cstheme="minorHAnsi"/>
        </w:rPr>
        <w:t>Soleil</w:t>
      </w:r>
      <w:r w:rsidRPr="00785AB5">
        <w:rPr>
          <w:rFonts w:cstheme="minorHAnsi"/>
        </w:rPr>
        <w:t> illumine de grosses particules dans l'air : c'est cette dispersion qui donne la couleur blanc laiteux à la </w:t>
      </w:r>
      <w:r w:rsidRPr="00785AB5">
        <w:rPr>
          <w:rFonts w:cstheme="minorHAnsi"/>
        </w:rPr>
        <w:t>brume</w:t>
      </w:r>
      <w:r w:rsidRPr="00785AB5">
        <w:rPr>
          <w:rFonts w:cstheme="minorHAnsi"/>
        </w:rPr>
        <w:t> et au </w:t>
      </w:r>
      <w:r w:rsidRPr="00785AB5">
        <w:rPr>
          <w:rFonts w:cstheme="minorHAnsi"/>
        </w:rPr>
        <w:t>brouillard</w:t>
      </w:r>
      <w:r w:rsidRPr="00785AB5">
        <w:rPr>
          <w:rFonts w:cstheme="minorHAnsi"/>
        </w:rPr>
        <w:t>.</w:t>
      </w:r>
    </w:p>
    <w:p w14:paraId="42528A23" w14:textId="77777777" w:rsidR="00785AB5" w:rsidRPr="00785AB5" w:rsidRDefault="00785AB5" w:rsidP="00785AB5">
      <w:pPr>
        <w:rPr>
          <w:rFonts w:cstheme="minorHAnsi"/>
        </w:rPr>
      </w:pPr>
      <w:r w:rsidRPr="00785AB5">
        <w:rPr>
          <w:rFonts w:cstheme="minorHAnsi"/>
        </w:rPr>
        <w:t>Cependant, si les solutions fournies par la diffusion de Mie sont exactes (pour des sphères), elles se présentent sous la forme d'une série infinie de fonctions spéciales, et on est souvent limité à des approches numériques.</w:t>
      </w:r>
    </w:p>
    <w:p w14:paraId="4CA85ED0" w14:textId="752CBF08" w:rsidR="00CA5F17" w:rsidRPr="00AF4BE3" w:rsidRDefault="00CA5F17" w:rsidP="00785AB5">
      <w:pPr>
        <w:pStyle w:val="Titre2"/>
        <w:rPr>
          <w:rFonts w:eastAsiaTheme="minorHAnsi"/>
        </w:rPr>
      </w:pPr>
    </w:p>
    <w:sectPr w:rsidR="00CA5F17" w:rsidRPr="00AF4BE3">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FC171" w14:textId="77777777" w:rsidR="00E962C0" w:rsidRDefault="00E962C0" w:rsidP="00B33482">
      <w:pPr>
        <w:spacing w:after="0" w:line="240" w:lineRule="auto"/>
      </w:pPr>
      <w:r>
        <w:separator/>
      </w:r>
    </w:p>
  </w:endnote>
  <w:endnote w:type="continuationSeparator" w:id="0">
    <w:p w14:paraId="4E04D343" w14:textId="77777777" w:rsidR="00E962C0" w:rsidRDefault="00E962C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765B8" w14:textId="77777777" w:rsidR="00E962C0" w:rsidRDefault="00E962C0" w:rsidP="00B33482">
      <w:pPr>
        <w:spacing w:after="0" w:line="240" w:lineRule="auto"/>
      </w:pPr>
      <w:r>
        <w:separator/>
      </w:r>
    </w:p>
  </w:footnote>
  <w:footnote w:type="continuationSeparator" w:id="0">
    <w:p w14:paraId="03422B79" w14:textId="77777777" w:rsidR="00E962C0" w:rsidRDefault="00E962C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4CDC449E" w:rsidR="00464474" w:rsidRDefault="00005CC2" w:rsidP="00464474">
    <w:pPr>
      <w:rPr>
        <w:rFonts w:ascii="Georgia" w:hAnsi="Georgia"/>
        <w:color w:val="000000"/>
        <w:sz w:val="43"/>
        <w:szCs w:val="43"/>
      </w:rPr>
    </w:pPr>
    <w:r>
      <w:t>PHYSIQUE</w:t>
    </w:r>
    <w:r w:rsidR="00C613C3">
      <w:t xml:space="preserve"> –</w:t>
    </w:r>
    <w:r w:rsidR="00DD47C7">
      <w:t xml:space="preserve"> </w:t>
    </w:r>
    <w:r w:rsidR="00E42A12" w:rsidRPr="00E42A12">
      <w:t>Diffusion de Mie</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2"/>
  </w:num>
  <w:num w:numId="2" w16cid:durableId="581375566">
    <w:abstractNumId w:val="128"/>
  </w:num>
  <w:num w:numId="3" w16cid:durableId="1094352752">
    <w:abstractNumId w:val="79"/>
  </w:num>
  <w:num w:numId="4" w16cid:durableId="1174489643">
    <w:abstractNumId w:val="26"/>
  </w:num>
  <w:num w:numId="5" w16cid:durableId="1762679014">
    <w:abstractNumId w:val="170"/>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3"/>
  </w:num>
  <w:num w:numId="24" w16cid:durableId="1906716218">
    <w:abstractNumId w:val="71"/>
  </w:num>
  <w:num w:numId="25" w16cid:durableId="1005131902">
    <w:abstractNumId w:val="173"/>
  </w:num>
  <w:num w:numId="26" w16cid:durableId="1129587002">
    <w:abstractNumId w:val="27"/>
  </w:num>
  <w:num w:numId="27" w16cid:durableId="1315839072">
    <w:abstractNumId w:val="130"/>
  </w:num>
  <w:num w:numId="28" w16cid:durableId="1031808116">
    <w:abstractNumId w:val="160"/>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7"/>
  </w:num>
  <w:num w:numId="41" w16cid:durableId="2026592149">
    <w:abstractNumId w:val="98"/>
  </w:num>
  <w:num w:numId="42" w16cid:durableId="562326196">
    <w:abstractNumId w:val="85"/>
  </w:num>
  <w:num w:numId="43" w16cid:durableId="122312765">
    <w:abstractNumId w:val="13"/>
  </w:num>
  <w:num w:numId="44" w16cid:durableId="587497021">
    <w:abstractNumId w:val="159"/>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6"/>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1"/>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2"/>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69"/>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8"/>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4"/>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8"/>
  </w:num>
  <w:num w:numId="152" w16cid:durableId="431363956">
    <w:abstractNumId w:val="154"/>
  </w:num>
  <w:num w:numId="153" w16cid:durableId="176579544">
    <w:abstractNumId w:val="49"/>
  </w:num>
  <w:num w:numId="154" w16cid:durableId="211162258">
    <w:abstractNumId w:val="165"/>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Mie_scattering_-_geometry_and_notations.svg?uselang=fr"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ommons.wikimedia.org/wiki/File:Diffusion_de_Mie_-_Efficacit%C3%A9_de_diffusion_en_fonction_du_param%C3%A8tre_de_taille.svg?uselang=fr" TargetMode="External"/><Relationship Id="rId17" Type="http://schemas.openxmlformats.org/officeDocument/2006/relationships/hyperlink" Target="https://commons.wikimedia.org/wiki/File:Whispering_gallery_modes_sphere.png?uselang=f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ommons.wikimedia.org/wiki/File:Mie_scattering.sv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6</Pages>
  <Words>1991</Words>
  <Characters>10954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208</cp:revision>
  <dcterms:created xsi:type="dcterms:W3CDTF">2022-11-21T18:39:00Z</dcterms:created>
  <dcterms:modified xsi:type="dcterms:W3CDTF">2023-10-20T11:59:00Z</dcterms:modified>
</cp:coreProperties>
</file>