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477DD64E" w:rsidR="003B22A5" w:rsidRDefault="00F92992" w:rsidP="00D078BD">
      <w:pPr>
        <w:pStyle w:val="Titre"/>
        <w:rPr>
          <w:b/>
          <w:bCs/>
        </w:rPr>
      </w:pPr>
      <w:r>
        <w:rPr>
          <w:b/>
          <w:bCs/>
        </w:rPr>
        <w:t>LASER</w:t>
      </w:r>
    </w:p>
    <w:sdt>
      <w:sdtPr>
        <w:id w:val="95468023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0C40377" w14:textId="3572C952" w:rsidR="000C3DE6" w:rsidRDefault="000C3DE6">
          <w:pPr>
            <w:pStyle w:val="En-ttedetabledesmatires"/>
          </w:pPr>
          <w:r>
            <w:t>Table des matières</w:t>
          </w:r>
        </w:p>
        <w:p w14:paraId="1E7B9FF3" w14:textId="42818A6C" w:rsidR="000C3DE6" w:rsidRDefault="000C3DE6">
          <w:pPr>
            <w:pStyle w:val="TM1"/>
            <w:tabs>
              <w:tab w:val="right" w:leader="dot" w:pos="9062"/>
            </w:tabs>
            <w:rPr>
              <w:noProof/>
            </w:rPr>
          </w:pPr>
          <w:r>
            <w:fldChar w:fldCharType="begin"/>
          </w:r>
          <w:r>
            <w:instrText xml:space="preserve"> TOC \o "1-3" \h \z \u </w:instrText>
          </w:r>
          <w:r>
            <w:fldChar w:fldCharType="separate"/>
          </w:r>
          <w:hyperlink w:anchor="_Toc133070061" w:history="1">
            <w:r w:rsidRPr="00E62626">
              <w:rPr>
                <w:rStyle w:val="Lienhypertexte"/>
                <w:b/>
                <w:bCs/>
                <w:noProof/>
              </w:rPr>
              <w:t>Introduction</w:t>
            </w:r>
            <w:r>
              <w:rPr>
                <w:noProof/>
                <w:webHidden/>
              </w:rPr>
              <w:tab/>
            </w:r>
            <w:r>
              <w:rPr>
                <w:noProof/>
                <w:webHidden/>
              </w:rPr>
              <w:fldChar w:fldCharType="begin"/>
            </w:r>
            <w:r>
              <w:rPr>
                <w:noProof/>
                <w:webHidden/>
              </w:rPr>
              <w:instrText xml:space="preserve"> PAGEREF _Toc133070061 \h </w:instrText>
            </w:r>
            <w:r>
              <w:rPr>
                <w:noProof/>
                <w:webHidden/>
              </w:rPr>
            </w:r>
            <w:r>
              <w:rPr>
                <w:noProof/>
                <w:webHidden/>
              </w:rPr>
              <w:fldChar w:fldCharType="separate"/>
            </w:r>
            <w:r>
              <w:rPr>
                <w:noProof/>
                <w:webHidden/>
              </w:rPr>
              <w:t>1</w:t>
            </w:r>
            <w:r>
              <w:rPr>
                <w:noProof/>
                <w:webHidden/>
              </w:rPr>
              <w:fldChar w:fldCharType="end"/>
            </w:r>
          </w:hyperlink>
        </w:p>
        <w:p w14:paraId="07B3FF7A" w14:textId="5E7625E8" w:rsidR="000C3DE6" w:rsidRDefault="000C3DE6">
          <w:pPr>
            <w:pStyle w:val="TM1"/>
            <w:tabs>
              <w:tab w:val="right" w:leader="dot" w:pos="9062"/>
            </w:tabs>
            <w:rPr>
              <w:noProof/>
            </w:rPr>
          </w:pPr>
          <w:hyperlink w:anchor="_Toc133070062" w:history="1">
            <w:r w:rsidRPr="00E62626">
              <w:rPr>
                <w:rStyle w:val="Lienhypertexte"/>
                <w:b/>
                <w:bCs/>
                <w:noProof/>
              </w:rPr>
              <w:t>L’absorption</w:t>
            </w:r>
            <w:r>
              <w:rPr>
                <w:noProof/>
                <w:webHidden/>
              </w:rPr>
              <w:tab/>
            </w:r>
            <w:r>
              <w:rPr>
                <w:noProof/>
                <w:webHidden/>
              </w:rPr>
              <w:fldChar w:fldCharType="begin"/>
            </w:r>
            <w:r>
              <w:rPr>
                <w:noProof/>
                <w:webHidden/>
              </w:rPr>
              <w:instrText xml:space="preserve"> PAGEREF _Toc133070062 \h </w:instrText>
            </w:r>
            <w:r>
              <w:rPr>
                <w:noProof/>
                <w:webHidden/>
              </w:rPr>
            </w:r>
            <w:r>
              <w:rPr>
                <w:noProof/>
                <w:webHidden/>
              </w:rPr>
              <w:fldChar w:fldCharType="separate"/>
            </w:r>
            <w:r>
              <w:rPr>
                <w:noProof/>
                <w:webHidden/>
              </w:rPr>
              <w:t>1</w:t>
            </w:r>
            <w:r>
              <w:rPr>
                <w:noProof/>
                <w:webHidden/>
              </w:rPr>
              <w:fldChar w:fldCharType="end"/>
            </w:r>
          </w:hyperlink>
        </w:p>
        <w:p w14:paraId="1F5CA8C4" w14:textId="11FAFA50" w:rsidR="000C3DE6" w:rsidRDefault="000C3DE6">
          <w:pPr>
            <w:pStyle w:val="TM1"/>
            <w:tabs>
              <w:tab w:val="right" w:leader="dot" w:pos="9062"/>
            </w:tabs>
            <w:rPr>
              <w:noProof/>
            </w:rPr>
          </w:pPr>
          <w:hyperlink w:anchor="_Toc133070063" w:history="1">
            <w:r w:rsidRPr="00E62626">
              <w:rPr>
                <w:rStyle w:val="Lienhypertexte"/>
                <w:b/>
                <w:bCs/>
                <w:noProof/>
              </w:rPr>
              <w:t>L’émission stimulée</w:t>
            </w:r>
            <w:r>
              <w:rPr>
                <w:noProof/>
                <w:webHidden/>
              </w:rPr>
              <w:tab/>
            </w:r>
            <w:r>
              <w:rPr>
                <w:noProof/>
                <w:webHidden/>
              </w:rPr>
              <w:fldChar w:fldCharType="begin"/>
            </w:r>
            <w:r>
              <w:rPr>
                <w:noProof/>
                <w:webHidden/>
              </w:rPr>
              <w:instrText xml:space="preserve"> PAGEREF _Toc133070063 \h </w:instrText>
            </w:r>
            <w:r>
              <w:rPr>
                <w:noProof/>
                <w:webHidden/>
              </w:rPr>
            </w:r>
            <w:r>
              <w:rPr>
                <w:noProof/>
                <w:webHidden/>
              </w:rPr>
              <w:fldChar w:fldCharType="separate"/>
            </w:r>
            <w:r>
              <w:rPr>
                <w:noProof/>
                <w:webHidden/>
              </w:rPr>
              <w:t>1</w:t>
            </w:r>
            <w:r>
              <w:rPr>
                <w:noProof/>
                <w:webHidden/>
              </w:rPr>
              <w:fldChar w:fldCharType="end"/>
            </w:r>
          </w:hyperlink>
        </w:p>
        <w:p w14:paraId="40C31895" w14:textId="0B41D718" w:rsidR="000C3DE6" w:rsidRDefault="000C3DE6">
          <w:pPr>
            <w:pStyle w:val="TM1"/>
            <w:tabs>
              <w:tab w:val="right" w:leader="dot" w:pos="9062"/>
            </w:tabs>
            <w:rPr>
              <w:noProof/>
            </w:rPr>
          </w:pPr>
          <w:hyperlink w:anchor="_Toc133070064" w:history="1">
            <w:r w:rsidRPr="00E62626">
              <w:rPr>
                <w:rStyle w:val="Lienhypertexte"/>
                <w:b/>
                <w:bCs/>
                <w:noProof/>
              </w:rPr>
              <w:t>L’émission spontanée</w:t>
            </w:r>
            <w:r>
              <w:rPr>
                <w:noProof/>
                <w:webHidden/>
              </w:rPr>
              <w:tab/>
            </w:r>
            <w:r>
              <w:rPr>
                <w:noProof/>
                <w:webHidden/>
              </w:rPr>
              <w:fldChar w:fldCharType="begin"/>
            </w:r>
            <w:r>
              <w:rPr>
                <w:noProof/>
                <w:webHidden/>
              </w:rPr>
              <w:instrText xml:space="preserve"> PAGEREF _Toc133070064 \h </w:instrText>
            </w:r>
            <w:r>
              <w:rPr>
                <w:noProof/>
                <w:webHidden/>
              </w:rPr>
            </w:r>
            <w:r>
              <w:rPr>
                <w:noProof/>
                <w:webHidden/>
              </w:rPr>
              <w:fldChar w:fldCharType="separate"/>
            </w:r>
            <w:r>
              <w:rPr>
                <w:noProof/>
                <w:webHidden/>
              </w:rPr>
              <w:t>2</w:t>
            </w:r>
            <w:r>
              <w:rPr>
                <w:noProof/>
                <w:webHidden/>
              </w:rPr>
              <w:fldChar w:fldCharType="end"/>
            </w:r>
          </w:hyperlink>
        </w:p>
        <w:p w14:paraId="4AC5B30A" w14:textId="77E55ECD" w:rsidR="000C3DE6" w:rsidRDefault="000C3DE6">
          <w:r>
            <w:rPr>
              <w:b/>
              <w:bCs/>
            </w:rPr>
            <w:fldChar w:fldCharType="end"/>
          </w:r>
        </w:p>
      </w:sdtContent>
    </w:sdt>
    <w:p w14:paraId="4193375B" w14:textId="47BF6517" w:rsidR="00F92992" w:rsidRDefault="00F92992" w:rsidP="00F92992"/>
    <w:p w14:paraId="149604B1" w14:textId="6871AFA5" w:rsidR="00F92992" w:rsidRPr="00F92992" w:rsidRDefault="00F92992" w:rsidP="00F92992">
      <w:pPr>
        <w:pStyle w:val="Titre1"/>
        <w:rPr>
          <w:b/>
          <w:bCs/>
        </w:rPr>
      </w:pPr>
      <w:bookmarkStart w:id="0" w:name="_Toc133070061"/>
      <w:r w:rsidRPr="00F92992">
        <w:rPr>
          <w:b/>
          <w:bCs/>
        </w:rPr>
        <w:t>Introduction</w:t>
      </w:r>
      <w:bookmarkEnd w:id="0"/>
    </w:p>
    <w:p w14:paraId="6C6C413A" w14:textId="33A3E00C" w:rsidR="00F92992" w:rsidRDefault="00935E5C" w:rsidP="005D7FF2">
      <w:pPr>
        <w:jc w:val="both"/>
      </w:pPr>
      <w:r>
        <w:t xml:space="preserve">Un </w:t>
      </w:r>
      <w:r w:rsidRPr="005D7FF2">
        <w:t>laser</w:t>
      </w:r>
      <w:r>
        <w:t xml:space="preserve"> (</w:t>
      </w:r>
      <w:r w:rsidRPr="001A5B74">
        <w:t>acronyme</w:t>
      </w:r>
      <w:r>
        <w:t xml:space="preserve"> issu de l'anglais </w:t>
      </w:r>
      <w:r w:rsidRPr="005D7FF2">
        <w:t>light amplification by stimulated emission of radiation</w:t>
      </w:r>
      <w:r>
        <w:t xml:space="preserve"> qui signifie « amplification de la lumière par émission stimulée de radiation ») est un système </w:t>
      </w:r>
      <w:r w:rsidRPr="001A5B74">
        <w:t>photonique</w:t>
      </w:r>
      <w:r>
        <w:t xml:space="preserve">. Il s'agit d'un appareil qui produit un rayonnement lumineux spatialement et temporellement </w:t>
      </w:r>
      <w:r w:rsidRPr="001A5B74">
        <w:t>cohérent</w:t>
      </w:r>
      <w:r>
        <w:t xml:space="preserve"> (capacité à créer des interférences) reposant sur le processus d'</w:t>
      </w:r>
      <w:r w:rsidRPr="001A5B74">
        <w:t>émission stimulée</w:t>
      </w:r>
      <w:r>
        <w:t xml:space="preserve">. La lumière du laser est aussi appelée </w:t>
      </w:r>
      <w:r w:rsidRPr="005D7FF2">
        <w:t>lumière cohérente</w:t>
      </w:r>
      <w:r>
        <w:t xml:space="preserve">. </w:t>
      </w:r>
    </w:p>
    <w:p w14:paraId="09D99390" w14:textId="345229FC" w:rsidR="00E50242" w:rsidRDefault="00E50242" w:rsidP="005D7FF2">
      <w:pPr>
        <w:jc w:val="both"/>
      </w:pPr>
      <w:r>
        <w:t xml:space="preserve">Une source laser associe un </w:t>
      </w:r>
      <w:r w:rsidRPr="001A5B74">
        <w:t>amplificateur optique</w:t>
      </w:r>
      <w:r>
        <w:t xml:space="preserve"> à une </w:t>
      </w:r>
      <w:r w:rsidRPr="001A5B74">
        <w:t>cavité optique</w:t>
      </w:r>
      <w:r>
        <w:t xml:space="preserve">, encore appelée résonateur, généralement constituée de deux </w:t>
      </w:r>
      <w:r w:rsidRPr="001A5B74">
        <w:t>miroirs</w:t>
      </w:r>
      <w:r>
        <w:t xml:space="preserve">, dont un au moins est partiellement réfléchissant, c'est-à-dire qu'une partie de la lumière sort de la cavité et l'autre partie est réinjectée vers l'intérieur de la cavité laser. Avec certaines longues cavités, la lumière laser peut être extrêmement </w:t>
      </w:r>
      <w:r w:rsidRPr="007E0EAB">
        <w:rPr>
          <w:b/>
          <w:bCs/>
        </w:rPr>
        <w:t>directionnelle</w:t>
      </w:r>
      <w:r>
        <w:t xml:space="preserve">. Les caractéristiques géométriques de cet ensemble imposent que le rayonnement émis soit d'une grande pureté spectrale, c’est-à-dire temporellement </w:t>
      </w:r>
      <w:r w:rsidRPr="007E0EAB">
        <w:rPr>
          <w:b/>
          <w:bCs/>
        </w:rPr>
        <w:t>cohérent</w:t>
      </w:r>
      <w:r>
        <w:t>. Le spectre du rayonnement contient en effet un ensemble discret de raies très fines, à des longueurs d'onde définies par la cavité et le milieu amplificateur. La finesse de ces raies est cependant limitée par la stabilité de la cavité et par l'émission spontanée au sein de l'amplificateur (bruit quantique). Différentes techniques permettent d'obtenir une émission autour d'une seule longueur d'onde</w:t>
      </w:r>
      <w:r w:rsidR="007E0EAB">
        <w:t xml:space="preserve"> : </w:t>
      </w:r>
      <w:r w:rsidR="007E0EAB" w:rsidRPr="007E0EAB">
        <w:rPr>
          <w:b/>
          <w:bCs/>
        </w:rPr>
        <w:t>monochromatique</w:t>
      </w:r>
      <w:r>
        <w:t>.</w:t>
      </w:r>
    </w:p>
    <w:p w14:paraId="4AAF3E86" w14:textId="4412400E" w:rsidR="00935E5C" w:rsidRDefault="00E50242" w:rsidP="00E50242">
      <w:pPr>
        <w:pStyle w:val="Titre1"/>
        <w:rPr>
          <w:b/>
          <w:bCs/>
        </w:rPr>
      </w:pPr>
      <w:bookmarkStart w:id="1" w:name="_Toc133070062"/>
      <w:r w:rsidRPr="00E50242">
        <w:rPr>
          <w:b/>
          <w:bCs/>
        </w:rPr>
        <w:t>L’</w:t>
      </w:r>
      <w:r w:rsidRPr="001A5B74">
        <w:rPr>
          <w:b/>
          <w:bCs/>
        </w:rPr>
        <w:t>absorption</w:t>
      </w:r>
      <w:bookmarkEnd w:id="1"/>
    </w:p>
    <w:p w14:paraId="1C85DA13" w14:textId="337ADE89" w:rsidR="00E50242" w:rsidRDefault="00E50242" w:rsidP="00E50242">
      <w:pPr>
        <w:jc w:val="both"/>
      </w:pPr>
      <w:r>
        <w:t xml:space="preserve">Le phénomène d'absorption. Le photon d'énergie </w:t>
      </w:r>
      <w:r w:rsidRPr="00E50242">
        <w:t xml:space="preserve">E = hν </w:t>
      </w:r>
      <w:r>
        <w:t>fait passer l'atome de son état fondamental 1 vers l'état excité 2.</w:t>
      </w:r>
    </w:p>
    <w:p w14:paraId="5EB43F83" w14:textId="080CA21B" w:rsidR="00E50242" w:rsidRDefault="00E50242" w:rsidP="00E50242">
      <w:pPr>
        <w:jc w:val="both"/>
      </w:pPr>
      <w:r>
        <w:rPr>
          <w:noProof/>
        </w:rPr>
        <w:drawing>
          <wp:inline distT="0" distB="0" distL="0" distR="0" wp14:anchorId="2FFDF26D" wp14:editId="0B1D8F3C">
            <wp:extent cx="3962400" cy="1837502"/>
            <wp:effectExtent l="0" t="0" r="0" b="0"/>
            <wp:docPr id="2" name="Image 2" descr="Absor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sorp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7137" cy="1839699"/>
                    </a:xfrm>
                    <a:prstGeom prst="rect">
                      <a:avLst/>
                    </a:prstGeom>
                    <a:noFill/>
                    <a:ln>
                      <a:noFill/>
                    </a:ln>
                  </pic:spPr>
                </pic:pic>
              </a:graphicData>
            </a:graphic>
          </wp:inline>
        </w:drawing>
      </w:r>
    </w:p>
    <w:p w14:paraId="67B39DD8" w14:textId="6EF64793" w:rsidR="00E50242" w:rsidRPr="00E50242" w:rsidRDefault="00E50242" w:rsidP="00E50242">
      <w:pPr>
        <w:jc w:val="both"/>
      </w:pPr>
      <w:r>
        <w:t xml:space="preserve">Lorsqu'il est éclairé par un rayonnement électromagnétique (la lumière), un atome peut passer d'un état </w:t>
      </w:r>
      <w:r w:rsidRPr="00E50242">
        <w:t xml:space="preserve">n </w:t>
      </w:r>
      <w:r>
        <w:t xml:space="preserve">à un état </w:t>
      </w:r>
      <w:r w:rsidRPr="00E50242">
        <w:t xml:space="preserve">n ′ &gt; n </w:t>
      </w:r>
      <w:r>
        <w:t xml:space="preserve">, en prélevant l'énergie correspondante sur le rayonnement. Ce processus est </w:t>
      </w:r>
      <w:r w:rsidRPr="00E50242">
        <w:lastRenderedPageBreak/>
        <w:t>résonnant</w:t>
      </w:r>
      <w:r>
        <w:t xml:space="preserve"> : la fréquence du rayonnement </w:t>
      </w:r>
      <w:r w:rsidRPr="00E50242">
        <w:t xml:space="preserve">ω </w:t>
      </w:r>
      <w:r>
        <w:t xml:space="preserve">doit être proche d'une </w:t>
      </w:r>
      <w:r w:rsidRPr="00E50242">
        <w:t>fréquence de Bohr atomique</w:t>
      </w:r>
      <w:r>
        <w:t xml:space="preserve"> pour qu'il puisse se produire. Les fréquences de Bohr atomiques sont définies par </w:t>
      </w:r>
      <w:r w:rsidRPr="00E50242">
        <w:rPr>
          <w:rFonts w:ascii="Cambria Math" w:hAnsi="Cambria Math" w:cs="Cambria Math"/>
        </w:rPr>
        <w:t>ℏ</w:t>
      </w:r>
      <w:r w:rsidRPr="00E50242">
        <w:t>ω</w:t>
      </w:r>
      <w:r w:rsidRPr="00E50242">
        <w:rPr>
          <w:vertAlign w:val="subscript"/>
        </w:rPr>
        <w:t>nn′</w:t>
      </w:r>
      <w:r w:rsidRPr="00E50242">
        <w:t xml:space="preserve"> = ( E</w:t>
      </w:r>
      <w:r w:rsidRPr="00E50242">
        <w:rPr>
          <w:vertAlign w:val="subscript"/>
        </w:rPr>
        <w:t>n′</w:t>
      </w:r>
      <w:r w:rsidRPr="00E50242">
        <w:t xml:space="preserve"> − E</w:t>
      </w:r>
      <w:r w:rsidRPr="00E50242">
        <w:rPr>
          <w:vertAlign w:val="subscript"/>
        </w:rPr>
        <w:t>n</w:t>
      </w:r>
      <w:r w:rsidRPr="00E50242">
        <w:t xml:space="preserve"> )</w:t>
      </w:r>
      <w:r>
        <w:t xml:space="preserve">, où </w:t>
      </w:r>
      <w:r w:rsidRPr="00E50242">
        <w:t>E</w:t>
      </w:r>
      <w:r w:rsidRPr="00E50242">
        <w:rPr>
          <w:vertAlign w:val="subscript"/>
        </w:rPr>
        <w:t>n′</w:t>
      </w:r>
      <w:r w:rsidRPr="00E50242">
        <w:t xml:space="preserve"> &gt; E</w:t>
      </w:r>
      <w:r w:rsidRPr="00E50242">
        <w:rPr>
          <w:vertAlign w:val="subscript"/>
        </w:rPr>
        <w:t>n</w:t>
      </w:r>
      <w:r w:rsidRPr="00E50242">
        <w:t xml:space="preserve"> </w:t>
      </w:r>
      <w:r>
        <w:t xml:space="preserve">sont les énergies des états </w:t>
      </w:r>
      <w:r w:rsidRPr="00E50242">
        <w:t xml:space="preserve">n ′ </w:t>
      </w:r>
      <w:r>
        <w:t xml:space="preserve">et </w:t>
      </w:r>
      <w:r w:rsidRPr="00E50242">
        <w:t>n</w:t>
      </w:r>
      <w:r>
        <w:t xml:space="preserve">. On peut interpréter ce processus comme l'absorption d'un photon du rayonnement (d'énergie </w:t>
      </w:r>
      <w:r w:rsidRPr="00E50242">
        <w:rPr>
          <w:rFonts w:ascii="Cambria Math" w:hAnsi="Cambria Math" w:cs="Cambria Math"/>
        </w:rPr>
        <w:t>ℏ</w:t>
      </w:r>
      <w:r w:rsidRPr="00E50242">
        <w:t xml:space="preserve"> ω = h ν </w:t>
      </w:r>
      <w:r>
        <w:t xml:space="preserve">) faisant passer l'atome du niveau d'énergie </w:t>
      </w:r>
      <w:r w:rsidRPr="00E50242">
        <w:t>E</w:t>
      </w:r>
      <w:r w:rsidRPr="00E50242">
        <w:rPr>
          <w:vertAlign w:val="subscript"/>
        </w:rPr>
        <w:t>n</w:t>
      </w:r>
      <w:r w:rsidRPr="00E50242">
        <w:t xml:space="preserve"> </w:t>
      </w:r>
      <w:r>
        <w:t xml:space="preserve">vers le niveau d'énergie </w:t>
      </w:r>
      <w:r w:rsidRPr="00E50242">
        <w:t>E</w:t>
      </w:r>
      <w:r w:rsidRPr="00E50242">
        <w:rPr>
          <w:vertAlign w:val="subscript"/>
        </w:rPr>
        <w:t>n′</w:t>
      </w:r>
      <w:r w:rsidRPr="00E50242">
        <w:t xml:space="preserve"> </w:t>
      </w:r>
      <w:r>
        <w:t xml:space="preserve">. La condition de résonance correspond alors à la </w:t>
      </w:r>
      <w:r w:rsidRPr="00E50242">
        <w:t>conservation de l'énergie</w:t>
      </w:r>
      <w:r>
        <w:t>.</w:t>
      </w:r>
    </w:p>
    <w:p w14:paraId="39F509ED" w14:textId="17D89560" w:rsidR="00935E5C" w:rsidRDefault="005E3C29" w:rsidP="005E3C29">
      <w:pPr>
        <w:pStyle w:val="Titre1"/>
        <w:rPr>
          <w:b/>
          <w:bCs/>
        </w:rPr>
      </w:pPr>
      <w:bookmarkStart w:id="2" w:name="_Toc133070063"/>
      <w:r w:rsidRPr="005E3C29">
        <w:rPr>
          <w:b/>
          <w:bCs/>
        </w:rPr>
        <w:t>L’</w:t>
      </w:r>
      <w:r w:rsidRPr="001A5B74">
        <w:rPr>
          <w:b/>
          <w:bCs/>
        </w:rPr>
        <w:t>émission stimulée</w:t>
      </w:r>
      <w:bookmarkEnd w:id="2"/>
    </w:p>
    <w:p w14:paraId="1D88F355" w14:textId="6DF77B8A" w:rsidR="005E3C29" w:rsidRDefault="005E3C29" w:rsidP="005E3C29">
      <w:pPr>
        <w:jc w:val="both"/>
      </w:pPr>
      <w:r>
        <w:t xml:space="preserve">Un atome dans l'état </w:t>
      </w:r>
      <w:r w:rsidRPr="005E3C29">
        <w:t xml:space="preserve">n′ </w:t>
      </w:r>
      <w:r>
        <w:t xml:space="preserve">peut se « désexciter » vers le niveau </w:t>
      </w:r>
      <w:r w:rsidRPr="005E3C29">
        <w:t xml:space="preserve">n </w:t>
      </w:r>
      <w:r>
        <w:t xml:space="preserve">sous l'effet d'une onde électromagnétique, qui sera alors </w:t>
      </w:r>
      <w:r w:rsidRPr="005E3C29">
        <w:t>amplifiée</w:t>
      </w:r>
      <w:r>
        <w:t xml:space="preserve">. Comme pour l'absorption, ce processus n'est possible que si la fréquence du rayonnement </w:t>
      </w:r>
      <w:r w:rsidRPr="005E3C29">
        <w:t xml:space="preserve">ω </w:t>
      </w:r>
      <w:r>
        <w:t xml:space="preserve">est proche de la fréquence de Bohr </w:t>
      </w:r>
      <w:r w:rsidRPr="005E3C29">
        <w:t>ω</w:t>
      </w:r>
      <w:r w:rsidRPr="005E3C29">
        <w:rPr>
          <w:vertAlign w:val="subscript"/>
        </w:rPr>
        <w:t>nn′</w:t>
      </w:r>
      <w:r>
        <w:t xml:space="preserve">. On peut l'interpréter comme l'émission d'un photon d'énergie </w:t>
      </w:r>
      <w:r w:rsidRPr="005E3C29">
        <w:rPr>
          <w:rFonts w:ascii="Cambria Math" w:hAnsi="Cambria Math" w:cs="Cambria Math"/>
        </w:rPr>
        <w:t>ℏ</w:t>
      </w:r>
      <w:r w:rsidRPr="005E3C29">
        <w:t xml:space="preserve">ω </w:t>
      </w:r>
      <w:r>
        <w:t>qui vient s'« ajouter » au rayonnement.</w:t>
      </w:r>
    </w:p>
    <w:p w14:paraId="3180187F" w14:textId="60A2454F" w:rsidR="005E3C29" w:rsidRPr="005E3C29" w:rsidRDefault="005E3C29" w:rsidP="005E3C29">
      <w:pPr>
        <w:jc w:val="both"/>
      </w:pPr>
      <w:r>
        <w:rPr>
          <w:noProof/>
        </w:rPr>
        <w:drawing>
          <wp:inline distT="0" distB="0" distL="0" distR="0" wp14:anchorId="0209B31D" wp14:editId="01B501DD">
            <wp:extent cx="3860800" cy="1683568"/>
            <wp:effectExtent l="0" t="0" r="6350" b="0"/>
            <wp:docPr id="18" name="Image 18" descr="Émission Stimul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Émission Stimulé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8063" cy="1686735"/>
                    </a:xfrm>
                    <a:prstGeom prst="rect">
                      <a:avLst/>
                    </a:prstGeom>
                    <a:noFill/>
                    <a:ln>
                      <a:noFill/>
                    </a:ln>
                  </pic:spPr>
                </pic:pic>
              </a:graphicData>
            </a:graphic>
          </wp:inline>
        </w:drawing>
      </w:r>
    </w:p>
    <w:p w14:paraId="5B5C6BC6" w14:textId="45F68AB1" w:rsidR="00935E5C" w:rsidRDefault="005E3C29" w:rsidP="005E3C29">
      <w:pPr>
        <w:jc w:val="both"/>
      </w:pPr>
      <w:r>
        <w:t>Le phénomène d'émission stimulée. La désexcitation de l'atome est stimulée par l'arrivée du photon incident. Le photon émis vient s'ajouter au champ incident : il y a amplification.</w:t>
      </w:r>
    </w:p>
    <w:p w14:paraId="1E3375C7" w14:textId="21E987DF" w:rsidR="005E3C29" w:rsidRDefault="0022006D" w:rsidP="0022006D">
      <w:pPr>
        <w:pStyle w:val="Titre1"/>
        <w:rPr>
          <w:b/>
          <w:bCs/>
        </w:rPr>
      </w:pPr>
      <w:bookmarkStart w:id="3" w:name="_Toc133070064"/>
      <w:r w:rsidRPr="0022006D">
        <w:rPr>
          <w:b/>
          <w:bCs/>
        </w:rPr>
        <w:t>L’</w:t>
      </w:r>
      <w:r w:rsidRPr="001A5B74">
        <w:rPr>
          <w:b/>
          <w:bCs/>
        </w:rPr>
        <w:t>émission spontanée</w:t>
      </w:r>
      <w:bookmarkEnd w:id="3"/>
    </w:p>
    <w:p w14:paraId="666F5C92" w14:textId="27B41D2D" w:rsidR="0022006D" w:rsidRDefault="0022006D" w:rsidP="0022006D">
      <w:pPr>
        <w:jc w:val="both"/>
      </w:pPr>
      <w:r>
        <w:t xml:space="preserve">Ce processus est le symétrique de l'absorption : un atome dans un </w:t>
      </w:r>
      <w:r w:rsidRPr="0022006D">
        <w:t>état excité</w:t>
      </w:r>
      <w:r>
        <w:t xml:space="preserve"> </w:t>
      </w:r>
      <w:r w:rsidRPr="0022006D">
        <w:t xml:space="preserve">n′ </w:t>
      </w:r>
      <w:r>
        <w:t xml:space="preserve">peut se désexciter vers un état </w:t>
      </w:r>
      <w:r w:rsidRPr="0022006D">
        <w:t>n</w:t>
      </w:r>
      <w:r>
        <w:t xml:space="preserve">, même en l'absence de rayonnement. Le rayonnement est émis dans une direction aléatoire avec une phase aléatoire, et sa fréquence est égale à la fréquence de Bohr </w:t>
      </w:r>
      <w:r w:rsidRPr="0022006D">
        <w:t>ω</w:t>
      </w:r>
      <w:r w:rsidRPr="0022006D">
        <w:rPr>
          <w:vertAlign w:val="subscript"/>
        </w:rPr>
        <w:t>nn′</w:t>
      </w:r>
      <w:r>
        <w:t xml:space="preserve">. On peut interpréter ce processus comme l'émission d'un photon d'énergie </w:t>
      </w:r>
      <w:r w:rsidRPr="0022006D">
        <w:rPr>
          <w:rFonts w:ascii="Cambria Math" w:hAnsi="Cambria Math" w:cs="Cambria Math"/>
        </w:rPr>
        <w:t>ℏ</w:t>
      </w:r>
      <w:r w:rsidRPr="0022006D">
        <w:t>ω</w:t>
      </w:r>
      <w:r w:rsidRPr="0022006D">
        <w:rPr>
          <w:vertAlign w:val="subscript"/>
        </w:rPr>
        <w:t>nn′</w:t>
      </w:r>
      <w:r w:rsidRPr="0022006D">
        <w:t xml:space="preserve"> </w:t>
      </w:r>
      <w:r>
        <w:t>dans une direction aléatoire.</w:t>
      </w:r>
    </w:p>
    <w:p w14:paraId="34B013DC" w14:textId="36FEF2F2" w:rsidR="0022006D" w:rsidRDefault="0022006D" w:rsidP="0022006D">
      <w:pPr>
        <w:jc w:val="both"/>
      </w:pPr>
      <w:r>
        <w:rPr>
          <w:noProof/>
        </w:rPr>
        <w:drawing>
          <wp:inline distT="0" distB="0" distL="0" distR="0" wp14:anchorId="1BB63579" wp14:editId="7117BEC8">
            <wp:extent cx="4039488" cy="1873250"/>
            <wp:effectExtent l="0" t="0" r="0" b="0"/>
            <wp:docPr id="23" name="Image 23" descr="Émission Sponta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Émission Spontané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0387" cy="1878304"/>
                    </a:xfrm>
                    <a:prstGeom prst="rect">
                      <a:avLst/>
                    </a:prstGeom>
                    <a:noFill/>
                    <a:ln>
                      <a:noFill/>
                    </a:ln>
                  </pic:spPr>
                </pic:pic>
              </a:graphicData>
            </a:graphic>
          </wp:inline>
        </w:drawing>
      </w:r>
    </w:p>
    <w:p w14:paraId="6DBB0427" w14:textId="5FA11925" w:rsidR="0022006D" w:rsidRPr="0022006D" w:rsidRDefault="0022006D" w:rsidP="0022006D">
      <w:pPr>
        <w:jc w:val="both"/>
      </w:pPr>
      <w:r>
        <w:t>Le phénomène d'émission spontanée. La désexcitation de l'atome se produit de façon spontanée et s'accompagne de l'émission d'un photon dans une direction aléatoire.</w:t>
      </w:r>
    </w:p>
    <w:p w14:paraId="38E585BE" w14:textId="58489F24" w:rsidR="00D078BD" w:rsidRDefault="00D078BD" w:rsidP="00D078BD"/>
    <w:p w14:paraId="750E0F1A" w14:textId="77777777" w:rsidR="00D078BD" w:rsidRPr="00D078BD" w:rsidRDefault="00D078BD" w:rsidP="00D078BD"/>
    <w:sectPr w:rsidR="00D078BD" w:rsidRPr="00D078BD">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79815" w14:textId="77777777" w:rsidR="00F82072" w:rsidRDefault="00F82072" w:rsidP="00D078BD">
      <w:pPr>
        <w:spacing w:after="0" w:line="240" w:lineRule="auto"/>
      </w:pPr>
      <w:r>
        <w:separator/>
      </w:r>
    </w:p>
  </w:endnote>
  <w:endnote w:type="continuationSeparator" w:id="0">
    <w:p w14:paraId="62BBB682" w14:textId="77777777" w:rsidR="00F82072" w:rsidRDefault="00F82072"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A3184" w14:textId="77777777" w:rsidR="00F82072" w:rsidRDefault="00F82072" w:rsidP="00D078BD">
      <w:pPr>
        <w:spacing w:after="0" w:line="240" w:lineRule="auto"/>
      </w:pPr>
      <w:r>
        <w:separator/>
      </w:r>
    </w:p>
  </w:footnote>
  <w:footnote w:type="continuationSeparator" w:id="0">
    <w:p w14:paraId="6D149C58" w14:textId="77777777" w:rsidR="00F82072" w:rsidRDefault="00F82072"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5CAF836A" w:rsidR="00D078BD" w:rsidRDefault="00D078BD">
    <w:pPr>
      <w:pStyle w:val="En-tte"/>
    </w:pPr>
    <w:r>
      <w:t xml:space="preserve">PHYSIQUE – </w:t>
    </w:r>
    <w:r w:rsidR="00F92992">
      <w:t>LASER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C3DE6"/>
    <w:rsid w:val="00141DD5"/>
    <w:rsid w:val="001A5B74"/>
    <w:rsid w:val="0022006D"/>
    <w:rsid w:val="003B22A5"/>
    <w:rsid w:val="004455E5"/>
    <w:rsid w:val="005D7FF2"/>
    <w:rsid w:val="005E3C29"/>
    <w:rsid w:val="006246EC"/>
    <w:rsid w:val="007E0EAB"/>
    <w:rsid w:val="00935E5C"/>
    <w:rsid w:val="00975931"/>
    <w:rsid w:val="00D078BD"/>
    <w:rsid w:val="00E50242"/>
    <w:rsid w:val="00F82072"/>
    <w:rsid w:val="00F929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29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35E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92992"/>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935E5C"/>
    <w:rPr>
      <w:color w:val="0000FF"/>
      <w:u w:val="single"/>
    </w:rPr>
  </w:style>
  <w:style w:type="character" w:customStyle="1" w:styleId="lang-en">
    <w:name w:val="lang-en"/>
    <w:basedOn w:val="Policepardfaut"/>
    <w:rsid w:val="00935E5C"/>
  </w:style>
  <w:style w:type="character" w:customStyle="1" w:styleId="Titre2Car">
    <w:name w:val="Titre 2 Car"/>
    <w:basedOn w:val="Policepardfaut"/>
    <w:link w:val="Titre2"/>
    <w:uiPriority w:val="9"/>
    <w:semiHidden/>
    <w:rsid w:val="00935E5C"/>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935E5C"/>
  </w:style>
  <w:style w:type="character" w:customStyle="1" w:styleId="mwe-math-mathml-inline">
    <w:name w:val="mwe-math-mathml-inline"/>
    <w:basedOn w:val="Policepardfaut"/>
    <w:rsid w:val="00E50242"/>
  </w:style>
  <w:style w:type="paragraph" w:styleId="En-ttedetabledesmatires">
    <w:name w:val="TOC Heading"/>
    <w:basedOn w:val="Titre1"/>
    <w:next w:val="Normal"/>
    <w:uiPriority w:val="39"/>
    <w:unhideWhenUsed/>
    <w:qFormat/>
    <w:rsid w:val="000C3DE6"/>
    <w:pPr>
      <w:outlineLvl w:val="9"/>
    </w:pPr>
    <w:rPr>
      <w:lang w:eastAsia="fr-FR"/>
    </w:rPr>
  </w:style>
  <w:style w:type="paragraph" w:styleId="TM1">
    <w:name w:val="toc 1"/>
    <w:basedOn w:val="Normal"/>
    <w:next w:val="Normal"/>
    <w:autoRedefine/>
    <w:uiPriority w:val="39"/>
    <w:unhideWhenUsed/>
    <w:rsid w:val="000C3DE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9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587</Words>
  <Characters>3230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10</cp:revision>
  <dcterms:created xsi:type="dcterms:W3CDTF">2022-12-21T14:44:00Z</dcterms:created>
  <dcterms:modified xsi:type="dcterms:W3CDTF">2023-04-22T13:34:00Z</dcterms:modified>
</cp:coreProperties>
</file>