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1FF34205" w:rsidR="00B33482" w:rsidRDefault="00365A0F" w:rsidP="00365A0F">
      <w:pPr>
        <w:pStyle w:val="Titre1"/>
        <w:jc w:val="both"/>
      </w:pPr>
      <w:bookmarkStart w:id="0" w:name="_Toc133070114"/>
      <w:r>
        <w:t>LHC</w:t>
      </w:r>
      <w:bookmarkEnd w:id="0"/>
    </w:p>
    <w:sdt>
      <w:sdtPr>
        <w:id w:val="-83151478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690D96A" w14:textId="1CFA372D" w:rsidR="00C90062" w:rsidRDefault="00C90062">
          <w:pPr>
            <w:pStyle w:val="En-ttedetabledesmatires"/>
          </w:pPr>
          <w:r>
            <w:t>Table des matières</w:t>
          </w:r>
        </w:p>
        <w:p w14:paraId="3ED5B9C7" w14:textId="45A350E7" w:rsidR="00C90062" w:rsidRDefault="00C9006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114" w:history="1">
            <w:r w:rsidRPr="004A1DC1">
              <w:rPr>
                <w:rStyle w:val="Lienhypertexte"/>
                <w:noProof/>
              </w:rPr>
              <w:t>LHC</w:t>
            </w:r>
            <w:r>
              <w:rPr>
                <w:noProof/>
                <w:webHidden/>
              </w:rPr>
              <w:tab/>
            </w:r>
            <w:r>
              <w:rPr>
                <w:noProof/>
                <w:webHidden/>
              </w:rPr>
              <w:fldChar w:fldCharType="begin"/>
            </w:r>
            <w:r>
              <w:rPr>
                <w:noProof/>
                <w:webHidden/>
              </w:rPr>
              <w:instrText xml:space="preserve"> PAGEREF _Toc133070114 \h </w:instrText>
            </w:r>
            <w:r>
              <w:rPr>
                <w:noProof/>
                <w:webHidden/>
              </w:rPr>
            </w:r>
            <w:r>
              <w:rPr>
                <w:noProof/>
                <w:webHidden/>
              </w:rPr>
              <w:fldChar w:fldCharType="separate"/>
            </w:r>
            <w:r>
              <w:rPr>
                <w:noProof/>
                <w:webHidden/>
              </w:rPr>
              <w:t>1</w:t>
            </w:r>
            <w:r>
              <w:rPr>
                <w:noProof/>
                <w:webHidden/>
              </w:rPr>
              <w:fldChar w:fldCharType="end"/>
            </w:r>
          </w:hyperlink>
        </w:p>
        <w:p w14:paraId="2844DB70" w14:textId="45C6277E" w:rsidR="00C90062" w:rsidRDefault="00C90062">
          <w:pPr>
            <w:pStyle w:val="TM2"/>
            <w:tabs>
              <w:tab w:val="right" w:leader="dot" w:pos="9062"/>
            </w:tabs>
            <w:rPr>
              <w:rFonts w:eastAsiaTheme="minorEastAsia"/>
              <w:noProof/>
              <w:lang w:eastAsia="fr-FR"/>
            </w:rPr>
          </w:pPr>
          <w:hyperlink w:anchor="_Toc133070115" w:history="1">
            <w:r w:rsidRPr="004A1DC1">
              <w:rPr>
                <w:rStyle w:val="Lienhypertexte"/>
                <w:noProof/>
              </w:rPr>
              <w:t>Introduction</w:t>
            </w:r>
            <w:r>
              <w:rPr>
                <w:noProof/>
                <w:webHidden/>
              </w:rPr>
              <w:tab/>
            </w:r>
            <w:r>
              <w:rPr>
                <w:noProof/>
                <w:webHidden/>
              </w:rPr>
              <w:fldChar w:fldCharType="begin"/>
            </w:r>
            <w:r>
              <w:rPr>
                <w:noProof/>
                <w:webHidden/>
              </w:rPr>
              <w:instrText xml:space="preserve"> PAGEREF _Toc133070115 \h </w:instrText>
            </w:r>
            <w:r>
              <w:rPr>
                <w:noProof/>
                <w:webHidden/>
              </w:rPr>
            </w:r>
            <w:r>
              <w:rPr>
                <w:noProof/>
                <w:webHidden/>
              </w:rPr>
              <w:fldChar w:fldCharType="separate"/>
            </w:r>
            <w:r>
              <w:rPr>
                <w:noProof/>
                <w:webHidden/>
              </w:rPr>
              <w:t>1</w:t>
            </w:r>
            <w:r>
              <w:rPr>
                <w:noProof/>
                <w:webHidden/>
              </w:rPr>
              <w:fldChar w:fldCharType="end"/>
            </w:r>
          </w:hyperlink>
        </w:p>
        <w:p w14:paraId="74A330D9" w14:textId="433C5895" w:rsidR="00C90062" w:rsidRDefault="00C90062">
          <w:pPr>
            <w:pStyle w:val="TM2"/>
            <w:tabs>
              <w:tab w:val="right" w:leader="dot" w:pos="9062"/>
            </w:tabs>
            <w:rPr>
              <w:rFonts w:eastAsiaTheme="minorEastAsia"/>
              <w:noProof/>
              <w:lang w:eastAsia="fr-FR"/>
            </w:rPr>
          </w:pPr>
          <w:hyperlink w:anchor="_Toc133070116" w:history="1">
            <w:r w:rsidRPr="004A1DC1">
              <w:rPr>
                <w:rStyle w:val="Lienhypertexte"/>
                <w:b/>
                <w:bCs/>
                <w:noProof/>
              </w:rPr>
              <w:t>Objectifs</w:t>
            </w:r>
            <w:r>
              <w:rPr>
                <w:noProof/>
                <w:webHidden/>
              </w:rPr>
              <w:tab/>
            </w:r>
            <w:r>
              <w:rPr>
                <w:noProof/>
                <w:webHidden/>
              </w:rPr>
              <w:fldChar w:fldCharType="begin"/>
            </w:r>
            <w:r>
              <w:rPr>
                <w:noProof/>
                <w:webHidden/>
              </w:rPr>
              <w:instrText xml:space="preserve"> PAGEREF _Toc133070116 \h </w:instrText>
            </w:r>
            <w:r>
              <w:rPr>
                <w:noProof/>
                <w:webHidden/>
              </w:rPr>
            </w:r>
            <w:r>
              <w:rPr>
                <w:noProof/>
                <w:webHidden/>
              </w:rPr>
              <w:fldChar w:fldCharType="separate"/>
            </w:r>
            <w:r>
              <w:rPr>
                <w:noProof/>
                <w:webHidden/>
              </w:rPr>
              <w:t>2</w:t>
            </w:r>
            <w:r>
              <w:rPr>
                <w:noProof/>
                <w:webHidden/>
              </w:rPr>
              <w:fldChar w:fldCharType="end"/>
            </w:r>
          </w:hyperlink>
        </w:p>
        <w:p w14:paraId="3395FAE1" w14:textId="343B6ED1" w:rsidR="00C90062" w:rsidRDefault="00C90062">
          <w:pPr>
            <w:pStyle w:val="TM2"/>
            <w:tabs>
              <w:tab w:val="right" w:leader="dot" w:pos="9062"/>
            </w:tabs>
            <w:rPr>
              <w:rFonts w:eastAsiaTheme="minorEastAsia"/>
              <w:noProof/>
              <w:lang w:eastAsia="fr-FR"/>
            </w:rPr>
          </w:pPr>
          <w:hyperlink w:anchor="_Toc133070117" w:history="1">
            <w:r w:rsidRPr="004A1DC1">
              <w:rPr>
                <w:rStyle w:val="Lienhypertexte"/>
                <w:b/>
                <w:bCs/>
                <w:noProof/>
              </w:rPr>
              <w:t>Caractéristiques techniques</w:t>
            </w:r>
            <w:r>
              <w:rPr>
                <w:noProof/>
                <w:webHidden/>
              </w:rPr>
              <w:tab/>
            </w:r>
            <w:r>
              <w:rPr>
                <w:noProof/>
                <w:webHidden/>
              </w:rPr>
              <w:fldChar w:fldCharType="begin"/>
            </w:r>
            <w:r>
              <w:rPr>
                <w:noProof/>
                <w:webHidden/>
              </w:rPr>
              <w:instrText xml:space="preserve"> PAGEREF _Toc133070117 \h </w:instrText>
            </w:r>
            <w:r>
              <w:rPr>
                <w:noProof/>
                <w:webHidden/>
              </w:rPr>
            </w:r>
            <w:r>
              <w:rPr>
                <w:noProof/>
                <w:webHidden/>
              </w:rPr>
              <w:fldChar w:fldCharType="separate"/>
            </w:r>
            <w:r>
              <w:rPr>
                <w:noProof/>
                <w:webHidden/>
              </w:rPr>
              <w:t>2</w:t>
            </w:r>
            <w:r>
              <w:rPr>
                <w:noProof/>
                <w:webHidden/>
              </w:rPr>
              <w:fldChar w:fldCharType="end"/>
            </w:r>
          </w:hyperlink>
        </w:p>
        <w:p w14:paraId="1BC661EE" w14:textId="5EDC713C" w:rsidR="00C90062" w:rsidRDefault="00C90062">
          <w:pPr>
            <w:pStyle w:val="TM2"/>
            <w:tabs>
              <w:tab w:val="right" w:leader="dot" w:pos="9062"/>
            </w:tabs>
            <w:rPr>
              <w:rFonts w:eastAsiaTheme="minorEastAsia"/>
              <w:noProof/>
              <w:lang w:eastAsia="fr-FR"/>
            </w:rPr>
          </w:pPr>
          <w:hyperlink w:anchor="_Toc133070118" w:history="1">
            <w:r w:rsidRPr="004A1DC1">
              <w:rPr>
                <w:rStyle w:val="Lienhypertexte"/>
                <w:b/>
                <w:bCs/>
                <w:noProof/>
              </w:rPr>
              <w:t>Le tunnel</w:t>
            </w:r>
            <w:r>
              <w:rPr>
                <w:noProof/>
                <w:webHidden/>
              </w:rPr>
              <w:tab/>
            </w:r>
            <w:r>
              <w:rPr>
                <w:noProof/>
                <w:webHidden/>
              </w:rPr>
              <w:fldChar w:fldCharType="begin"/>
            </w:r>
            <w:r>
              <w:rPr>
                <w:noProof/>
                <w:webHidden/>
              </w:rPr>
              <w:instrText xml:space="preserve"> PAGEREF _Toc133070118 \h </w:instrText>
            </w:r>
            <w:r>
              <w:rPr>
                <w:noProof/>
                <w:webHidden/>
              </w:rPr>
            </w:r>
            <w:r>
              <w:rPr>
                <w:noProof/>
                <w:webHidden/>
              </w:rPr>
              <w:fldChar w:fldCharType="separate"/>
            </w:r>
            <w:r>
              <w:rPr>
                <w:noProof/>
                <w:webHidden/>
              </w:rPr>
              <w:t>3</w:t>
            </w:r>
            <w:r>
              <w:rPr>
                <w:noProof/>
                <w:webHidden/>
              </w:rPr>
              <w:fldChar w:fldCharType="end"/>
            </w:r>
          </w:hyperlink>
        </w:p>
        <w:p w14:paraId="24A7B949" w14:textId="6995CE3B" w:rsidR="00C90062" w:rsidRDefault="00C90062">
          <w:pPr>
            <w:pStyle w:val="TM2"/>
            <w:tabs>
              <w:tab w:val="right" w:leader="dot" w:pos="9062"/>
            </w:tabs>
            <w:rPr>
              <w:rFonts w:eastAsiaTheme="minorEastAsia"/>
              <w:noProof/>
              <w:lang w:eastAsia="fr-FR"/>
            </w:rPr>
          </w:pPr>
          <w:hyperlink w:anchor="_Toc133070119" w:history="1">
            <w:r w:rsidRPr="004A1DC1">
              <w:rPr>
                <w:rStyle w:val="Lienhypertexte"/>
                <w:b/>
                <w:bCs/>
                <w:noProof/>
              </w:rPr>
              <w:t>Les aimants supraconducteurs</w:t>
            </w:r>
            <w:r>
              <w:rPr>
                <w:noProof/>
                <w:webHidden/>
              </w:rPr>
              <w:tab/>
            </w:r>
            <w:r>
              <w:rPr>
                <w:noProof/>
                <w:webHidden/>
              </w:rPr>
              <w:fldChar w:fldCharType="begin"/>
            </w:r>
            <w:r>
              <w:rPr>
                <w:noProof/>
                <w:webHidden/>
              </w:rPr>
              <w:instrText xml:space="preserve"> PAGEREF _Toc133070119 \h </w:instrText>
            </w:r>
            <w:r>
              <w:rPr>
                <w:noProof/>
                <w:webHidden/>
              </w:rPr>
            </w:r>
            <w:r>
              <w:rPr>
                <w:noProof/>
                <w:webHidden/>
              </w:rPr>
              <w:fldChar w:fldCharType="separate"/>
            </w:r>
            <w:r>
              <w:rPr>
                <w:noProof/>
                <w:webHidden/>
              </w:rPr>
              <w:t>3</w:t>
            </w:r>
            <w:r>
              <w:rPr>
                <w:noProof/>
                <w:webHidden/>
              </w:rPr>
              <w:fldChar w:fldCharType="end"/>
            </w:r>
          </w:hyperlink>
        </w:p>
        <w:p w14:paraId="517BE67B" w14:textId="663853AC" w:rsidR="00C90062" w:rsidRDefault="00C90062">
          <w:pPr>
            <w:pStyle w:val="TM2"/>
            <w:tabs>
              <w:tab w:val="right" w:leader="dot" w:pos="9062"/>
            </w:tabs>
            <w:rPr>
              <w:rFonts w:eastAsiaTheme="minorEastAsia"/>
              <w:noProof/>
              <w:lang w:eastAsia="fr-FR"/>
            </w:rPr>
          </w:pPr>
          <w:hyperlink w:anchor="_Toc133070120" w:history="1">
            <w:r w:rsidRPr="004A1DC1">
              <w:rPr>
                <w:rStyle w:val="Lienhypertexte"/>
                <w:b/>
                <w:bCs/>
                <w:noProof/>
              </w:rPr>
              <w:t>Les injecteurs du LHC</w:t>
            </w:r>
            <w:r>
              <w:rPr>
                <w:noProof/>
                <w:webHidden/>
              </w:rPr>
              <w:tab/>
            </w:r>
            <w:r>
              <w:rPr>
                <w:noProof/>
                <w:webHidden/>
              </w:rPr>
              <w:fldChar w:fldCharType="begin"/>
            </w:r>
            <w:r>
              <w:rPr>
                <w:noProof/>
                <w:webHidden/>
              </w:rPr>
              <w:instrText xml:space="preserve"> PAGEREF _Toc133070120 \h </w:instrText>
            </w:r>
            <w:r>
              <w:rPr>
                <w:noProof/>
                <w:webHidden/>
              </w:rPr>
            </w:r>
            <w:r>
              <w:rPr>
                <w:noProof/>
                <w:webHidden/>
              </w:rPr>
              <w:fldChar w:fldCharType="separate"/>
            </w:r>
            <w:r>
              <w:rPr>
                <w:noProof/>
                <w:webHidden/>
              </w:rPr>
              <w:t>3</w:t>
            </w:r>
            <w:r>
              <w:rPr>
                <w:noProof/>
                <w:webHidden/>
              </w:rPr>
              <w:fldChar w:fldCharType="end"/>
            </w:r>
          </w:hyperlink>
        </w:p>
        <w:p w14:paraId="1945E908" w14:textId="490E1525" w:rsidR="00C90062" w:rsidRDefault="00C90062">
          <w:pPr>
            <w:pStyle w:val="TM2"/>
            <w:tabs>
              <w:tab w:val="right" w:leader="dot" w:pos="9062"/>
            </w:tabs>
            <w:rPr>
              <w:rFonts w:eastAsiaTheme="minorEastAsia"/>
              <w:noProof/>
              <w:lang w:eastAsia="fr-FR"/>
            </w:rPr>
          </w:pPr>
          <w:hyperlink w:anchor="_Toc133070121" w:history="1">
            <w:r w:rsidRPr="004A1DC1">
              <w:rPr>
                <w:rStyle w:val="Lienhypertexte"/>
                <w:b/>
                <w:bCs/>
                <w:noProof/>
              </w:rPr>
              <w:t>Les faisceaux de protons</w:t>
            </w:r>
            <w:r>
              <w:rPr>
                <w:noProof/>
                <w:webHidden/>
              </w:rPr>
              <w:tab/>
            </w:r>
            <w:r>
              <w:rPr>
                <w:noProof/>
                <w:webHidden/>
              </w:rPr>
              <w:fldChar w:fldCharType="begin"/>
            </w:r>
            <w:r>
              <w:rPr>
                <w:noProof/>
                <w:webHidden/>
              </w:rPr>
              <w:instrText xml:space="preserve"> PAGEREF _Toc133070121 \h </w:instrText>
            </w:r>
            <w:r>
              <w:rPr>
                <w:noProof/>
                <w:webHidden/>
              </w:rPr>
            </w:r>
            <w:r>
              <w:rPr>
                <w:noProof/>
                <w:webHidden/>
              </w:rPr>
              <w:fldChar w:fldCharType="separate"/>
            </w:r>
            <w:r>
              <w:rPr>
                <w:noProof/>
                <w:webHidden/>
              </w:rPr>
              <w:t>4</w:t>
            </w:r>
            <w:r>
              <w:rPr>
                <w:noProof/>
                <w:webHidden/>
              </w:rPr>
              <w:fldChar w:fldCharType="end"/>
            </w:r>
          </w:hyperlink>
        </w:p>
        <w:p w14:paraId="2A09A469" w14:textId="47C025B8" w:rsidR="00C90062" w:rsidRDefault="00C90062">
          <w:pPr>
            <w:pStyle w:val="TM2"/>
            <w:tabs>
              <w:tab w:val="right" w:leader="dot" w:pos="9062"/>
            </w:tabs>
            <w:rPr>
              <w:rFonts w:eastAsiaTheme="minorEastAsia"/>
              <w:noProof/>
              <w:lang w:eastAsia="fr-FR"/>
            </w:rPr>
          </w:pPr>
          <w:hyperlink w:anchor="_Toc133070122" w:history="1">
            <w:r w:rsidRPr="004A1DC1">
              <w:rPr>
                <w:rStyle w:val="Lienhypertexte"/>
                <w:b/>
                <w:bCs/>
                <w:noProof/>
              </w:rPr>
              <w:t xml:space="preserve"> les détecteurs</w:t>
            </w:r>
            <w:r>
              <w:rPr>
                <w:noProof/>
                <w:webHidden/>
              </w:rPr>
              <w:tab/>
            </w:r>
            <w:r>
              <w:rPr>
                <w:noProof/>
                <w:webHidden/>
              </w:rPr>
              <w:fldChar w:fldCharType="begin"/>
            </w:r>
            <w:r>
              <w:rPr>
                <w:noProof/>
                <w:webHidden/>
              </w:rPr>
              <w:instrText xml:space="preserve"> PAGEREF _Toc133070122 \h </w:instrText>
            </w:r>
            <w:r>
              <w:rPr>
                <w:noProof/>
                <w:webHidden/>
              </w:rPr>
            </w:r>
            <w:r>
              <w:rPr>
                <w:noProof/>
                <w:webHidden/>
              </w:rPr>
              <w:fldChar w:fldCharType="separate"/>
            </w:r>
            <w:r>
              <w:rPr>
                <w:noProof/>
                <w:webHidden/>
              </w:rPr>
              <w:t>5</w:t>
            </w:r>
            <w:r>
              <w:rPr>
                <w:noProof/>
                <w:webHidden/>
              </w:rPr>
              <w:fldChar w:fldCharType="end"/>
            </w:r>
          </w:hyperlink>
        </w:p>
        <w:p w14:paraId="3C98553E" w14:textId="4EF51514" w:rsidR="00C90062" w:rsidRPr="007E575E" w:rsidRDefault="00C90062" w:rsidP="00C90062">
          <w:r>
            <w:rPr>
              <w:b/>
              <w:bCs/>
            </w:rPr>
            <w:fldChar w:fldCharType="end"/>
          </w:r>
        </w:p>
      </w:sdtContent>
    </w:sdt>
    <w:p w14:paraId="23ECA171" w14:textId="73D83C5A" w:rsidR="002D54BA" w:rsidRDefault="003D5A98" w:rsidP="00365A0F">
      <w:pPr>
        <w:pStyle w:val="Titre2"/>
        <w:jc w:val="both"/>
      </w:pPr>
      <w:bookmarkStart w:id="1" w:name="_Toc133070115"/>
      <w:r>
        <w:t>Introduction</w:t>
      </w:r>
      <w:bookmarkEnd w:id="1"/>
    </w:p>
    <w:p w14:paraId="3CEBB7F2" w14:textId="13B61273" w:rsidR="00365A0F" w:rsidRPr="00365A0F" w:rsidRDefault="00365A0F" w:rsidP="00365A0F">
      <w:pPr>
        <w:pStyle w:val="NormalWeb"/>
        <w:jc w:val="both"/>
        <w:rPr>
          <w:rFonts w:ascii="Arial" w:eastAsiaTheme="minorHAnsi" w:hAnsi="Arial" w:cs="Arial"/>
          <w:sz w:val="22"/>
          <w:szCs w:val="22"/>
          <w:lang w:eastAsia="en-US"/>
        </w:rPr>
      </w:pPr>
      <w:r w:rsidRPr="00365A0F">
        <w:rPr>
          <w:rFonts w:ascii="Arial" w:eastAsiaTheme="minorHAnsi" w:hAnsi="Arial" w:cs="Arial"/>
          <w:noProof/>
          <w:sz w:val="22"/>
          <w:szCs w:val="22"/>
          <w:lang w:eastAsia="en-US"/>
        </w:rPr>
        <w:drawing>
          <wp:anchor distT="0" distB="0" distL="114300" distR="114300" simplePos="0" relativeHeight="251658240" behindDoc="0" locked="0" layoutInCell="1" allowOverlap="1" wp14:anchorId="469ADCA0" wp14:editId="247D5178">
            <wp:simplePos x="0" y="0"/>
            <wp:positionH relativeFrom="margin">
              <wp:posOffset>3700780</wp:posOffset>
            </wp:positionH>
            <wp:positionV relativeFrom="paragraph">
              <wp:posOffset>189230</wp:posOffset>
            </wp:positionV>
            <wp:extent cx="2714625" cy="2714625"/>
            <wp:effectExtent l="0" t="0" r="9525" b="952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5A0F">
        <w:rPr>
          <w:rFonts w:ascii="Arial" w:eastAsiaTheme="minorHAnsi" w:hAnsi="Arial" w:cs="Arial"/>
          <w:sz w:val="22"/>
          <w:szCs w:val="22"/>
          <w:lang w:eastAsia="en-US"/>
        </w:rPr>
        <w:t xml:space="preserve">Le Grand collisionneur de hadrons (en anglais : Large Hadron </w:t>
      </w:r>
      <w:proofErr w:type="spellStart"/>
      <w:r w:rsidRPr="00365A0F">
        <w:rPr>
          <w:rFonts w:ascii="Arial" w:eastAsiaTheme="minorHAnsi" w:hAnsi="Arial" w:cs="Arial"/>
          <w:sz w:val="22"/>
          <w:szCs w:val="22"/>
          <w:lang w:eastAsia="en-US"/>
        </w:rPr>
        <w:t>Collider</w:t>
      </w:r>
      <w:proofErr w:type="spellEnd"/>
      <w:r w:rsidRPr="00365A0F">
        <w:rPr>
          <w:rFonts w:ascii="Arial" w:eastAsiaTheme="minorHAnsi" w:hAnsi="Arial" w:cs="Arial"/>
          <w:sz w:val="22"/>
          <w:szCs w:val="22"/>
          <w:lang w:eastAsia="en-US"/>
        </w:rPr>
        <w:t xml:space="preserve"> — LHC), est un accélérateur de particules mis en fonction en 2008 et situé dans la région frontalière entre la France et la Suisse entre la périphérie nord-ouest de Genève et le pays de Gex (France). C'est le plus puissant accélérateur de particules construit à ce jour, a fortiori depuis son amélioration achevée en 2015 après deux ans de mise à l'arrêt2. Il est même présenté comme le plus grand dispositif expérimental jamais construit pour valider des théories physiques. En 2012, il confirme l'existence du boson de Higgs. </w:t>
      </w:r>
    </w:p>
    <w:p w14:paraId="39FC9682" w14:textId="4AEE7309" w:rsidR="00365A0F" w:rsidRPr="00365A0F" w:rsidRDefault="00365A0F" w:rsidP="00365A0F">
      <w:pPr>
        <w:pStyle w:val="NormalWeb"/>
        <w:jc w:val="both"/>
        <w:rPr>
          <w:rFonts w:ascii="Arial" w:eastAsiaTheme="minorHAnsi" w:hAnsi="Arial" w:cs="Arial"/>
          <w:sz w:val="22"/>
          <w:szCs w:val="22"/>
          <w:lang w:eastAsia="en-US"/>
        </w:rPr>
      </w:pPr>
      <w:r w:rsidRPr="00365A0F">
        <w:rPr>
          <w:rFonts w:ascii="Arial" w:eastAsiaTheme="minorHAnsi" w:hAnsi="Arial" w:cs="Arial"/>
          <w:sz w:val="22"/>
          <w:szCs w:val="22"/>
          <w:lang w:eastAsia="en-US"/>
        </w:rPr>
        <w:t xml:space="preserve">Le LHC a été construit dans le tunnel circulaire (26,659 km de circonférence) de son prédécesseur, le collisionneur LEP (Large Electron Positron). À la différence de ce dernier, ce sont des protons — de la famille des hadrons — qui sont accélérés pour produire des collisions, en lieu et place des électrons ou des positrons pour le LEP. </w:t>
      </w:r>
    </w:p>
    <w:p w14:paraId="2A26B9AB" w14:textId="151C858A" w:rsidR="00365A0F" w:rsidRPr="00365A0F" w:rsidRDefault="00365A0F" w:rsidP="00365A0F">
      <w:pPr>
        <w:pStyle w:val="NormalWeb"/>
        <w:jc w:val="both"/>
        <w:rPr>
          <w:rFonts w:ascii="Arial" w:eastAsiaTheme="minorHAnsi" w:hAnsi="Arial" w:cs="Arial"/>
          <w:sz w:val="22"/>
          <w:szCs w:val="22"/>
          <w:lang w:eastAsia="en-US"/>
        </w:rPr>
      </w:pPr>
      <w:r w:rsidRPr="00365A0F">
        <w:rPr>
          <w:rFonts w:ascii="Arial" w:eastAsiaTheme="minorHAnsi" w:hAnsi="Arial" w:cs="Arial"/>
          <w:sz w:val="22"/>
          <w:szCs w:val="22"/>
          <w:lang w:eastAsia="en-US"/>
        </w:rPr>
        <w:t>Ces protons seront accélérés jusqu'à une énergie de 7 </w:t>
      </w:r>
      <w:proofErr w:type="spellStart"/>
      <w:r w:rsidRPr="00365A0F">
        <w:rPr>
          <w:rFonts w:ascii="Arial" w:eastAsiaTheme="minorHAnsi" w:hAnsi="Arial" w:cs="Arial"/>
          <w:sz w:val="22"/>
          <w:szCs w:val="22"/>
          <w:lang w:eastAsia="en-US"/>
        </w:rPr>
        <w:t>TeV</w:t>
      </w:r>
      <w:proofErr w:type="spellEnd"/>
      <w:r w:rsidRPr="00365A0F">
        <w:rPr>
          <w:rFonts w:ascii="Arial" w:eastAsiaTheme="minorHAnsi" w:hAnsi="Arial" w:cs="Arial"/>
          <w:sz w:val="22"/>
          <w:szCs w:val="22"/>
          <w:lang w:eastAsia="en-US"/>
        </w:rPr>
        <w:t>, soit près de 7 500 fois leur énergie de masse. L'énergie totale de deux protons incidents sera ainsi de 14 </w:t>
      </w:r>
      <w:proofErr w:type="spellStart"/>
      <w:r w:rsidRPr="00365A0F">
        <w:rPr>
          <w:rFonts w:ascii="Arial" w:eastAsiaTheme="minorHAnsi" w:hAnsi="Arial" w:cs="Arial"/>
          <w:sz w:val="22"/>
          <w:szCs w:val="22"/>
          <w:lang w:eastAsia="en-US"/>
        </w:rPr>
        <w:t>TeV</w:t>
      </w:r>
      <w:proofErr w:type="spellEnd"/>
      <w:r w:rsidRPr="00365A0F">
        <w:rPr>
          <w:rFonts w:ascii="Arial" w:eastAsiaTheme="minorHAnsi" w:hAnsi="Arial" w:cs="Arial"/>
          <w:sz w:val="22"/>
          <w:szCs w:val="22"/>
          <w:lang w:eastAsia="en-US"/>
        </w:rPr>
        <w:t>. Le LHC sera également utilisé pour accélérer des ions lourds comme le plomb avec une énergie totale de collision de 1 150 </w:t>
      </w:r>
      <w:proofErr w:type="spellStart"/>
      <w:r w:rsidRPr="00365A0F">
        <w:rPr>
          <w:rFonts w:ascii="Arial" w:eastAsiaTheme="minorHAnsi" w:hAnsi="Arial" w:cs="Arial"/>
          <w:sz w:val="22"/>
          <w:szCs w:val="22"/>
          <w:lang w:eastAsia="en-US"/>
        </w:rPr>
        <w:t>TeV</w:t>
      </w:r>
      <w:proofErr w:type="spellEnd"/>
      <w:r w:rsidRPr="00365A0F">
        <w:rPr>
          <w:rFonts w:ascii="Arial" w:eastAsiaTheme="minorHAnsi" w:hAnsi="Arial" w:cs="Arial"/>
          <w:sz w:val="22"/>
          <w:szCs w:val="22"/>
          <w:lang w:eastAsia="en-US"/>
        </w:rPr>
        <w:t xml:space="preserve"> pour le noyau dans son ensemble soit un peu plus de 2,75 </w:t>
      </w:r>
      <w:proofErr w:type="spellStart"/>
      <w:r w:rsidRPr="00365A0F">
        <w:rPr>
          <w:rFonts w:ascii="Arial" w:eastAsiaTheme="minorHAnsi" w:hAnsi="Arial" w:cs="Arial"/>
          <w:sz w:val="22"/>
          <w:szCs w:val="22"/>
          <w:lang w:eastAsia="en-US"/>
        </w:rPr>
        <w:t>TeV</w:t>
      </w:r>
      <w:proofErr w:type="spellEnd"/>
      <w:r w:rsidRPr="00365A0F">
        <w:rPr>
          <w:rFonts w:ascii="Arial" w:eastAsiaTheme="minorHAnsi" w:hAnsi="Arial" w:cs="Arial"/>
          <w:sz w:val="22"/>
          <w:szCs w:val="22"/>
          <w:lang w:eastAsia="en-US"/>
        </w:rPr>
        <w:t xml:space="preserve"> par nucléon qu'il contient. </w:t>
      </w:r>
    </w:p>
    <w:p w14:paraId="2AAD90B1" w14:textId="1CC201F1" w:rsidR="00365A0F" w:rsidRPr="00365A0F" w:rsidRDefault="00365A0F" w:rsidP="00365A0F">
      <w:pPr>
        <w:pStyle w:val="NormalWeb"/>
        <w:jc w:val="both"/>
        <w:rPr>
          <w:rFonts w:ascii="Arial" w:eastAsiaTheme="minorHAnsi" w:hAnsi="Arial" w:cs="Arial"/>
          <w:sz w:val="22"/>
          <w:szCs w:val="22"/>
          <w:lang w:eastAsia="en-US"/>
        </w:rPr>
      </w:pPr>
      <w:r w:rsidRPr="00365A0F">
        <w:rPr>
          <w:rFonts w:ascii="Arial" w:eastAsiaTheme="minorHAnsi" w:hAnsi="Arial" w:cs="Arial"/>
          <w:sz w:val="22"/>
          <w:szCs w:val="22"/>
          <w:lang w:eastAsia="en-US"/>
        </w:rPr>
        <w:t xml:space="preserve">Huit détecteurs, dont quatre de très grande taille, sont installés sur cet accélérateur, à savoir ATLAS, CMS, TOTEM, </w:t>
      </w:r>
      <w:proofErr w:type="spellStart"/>
      <w:r w:rsidRPr="00365A0F">
        <w:rPr>
          <w:rFonts w:ascii="Arial" w:eastAsiaTheme="minorHAnsi" w:hAnsi="Arial" w:cs="Arial"/>
          <w:sz w:val="22"/>
          <w:szCs w:val="22"/>
          <w:lang w:eastAsia="en-US"/>
        </w:rPr>
        <w:t>LHCb</w:t>
      </w:r>
      <w:proofErr w:type="spellEnd"/>
      <w:r w:rsidRPr="00365A0F">
        <w:rPr>
          <w:rFonts w:ascii="Arial" w:eastAsiaTheme="minorHAnsi" w:hAnsi="Arial" w:cs="Arial"/>
          <w:sz w:val="22"/>
          <w:szCs w:val="22"/>
          <w:lang w:eastAsia="en-US"/>
        </w:rPr>
        <w:t xml:space="preserve">, ALICE, </w:t>
      </w:r>
      <w:proofErr w:type="spellStart"/>
      <w:r w:rsidRPr="00365A0F">
        <w:rPr>
          <w:rFonts w:ascii="Arial" w:eastAsiaTheme="minorHAnsi" w:hAnsi="Arial" w:cs="Arial"/>
          <w:sz w:val="22"/>
          <w:szCs w:val="22"/>
          <w:lang w:eastAsia="en-US"/>
        </w:rPr>
        <w:t>LHCf</w:t>
      </w:r>
      <w:proofErr w:type="spellEnd"/>
      <w:r w:rsidRPr="00365A0F">
        <w:rPr>
          <w:rFonts w:ascii="Arial" w:eastAsiaTheme="minorHAnsi" w:hAnsi="Arial" w:cs="Arial"/>
          <w:sz w:val="22"/>
          <w:szCs w:val="22"/>
          <w:lang w:eastAsia="en-US"/>
        </w:rPr>
        <w:t xml:space="preserve">, </w:t>
      </w:r>
      <w:proofErr w:type="spellStart"/>
      <w:r w:rsidRPr="00365A0F">
        <w:rPr>
          <w:rFonts w:ascii="Arial" w:eastAsiaTheme="minorHAnsi" w:hAnsi="Arial" w:cs="Arial"/>
          <w:sz w:val="22"/>
          <w:szCs w:val="22"/>
          <w:lang w:eastAsia="en-US"/>
        </w:rPr>
        <w:t>MoEDAL</w:t>
      </w:r>
      <w:proofErr w:type="spellEnd"/>
      <w:r w:rsidRPr="00365A0F">
        <w:rPr>
          <w:rFonts w:ascii="Arial" w:eastAsiaTheme="minorHAnsi" w:hAnsi="Arial" w:cs="Arial"/>
          <w:sz w:val="22"/>
          <w:szCs w:val="22"/>
          <w:lang w:eastAsia="en-US"/>
        </w:rPr>
        <w:t xml:space="preserve"> et FASER</w:t>
      </w:r>
    </w:p>
    <w:p w14:paraId="231258ED" w14:textId="77777777" w:rsidR="00365A0F" w:rsidRDefault="00365A0F" w:rsidP="00365A0F">
      <w:pPr>
        <w:pStyle w:val="Titre2"/>
        <w:rPr>
          <w:rStyle w:val="mw-headline"/>
          <w:b/>
          <w:bCs/>
        </w:rPr>
      </w:pPr>
      <w:bookmarkStart w:id="2" w:name="_Toc133070116"/>
      <w:r w:rsidRPr="00365A0F">
        <w:rPr>
          <w:rStyle w:val="mw-headline"/>
          <w:b/>
          <w:bCs/>
        </w:rPr>
        <w:lastRenderedPageBreak/>
        <w:t>Objectifs</w:t>
      </w:r>
      <w:bookmarkEnd w:id="2"/>
    </w:p>
    <w:p w14:paraId="4468506C" w14:textId="7B693EBC" w:rsidR="00365A0F" w:rsidRPr="00365A0F" w:rsidRDefault="00365A0F" w:rsidP="00365A0F">
      <w:pPr>
        <w:pStyle w:val="NormalWeb"/>
        <w:jc w:val="both"/>
        <w:rPr>
          <w:rFonts w:ascii="Arial" w:eastAsiaTheme="minorHAnsi" w:hAnsi="Arial" w:cs="Arial"/>
          <w:sz w:val="22"/>
          <w:szCs w:val="22"/>
          <w:lang w:eastAsia="en-US"/>
        </w:rPr>
      </w:pPr>
      <w:r w:rsidRPr="00365A0F">
        <w:rPr>
          <w:rFonts w:ascii="Arial" w:eastAsiaTheme="minorHAnsi" w:hAnsi="Arial" w:cs="Arial"/>
          <w:sz w:val="22"/>
          <w:szCs w:val="22"/>
          <w:lang w:eastAsia="en-US"/>
        </w:rPr>
        <w:t xml:space="preserve">Les physiciens espèrent apporter des éléments de réponse à plusieurs questions concernant la physique des particules et la cosmologie à l'aide de ces détecteurs4 : </w:t>
      </w:r>
    </w:p>
    <w:p w14:paraId="70E22390" w14:textId="4CF025A7"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le</w:t>
      </w:r>
      <w:proofErr w:type="gramEnd"/>
      <w:r w:rsidRPr="00365A0F">
        <w:rPr>
          <w:rFonts w:ascii="Arial" w:eastAsiaTheme="minorHAnsi" w:hAnsi="Arial" w:cs="Arial"/>
          <w:sz w:val="22"/>
          <w:szCs w:val="22"/>
          <w:lang w:eastAsia="en-US"/>
        </w:rPr>
        <w:t xml:space="preserve"> modèle standard décrit de façon remarquablement précise la physique des particules. Il prédit l'existence d'une particule, appelée boson de Higgs, dont la détection est un des objectifs prioritaires du LHC car il permettrait de tester la validité de certaines théories (telle que la théorie des cordes). Cette détection a été annoncée le 4 juillet 2012 ;</w:t>
      </w:r>
    </w:p>
    <w:p w14:paraId="2E7B2D78" w14:textId="26EDD6EF"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de</w:t>
      </w:r>
      <w:proofErr w:type="gramEnd"/>
      <w:r w:rsidRPr="00365A0F">
        <w:rPr>
          <w:rFonts w:ascii="Arial" w:eastAsiaTheme="minorHAnsi" w:hAnsi="Arial" w:cs="Arial"/>
          <w:sz w:val="22"/>
          <w:szCs w:val="22"/>
          <w:lang w:eastAsia="en-US"/>
        </w:rPr>
        <w:t xml:space="preserve"> nombreux arguments théoriques privilégient l'existence de ce que l'on appelle la supersymétrie, qui prédit que chaque type de particule connue possède un alter-ego appelé superpartenaire. La mise en évidence de la supersymétrie est le second enjeu du LHC ;</w:t>
      </w:r>
    </w:p>
    <w:p w14:paraId="468C2CA2" w14:textId="77777777"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de</w:t>
      </w:r>
      <w:proofErr w:type="gramEnd"/>
      <w:r w:rsidRPr="00365A0F">
        <w:rPr>
          <w:rFonts w:ascii="Arial" w:eastAsiaTheme="minorHAnsi" w:hAnsi="Arial" w:cs="Arial"/>
          <w:sz w:val="22"/>
          <w:szCs w:val="22"/>
          <w:lang w:eastAsia="en-US"/>
        </w:rPr>
        <w:t xml:space="preserve"> très nombreux modèles de supersymétrie existent. Si la supersymétrie est détectée, le LHC sera en mesure de faire le tri entre les modèles viables ;</w:t>
      </w:r>
    </w:p>
    <w:p w14:paraId="0A992D1A" w14:textId="59CE11C7"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les</w:t>
      </w:r>
      <w:proofErr w:type="gramEnd"/>
      <w:r w:rsidRPr="00365A0F">
        <w:rPr>
          <w:rFonts w:ascii="Arial" w:eastAsiaTheme="minorHAnsi" w:hAnsi="Arial" w:cs="Arial"/>
          <w:sz w:val="22"/>
          <w:szCs w:val="22"/>
          <w:lang w:eastAsia="en-US"/>
        </w:rPr>
        <w:t xml:space="preserve"> observations cosmologiques indiquent qu'une grande partie (96 %) de la masse de l'univers est sous forme de constituants inconnus en laboratoire. L'un de ces constituants, appelé, faute de mieux le connaître, la « matière noire », pourrait être mis en évidence au LHC ;</w:t>
      </w:r>
    </w:p>
    <w:p w14:paraId="316407A7" w14:textId="185AD25D"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des</w:t>
      </w:r>
      <w:proofErr w:type="gramEnd"/>
      <w:r w:rsidRPr="00365A0F">
        <w:rPr>
          <w:rFonts w:ascii="Arial" w:eastAsiaTheme="minorHAnsi" w:hAnsi="Arial" w:cs="Arial"/>
          <w:sz w:val="22"/>
          <w:szCs w:val="22"/>
          <w:lang w:eastAsia="en-US"/>
        </w:rPr>
        <w:t xml:space="preserve"> modèles de physique des hautes énergies, notamment la théorie des cordes, prédisent l'existence de dimensions supplémentaires en sus des quatre dimensions (3 + le temps) d'espace que nous connaissons. Certaines collisions réalisées au LHC pourraient indirectement les mettre en évidence, notamment par la formation de trous noirs microscopiques ;</w:t>
      </w:r>
    </w:p>
    <w:p w14:paraId="658656E6" w14:textId="0A55A89A"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il</w:t>
      </w:r>
      <w:proofErr w:type="gramEnd"/>
      <w:r w:rsidRPr="00365A0F">
        <w:rPr>
          <w:rFonts w:ascii="Arial" w:eastAsiaTheme="minorHAnsi" w:hAnsi="Arial" w:cs="Arial"/>
          <w:sz w:val="22"/>
          <w:szCs w:val="22"/>
          <w:lang w:eastAsia="en-US"/>
        </w:rPr>
        <w:t xml:space="preserve"> semble probable que matière et antimatière existaient en quantités égales lors du Big Bang. Par la suite, un phénomène très mal connu a vraisemblablement généré un léger surplus de matière sur l'antimatière (ce phénomène est appelé baryogénèse). Matière et antimatière se sont ensuite annihilées en quantités strictement égales, ne laissant finalement que l'infime surplus de matière. Le LHC pourrait être en mesure de mieux expliquer ce processus ;</w:t>
      </w:r>
    </w:p>
    <w:p w14:paraId="6DC0AF76" w14:textId="329982D0" w:rsidR="00365A0F" w:rsidRPr="00365A0F" w:rsidRDefault="00365A0F" w:rsidP="00365A0F">
      <w:pPr>
        <w:pStyle w:val="NormalWeb"/>
        <w:numPr>
          <w:ilvl w:val="0"/>
          <w:numId w:val="4"/>
        </w:numPr>
        <w:jc w:val="both"/>
        <w:rPr>
          <w:rFonts w:ascii="Arial" w:eastAsiaTheme="minorHAnsi" w:hAnsi="Arial" w:cs="Arial"/>
          <w:sz w:val="22"/>
          <w:szCs w:val="22"/>
          <w:lang w:eastAsia="en-US"/>
        </w:rPr>
      </w:pPr>
      <w:proofErr w:type="gramStart"/>
      <w:r w:rsidRPr="00365A0F">
        <w:rPr>
          <w:rFonts w:ascii="Arial" w:eastAsiaTheme="minorHAnsi" w:hAnsi="Arial" w:cs="Arial"/>
          <w:sz w:val="22"/>
          <w:szCs w:val="22"/>
          <w:lang w:eastAsia="en-US"/>
        </w:rPr>
        <w:t>les</w:t>
      </w:r>
      <w:proofErr w:type="gramEnd"/>
      <w:r w:rsidRPr="00365A0F">
        <w:rPr>
          <w:rFonts w:ascii="Arial" w:eastAsiaTheme="minorHAnsi" w:hAnsi="Arial" w:cs="Arial"/>
          <w:sz w:val="22"/>
          <w:szCs w:val="22"/>
          <w:lang w:eastAsia="en-US"/>
        </w:rPr>
        <w:t xml:space="preserve"> noyaux atomiques sont constitués de protons et de neutrons, chacun étant composé d'entités plus élémentaires appelées quarks. Les quarks n'existent aujourd'hui pas isolément, mais uniquement par groupes de deux ou trois particules (3 dans le cas des neutrons et des protons). Cette propriété est appelée confinement des quarks. Selon toute vraisemblance, à très haute température, les quarks peuvent exister isolément. Le LHC tentera de mettre en évidence cette « transition de déconfinement », et les propriétés de ce nouvel état de la matière appelé plasma quark-gluon.</w:t>
      </w:r>
    </w:p>
    <w:p w14:paraId="57FAE4C0" w14:textId="77777777" w:rsidR="00C526C9" w:rsidRDefault="00C526C9" w:rsidP="00C526C9">
      <w:pPr>
        <w:pStyle w:val="Titre2"/>
        <w:rPr>
          <w:rStyle w:val="mw-headline"/>
          <w:b/>
          <w:bCs/>
        </w:rPr>
      </w:pPr>
      <w:bookmarkStart w:id="3" w:name="_Toc133070117"/>
      <w:r w:rsidRPr="00C526C9">
        <w:rPr>
          <w:rStyle w:val="mw-headline"/>
          <w:b/>
          <w:bCs/>
        </w:rPr>
        <w:t>Caractéristiques techniques</w:t>
      </w:r>
      <w:bookmarkEnd w:id="3"/>
    </w:p>
    <w:p w14:paraId="49D4F3A9" w14:textId="3DD57FB9" w:rsidR="00C526C9" w:rsidRPr="00C90062" w:rsidRDefault="00C526C9" w:rsidP="00C90062">
      <w:pPr>
        <w:jc w:val="both"/>
        <w:rPr>
          <w:rFonts w:ascii="Arial" w:hAnsi="Arial" w:cs="Arial"/>
        </w:rPr>
      </w:pPr>
      <w:r w:rsidRPr="00C90062">
        <w:rPr>
          <w:rFonts w:ascii="Arial" w:hAnsi="Arial" w:cs="Arial"/>
        </w:rPr>
        <w:t xml:space="preserve">Construit dans le tunnel de 3 mètres de diamètre et de 27 km de long qui avait abrité le LEP (1989-2000), foré sous la plaine lémanique entre Genève et le Jura, passant sous le pays de Gex, à une profondeur moyenne de 100 mètres (entre 50 et 175 mètres), le LHC est d'abord un accélérateur-collisionneur circulaire de protons (protons contre protons, ou pp). Le dispositif utilise la technologie du synchrotron. Les deux faisceaux de particules sont accélérés en sens inverse par le champ électrique à très haute fréquence des cavités accélératrices et des klystrons. Ils tournent dans deux tubes jumelés où règne un ultravide, insérés dans un même système magnétique supraconducteur refroidi par de l'hélium liquide. Des aimants additionnels sont utilisés pour diriger les faisceaux aux quatre points d'intersection où des collisions permettront des interactions entre les particules. </w:t>
      </w:r>
    </w:p>
    <w:p w14:paraId="11BA1332" w14:textId="77777777" w:rsidR="00C526C9" w:rsidRPr="00C526C9" w:rsidRDefault="00C526C9" w:rsidP="00C526C9"/>
    <w:p w14:paraId="174BFD07" w14:textId="77777777" w:rsidR="00C526C9" w:rsidRDefault="00C526C9" w:rsidP="00C526C9">
      <w:pPr>
        <w:pStyle w:val="Titre2"/>
        <w:rPr>
          <w:rStyle w:val="mw-headline"/>
          <w:b/>
          <w:bCs/>
        </w:rPr>
      </w:pPr>
      <w:bookmarkStart w:id="4" w:name="_Toc133070118"/>
      <w:r w:rsidRPr="00C526C9">
        <w:rPr>
          <w:rStyle w:val="mw-headline"/>
          <w:b/>
          <w:bCs/>
        </w:rPr>
        <w:lastRenderedPageBreak/>
        <w:t>Le tunnel</w:t>
      </w:r>
      <w:bookmarkEnd w:id="4"/>
    </w:p>
    <w:p w14:paraId="2201F387" w14:textId="58FA5998" w:rsidR="00C526C9" w:rsidRPr="00C526C9" w:rsidRDefault="00C526C9" w:rsidP="00C526C9">
      <w:pPr>
        <w:jc w:val="both"/>
        <w:rPr>
          <w:rFonts w:ascii="Arial" w:hAnsi="Arial" w:cs="Arial"/>
        </w:rPr>
      </w:pPr>
      <w:r w:rsidRPr="00C526C9">
        <w:rPr>
          <w:rFonts w:ascii="Arial" w:hAnsi="Arial" w:cs="Arial"/>
        </w:rPr>
        <w:t xml:space="preserve">Le tunnel dans lequel est construit le LHC est celui précédemment utilisé par le LEP, pour des raisons budgétaires. Ce tunnel est d'une longueur d'un peu moins de 27 kilomètres (26 659 mètres), et de forme approximativement circulaire. Il est en réalité composé de huit arcs de cercles appelés octants, reliés par des sections droites appelées insertions. Les huit octants sont de structure identique, et parsemés d'aimants dont le rôle est de courber le faisceau de particules. </w:t>
      </w:r>
    </w:p>
    <w:p w14:paraId="419CF3A9" w14:textId="327E12F0" w:rsidR="00C526C9" w:rsidRPr="00C526C9" w:rsidRDefault="00C526C9" w:rsidP="00C526C9">
      <w:pPr>
        <w:jc w:val="both"/>
        <w:rPr>
          <w:rFonts w:ascii="Arial" w:hAnsi="Arial" w:cs="Arial"/>
        </w:rPr>
      </w:pPr>
      <w:r w:rsidRPr="00C526C9">
        <w:rPr>
          <w:rFonts w:ascii="Arial" w:hAnsi="Arial" w:cs="Arial"/>
        </w:rPr>
        <w:t xml:space="preserve">Les travaux de creusement se déroulèrent de 1983 à 1988, utilisant entre autres trois tunneliers. À l'époque ce fut le plus vaste chantier européen avec plus de 1,4 million de mètres cubes excavés. Il est à noter que l'anneau en lui-même représentait paradoxalement moins de la moitié de ce volume, le reste correspondant aux puits d'accès, aux cavernes destinées à accueillir les expériences, et à de multiples tunnels et galeries de service. </w:t>
      </w:r>
    </w:p>
    <w:p w14:paraId="4CF7C2DB" w14:textId="582C752D" w:rsidR="00C526C9" w:rsidRPr="00C526C9" w:rsidRDefault="00C526C9" w:rsidP="00C526C9">
      <w:pPr>
        <w:jc w:val="both"/>
        <w:rPr>
          <w:rFonts w:ascii="Arial" w:hAnsi="Arial" w:cs="Arial"/>
        </w:rPr>
      </w:pPr>
      <w:r w:rsidRPr="00C526C9">
        <w:rPr>
          <w:rFonts w:ascii="Arial" w:hAnsi="Arial" w:cs="Arial"/>
        </w:rPr>
        <w:t xml:space="preserve">Cette entreprise ne fut pas sans difficultés : malgré la taille de l'ensemble la précision était de rigueur, et finalement l'écart avec le tracé théorique n'excéda pas un centimètre. En raison d'un problème géologique, l'ouvrage ne put être construit à l'horizontale parfaite : le plan dans lequel se trouve l'anneau présente ainsi une pente de 1,4 %. Et enfin, en 1986 le tunnel subit l'intrusion de grandes quantités d'eau, de sable, et de boue, ce qui entraîna une interruption du chantier pendant plusieurs mois. </w:t>
      </w:r>
    </w:p>
    <w:p w14:paraId="2BB582FD" w14:textId="77777777" w:rsidR="00C526C9" w:rsidRPr="00C526C9" w:rsidRDefault="00C526C9" w:rsidP="00C526C9"/>
    <w:p w14:paraId="589A2E71" w14:textId="76F09C40" w:rsidR="00C526C9" w:rsidRPr="00C526C9" w:rsidRDefault="00C526C9" w:rsidP="00C526C9">
      <w:pPr>
        <w:pStyle w:val="Titre2"/>
      </w:pPr>
      <w:bookmarkStart w:id="5" w:name="_Toc133070119"/>
      <w:r w:rsidRPr="00C526C9">
        <w:rPr>
          <w:rStyle w:val="mw-headline"/>
          <w:b/>
          <w:bCs/>
        </w:rPr>
        <w:t>Les aimants supraconducteurs</w:t>
      </w:r>
      <w:bookmarkEnd w:id="5"/>
    </w:p>
    <w:p w14:paraId="2144FF67" w14:textId="2C5A8975" w:rsidR="00C526C9" w:rsidRPr="00C526C9" w:rsidRDefault="00C526C9" w:rsidP="00C526C9">
      <w:pPr>
        <w:jc w:val="both"/>
        <w:rPr>
          <w:rFonts w:ascii="Arial" w:hAnsi="Arial" w:cs="Arial"/>
        </w:rPr>
      </w:pPr>
      <w:r w:rsidRPr="00C526C9">
        <w:rPr>
          <w:rFonts w:ascii="Arial" w:hAnsi="Arial" w:cs="Arial"/>
        </w:rPr>
        <w:t>Le champ magnétique nécessaire pour courber le faisceau de protons de 7 </w:t>
      </w:r>
      <w:proofErr w:type="spellStart"/>
      <w:r w:rsidRPr="00C526C9">
        <w:rPr>
          <w:rFonts w:ascii="Arial" w:hAnsi="Arial" w:cs="Arial"/>
        </w:rPr>
        <w:t>TeV</w:t>
      </w:r>
      <w:proofErr w:type="spellEnd"/>
      <w:r w:rsidRPr="00C526C9">
        <w:rPr>
          <w:rFonts w:ascii="Arial" w:hAnsi="Arial" w:cs="Arial"/>
        </w:rPr>
        <w:t xml:space="preserve"> est de 8,3 teslas. De tels champs magnétiques peuvent être réalisés à l'aide d'électroaimants classiques, mais au prix d'un courant électrique considérable. En temps normal, un tel courant électrique serait à l'origine d'un très important dégagement de chaleur. Le seul moyen d'éviter ce problème consiste à utiliser le phénomène de supraconductivité, qui permet au courant électrique de circuler sans dissipation de chaleur. La supraconductivité ne se produit qu'à très basse température, quelques degrés au-dessus du zéro absolu. </w:t>
      </w:r>
    </w:p>
    <w:p w14:paraId="6F06CBF6" w14:textId="340C3A70" w:rsidR="00C526C9" w:rsidRPr="00C526C9" w:rsidRDefault="00C526C9" w:rsidP="00C526C9">
      <w:pPr>
        <w:jc w:val="both"/>
        <w:rPr>
          <w:rFonts w:ascii="Arial" w:hAnsi="Arial" w:cs="Arial"/>
        </w:rPr>
      </w:pPr>
      <w:r w:rsidRPr="00C526C9">
        <w:rPr>
          <w:rFonts w:ascii="Arial" w:hAnsi="Arial" w:cs="Arial"/>
        </w:rPr>
        <w:t xml:space="preserve">9 593 électroaimants supraconducteurs, dont 1 232 aimants dipolaires de courbure sont répartis autour des deux anneaux accélérateurs lovés l'un dans l'autre. Ces aimants dipolaires sont répartis de façon homogène à raison de 154 aimants par octant. Des électroaimants quadripolaires assurent la focalisation des faisceaux de particules. Le LHC compte 392 aimants quadripolaires principaux. </w:t>
      </w:r>
    </w:p>
    <w:p w14:paraId="72CB8963" w14:textId="4CA974C5" w:rsidR="00C526C9" w:rsidRPr="00C526C9" w:rsidRDefault="00C526C9" w:rsidP="00C526C9">
      <w:pPr>
        <w:jc w:val="both"/>
        <w:rPr>
          <w:rFonts w:ascii="Arial" w:hAnsi="Arial" w:cs="Arial"/>
        </w:rPr>
      </w:pPr>
      <w:r w:rsidRPr="00C526C9">
        <w:rPr>
          <w:rFonts w:ascii="Arial" w:hAnsi="Arial" w:cs="Arial"/>
        </w:rPr>
        <w:t xml:space="preserve">Les électroaimants de courbure mesurent 15 mètres de long, sont légèrement courbes, pèsent 34 tonnes chacun, engendrent un champ magnétique de 8,3 teslas (83 000 gauss) et permettent une déviation du faisceau de 0,6 mm par mètre. Ils sont bobinés avec un câble métallique complexe fait de filaments de niobium-titane inséré dans du cuivre. Plusieurs milliers de filaments de 7 µm composent le câble. 7 000 km de câbles (1 200 tonnes) ont été fabriqués pour ces bobinages. La supraconductivité permet de maintenir un courant électrique de 12 000 ampères dans le câble (courant nominal). Le refroidissement cryogénique à 1,9 K (−271,3 °C) est obtenu au moyen de 94 tonnes d'hélium. Il faut six semaines de refroidissement pour amener les 40 000 tonnes du dispositif à 1,9 K. </w:t>
      </w:r>
    </w:p>
    <w:p w14:paraId="6263A70E" w14:textId="5AC78C60" w:rsidR="00C526C9" w:rsidRDefault="00C526C9" w:rsidP="00C526C9">
      <w:pPr>
        <w:pStyle w:val="Titre2"/>
        <w:rPr>
          <w:rStyle w:val="mw-headline"/>
          <w:b/>
          <w:bCs/>
        </w:rPr>
      </w:pPr>
      <w:bookmarkStart w:id="6" w:name="_Toc133070120"/>
      <w:r w:rsidRPr="00C526C9">
        <w:rPr>
          <w:rStyle w:val="mw-headline"/>
          <w:b/>
          <w:bCs/>
        </w:rPr>
        <w:t>Les injecteurs du LHC</w:t>
      </w:r>
      <w:bookmarkEnd w:id="6"/>
    </w:p>
    <w:p w14:paraId="3B0CE53D" w14:textId="7B7993AC" w:rsidR="00C526C9" w:rsidRPr="00C526C9" w:rsidRDefault="00C526C9" w:rsidP="00C526C9">
      <w:pPr>
        <w:jc w:val="both"/>
        <w:rPr>
          <w:rFonts w:ascii="Arial" w:hAnsi="Arial" w:cs="Arial"/>
        </w:rPr>
      </w:pPr>
      <w:r w:rsidRPr="00C526C9">
        <w:rPr>
          <w:rFonts w:ascii="Arial" w:hAnsi="Arial" w:cs="Arial"/>
        </w:rPr>
        <w:t>L'accélération se produit par étages (</w:t>
      </w:r>
      <w:proofErr w:type="spellStart"/>
      <w:r w:rsidRPr="00C526C9">
        <w:rPr>
          <w:rFonts w:ascii="Arial" w:hAnsi="Arial" w:cs="Arial"/>
        </w:rPr>
        <w:t>préaccélérateurs</w:t>
      </w:r>
      <w:proofErr w:type="spellEnd"/>
      <w:r w:rsidRPr="00C526C9">
        <w:rPr>
          <w:rFonts w:ascii="Arial" w:hAnsi="Arial" w:cs="Arial"/>
        </w:rPr>
        <w:t xml:space="preserve">) comme au </w:t>
      </w:r>
      <w:proofErr w:type="spellStart"/>
      <w:r w:rsidRPr="00C526C9">
        <w:rPr>
          <w:rFonts w:ascii="Arial" w:hAnsi="Arial" w:cs="Arial"/>
        </w:rPr>
        <w:t>Tevatron</w:t>
      </w:r>
      <w:proofErr w:type="spellEnd"/>
      <w:r w:rsidRPr="00C526C9">
        <w:rPr>
          <w:rFonts w:ascii="Arial" w:hAnsi="Arial" w:cs="Arial"/>
        </w:rPr>
        <w:t xml:space="preserve">. Le LHC reçoit les particules d'une chaîne existante comprenant un accélérateur linéaire de la série Linac (pour </w:t>
      </w:r>
      <w:proofErr w:type="spellStart"/>
      <w:r w:rsidRPr="00C526C9">
        <w:rPr>
          <w:rFonts w:ascii="Arial" w:hAnsi="Arial" w:cs="Arial"/>
        </w:rPr>
        <w:t>Linear</w:t>
      </w:r>
      <w:proofErr w:type="spellEnd"/>
      <w:r w:rsidRPr="00C526C9">
        <w:rPr>
          <w:rFonts w:ascii="Arial" w:hAnsi="Arial" w:cs="Arial"/>
        </w:rPr>
        <w:t xml:space="preserve"> </w:t>
      </w:r>
      <w:proofErr w:type="spellStart"/>
      <w:r w:rsidRPr="00C526C9">
        <w:rPr>
          <w:rFonts w:ascii="Arial" w:hAnsi="Arial" w:cs="Arial"/>
        </w:rPr>
        <w:t>particle</w:t>
      </w:r>
      <w:proofErr w:type="spellEnd"/>
      <w:r w:rsidRPr="00C526C9">
        <w:rPr>
          <w:rFonts w:ascii="Arial" w:hAnsi="Arial" w:cs="Arial"/>
        </w:rPr>
        <w:t xml:space="preserve"> </w:t>
      </w:r>
      <w:proofErr w:type="spellStart"/>
      <w:r w:rsidRPr="00C526C9">
        <w:rPr>
          <w:rFonts w:ascii="Arial" w:hAnsi="Arial" w:cs="Arial"/>
        </w:rPr>
        <w:t>accelerator</w:t>
      </w:r>
      <w:proofErr w:type="spellEnd"/>
      <w:r w:rsidRPr="00C526C9">
        <w:rPr>
          <w:rFonts w:ascii="Arial" w:hAnsi="Arial" w:cs="Arial"/>
        </w:rPr>
        <w:t xml:space="preserve">). </w:t>
      </w:r>
    </w:p>
    <w:p w14:paraId="78C32A20" w14:textId="6C0B2F00" w:rsidR="00C526C9" w:rsidRPr="00C526C9" w:rsidRDefault="00C526C9" w:rsidP="00C526C9">
      <w:pPr>
        <w:jc w:val="both"/>
        <w:rPr>
          <w:rFonts w:ascii="Arial" w:hAnsi="Arial" w:cs="Arial"/>
        </w:rPr>
      </w:pPr>
      <w:r w:rsidRPr="00C526C9">
        <w:rPr>
          <w:rFonts w:ascii="Arial" w:hAnsi="Arial" w:cs="Arial"/>
        </w:rPr>
        <w:lastRenderedPageBreak/>
        <w:t>Installé en 1978, l'accélérateur à protons (Linac2) de 50 MeV alimente un Booster (Proton Synchrotron Booster, ou PSB). Les protons sont ensuite injectés à 1,4 </w:t>
      </w:r>
      <w:proofErr w:type="spellStart"/>
      <w:r w:rsidRPr="00C526C9">
        <w:rPr>
          <w:rFonts w:ascii="Arial" w:hAnsi="Arial" w:cs="Arial"/>
        </w:rPr>
        <w:t>GeV</w:t>
      </w:r>
      <w:proofErr w:type="spellEnd"/>
      <w:r w:rsidRPr="00C526C9">
        <w:rPr>
          <w:rFonts w:ascii="Arial" w:hAnsi="Arial" w:cs="Arial"/>
        </w:rPr>
        <w:t xml:space="preserve"> dans le Proton Synchrotron (PS), qui les accélère à 25 </w:t>
      </w:r>
      <w:proofErr w:type="spellStart"/>
      <w:r w:rsidRPr="00C526C9">
        <w:rPr>
          <w:rFonts w:ascii="Arial" w:hAnsi="Arial" w:cs="Arial"/>
        </w:rPr>
        <w:t>GeV</w:t>
      </w:r>
      <w:proofErr w:type="spellEnd"/>
      <w:r w:rsidRPr="00C526C9">
        <w:rPr>
          <w:rFonts w:ascii="Arial" w:hAnsi="Arial" w:cs="Arial"/>
        </w:rPr>
        <w:t xml:space="preserve"> avant leur passage dans le Super Synchrotron à Protons (SPS) de 2 km de diamètre pour une montée en énergie jusqu'à 450 </w:t>
      </w:r>
      <w:proofErr w:type="spellStart"/>
      <w:r w:rsidRPr="00C526C9">
        <w:rPr>
          <w:rFonts w:ascii="Arial" w:hAnsi="Arial" w:cs="Arial"/>
        </w:rPr>
        <w:t>GeV</w:t>
      </w:r>
      <w:proofErr w:type="spellEnd"/>
      <w:r w:rsidRPr="00C526C9">
        <w:rPr>
          <w:rFonts w:ascii="Arial" w:hAnsi="Arial" w:cs="Arial"/>
        </w:rPr>
        <w:t xml:space="preserve">. Deux dispositifs, le LEIR (Low-Energy </w:t>
      </w:r>
      <w:proofErr w:type="spellStart"/>
      <w:r w:rsidRPr="00C526C9">
        <w:rPr>
          <w:rFonts w:ascii="Arial" w:hAnsi="Arial" w:cs="Arial"/>
        </w:rPr>
        <w:t>Injector</w:t>
      </w:r>
      <w:proofErr w:type="spellEnd"/>
      <w:r w:rsidRPr="00C526C9">
        <w:rPr>
          <w:rFonts w:ascii="Arial" w:hAnsi="Arial" w:cs="Arial"/>
        </w:rPr>
        <w:t xml:space="preserve"> Ring), anneau de stockage et de refroidissement des ions et l'AD (Antiproton </w:t>
      </w:r>
      <w:proofErr w:type="spellStart"/>
      <w:r w:rsidRPr="00C526C9">
        <w:rPr>
          <w:rFonts w:ascii="Arial" w:hAnsi="Arial" w:cs="Arial"/>
        </w:rPr>
        <w:t>Decelerator</w:t>
      </w:r>
      <w:proofErr w:type="spellEnd"/>
      <w:r w:rsidRPr="00C526C9">
        <w:rPr>
          <w:rFonts w:ascii="Arial" w:hAnsi="Arial" w:cs="Arial"/>
        </w:rPr>
        <w:t>), générateur d'antiprotons à 2 </w:t>
      </w:r>
      <w:proofErr w:type="spellStart"/>
      <w:r w:rsidRPr="00C526C9">
        <w:rPr>
          <w:rFonts w:ascii="Arial" w:hAnsi="Arial" w:cs="Arial"/>
        </w:rPr>
        <w:t>GeV</w:t>
      </w:r>
      <w:proofErr w:type="spellEnd"/>
      <w:r w:rsidRPr="00C526C9">
        <w:rPr>
          <w:rFonts w:ascii="Arial" w:hAnsi="Arial" w:cs="Arial"/>
        </w:rPr>
        <w:t xml:space="preserve"> permettent d'obtenir des particules refroidies et décélérées. </w:t>
      </w:r>
    </w:p>
    <w:p w14:paraId="72340D13" w14:textId="5C35F496" w:rsidR="00C526C9" w:rsidRPr="00C526C9" w:rsidRDefault="00C526C9" w:rsidP="00C526C9">
      <w:pPr>
        <w:jc w:val="both"/>
        <w:rPr>
          <w:rFonts w:ascii="Arial" w:hAnsi="Arial" w:cs="Arial"/>
        </w:rPr>
      </w:pPr>
      <w:r w:rsidRPr="00C526C9">
        <w:rPr>
          <w:rFonts w:ascii="Arial" w:hAnsi="Arial" w:cs="Arial"/>
        </w:rPr>
        <w:t xml:space="preserve">En mode de collision d'ion lourds, la chaîne d'accélération est légèrement différente. Un second accélérateur linéaire, Linac3 accélère des atomes de plomb issus d'une source très pure de 500 kilogrammes. Ces atomes sont partiellement ionisés, ayant perdu jusqu'à 29 électrons (sur les 82 qu'ils comportent au départ). Seuls ceux ionisés 29 fois sont </w:t>
      </w:r>
      <w:proofErr w:type="gramStart"/>
      <w:r w:rsidRPr="00C526C9">
        <w:rPr>
          <w:rFonts w:ascii="Arial" w:hAnsi="Arial" w:cs="Arial"/>
        </w:rPr>
        <w:t>conservés</w:t>
      </w:r>
      <w:proofErr w:type="gramEnd"/>
      <w:r w:rsidRPr="00C526C9">
        <w:rPr>
          <w:rFonts w:ascii="Arial" w:hAnsi="Arial" w:cs="Arial"/>
        </w:rPr>
        <w:t>. Ils sont alors accélérés à une énergie de 4,2 MeV par nucléon (soit environ 875 MeV pour le noyau complet) et sont mis en collision avec une feuille de carbone qui leur arrache 25 électrons supplémentaires. Ils passent alors dans un instrument appelé LEIR (pour Low Energy Ion Ring, ou anneau d'ions de basse énergie) où ils sont accélérés à 72 MeV par nucléon. Ils sont ensuite injectés dans le PS (sans passer par le Booster, contrairement aux protons) qui les accélère à 5,9 </w:t>
      </w:r>
      <w:proofErr w:type="spellStart"/>
      <w:r w:rsidRPr="00C526C9">
        <w:rPr>
          <w:rFonts w:ascii="Arial" w:hAnsi="Arial" w:cs="Arial"/>
        </w:rPr>
        <w:t>GeV</w:t>
      </w:r>
      <w:proofErr w:type="spellEnd"/>
      <w:r w:rsidRPr="00C526C9">
        <w:rPr>
          <w:rFonts w:ascii="Arial" w:hAnsi="Arial" w:cs="Arial"/>
        </w:rPr>
        <w:t xml:space="preserve"> par nucléon. Une seconde feuille finit d'arracher la totalité des électrons des ions, qui passent dans le SPS qui accélère les noyaux de plomb à 177 </w:t>
      </w:r>
      <w:proofErr w:type="spellStart"/>
      <w:r w:rsidRPr="00C526C9">
        <w:rPr>
          <w:rFonts w:ascii="Arial" w:hAnsi="Arial" w:cs="Arial"/>
        </w:rPr>
        <w:t>GeV</w:t>
      </w:r>
      <w:proofErr w:type="spellEnd"/>
      <w:r w:rsidRPr="00C526C9">
        <w:rPr>
          <w:rFonts w:ascii="Arial" w:hAnsi="Arial" w:cs="Arial"/>
        </w:rPr>
        <w:t xml:space="preserve"> par nucléon, avant de les injecter dans le LHC qui leur fait atteindre une énergie de 2,76 </w:t>
      </w:r>
      <w:proofErr w:type="spellStart"/>
      <w:r w:rsidRPr="00C526C9">
        <w:rPr>
          <w:rFonts w:ascii="Arial" w:hAnsi="Arial" w:cs="Arial"/>
        </w:rPr>
        <w:t>TeV</w:t>
      </w:r>
      <w:proofErr w:type="spellEnd"/>
      <w:r w:rsidRPr="00C526C9">
        <w:rPr>
          <w:rFonts w:ascii="Arial" w:hAnsi="Arial" w:cs="Arial"/>
        </w:rPr>
        <w:t xml:space="preserve"> par nucléon. </w:t>
      </w:r>
    </w:p>
    <w:p w14:paraId="51E6910E" w14:textId="227CEEC1" w:rsidR="00C526C9" w:rsidRPr="00C526C9" w:rsidRDefault="00C526C9" w:rsidP="00C526C9">
      <w:pPr>
        <w:jc w:val="both"/>
        <w:rPr>
          <w:rFonts w:ascii="Arial" w:hAnsi="Arial" w:cs="Arial"/>
        </w:rPr>
      </w:pPr>
      <w:r w:rsidRPr="00C526C9">
        <w:rPr>
          <w:rFonts w:ascii="Arial" w:hAnsi="Arial" w:cs="Arial"/>
        </w:rPr>
        <w:t xml:space="preserve">L'accélérateur linéaire Linac 4 est inauguré le 9 mai 2017. Il mesure 12 mètres de long et est alimenté par deux bouteilles d'hydrogène pressurisées. L'hydrogène entre dans une chambre à plasma où le mélange avec un gaz de césium transfère des électrons du césium vers l'hydrogène et génère des anions hydrures H−, leur charge permettant de les accélérer. De nombreux tests seront réalisés avant la connexion avec le LHC en 2019. Le Linac 4 participera au projet HL-LHC (HL signifiant « haute luminosité ») qui prévoit de multiplier la luminosité du LHC par 5 d'ici à 2026. </w:t>
      </w:r>
    </w:p>
    <w:p w14:paraId="15E84562" w14:textId="3CABAF07" w:rsidR="00C526C9" w:rsidRDefault="00C526C9" w:rsidP="00C526C9">
      <w:pPr>
        <w:pStyle w:val="Titre2"/>
        <w:rPr>
          <w:rStyle w:val="mw-headline"/>
          <w:b/>
          <w:bCs/>
        </w:rPr>
      </w:pPr>
      <w:bookmarkStart w:id="7" w:name="_Toc133070121"/>
      <w:r>
        <w:rPr>
          <w:noProof/>
          <w:color w:val="0000FF"/>
        </w:rPr>
        <w:drawing>
          <wp:anchor distT="0" distB="0" distL="114300" distR="114300" simplePos="0" relativeHeight="251659264" behindDoc="0" locked="0" layoutInCell="1" allowOverlap="1" wp14:anchorId="2EB004AC" wp14:editId="7F3FF97B">
            <wp:simplePos x="0" y="0"/>
            <wp:positionH relativeFrom="column">
              <wp:posOffset>4052570</wp:posOffset>
            </wp:positionH>
            <wp:positionV relativeFrom="paragraph">
              <wp:posOffset>17145</wp:posOffset>
            </wp:positionV>
            <wp:extent cx="2219325" cy="1563370"/>
            <wp:effectExtent l="0" t="0" r="0" b="0"/>
            <wp:wrapSquare wrapText="bothSides"/>
            <wp:docPr id="2"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1563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26C9">
        <w:rPr>
          <w:rStyle w:val="mw-headline"/>
          <w:b/>
          <w:bCs/>
        </w:rPr>
        <w:t>Les faisceaux de protons</w:t>
      </w:r>
      <w:bookmarkEnd w:id="7"/>
    </w:p>
    <w:p w14:paraId="022E352F" w14:textId="61716346" w:rsidR="00C526C9" w:rsidRDefault="00C526C9" w:rsidP="00C526C9">
      <w:pPr>
        <w:jc w:val="both"/>
        <w:rPr>
          <w:rFonts w:ascii="Arial" w:hAnsi="Arial" w:cs="Arial"/>
        </w:rPr>
      </w:pPr>
      <w:r w:rsidRPr="00C526C9">
        <w:rPr>
          <w:rFonts w:ascii="Arial" w:hAnsi="Arial" w:cs="Arial"/>
        </w:rPr>
        <w:t>Les protons sont accélérés à des vitesses extrêmement proches de celle de la lumière. Avec une énergie de 7 </w:t>
      </w:r>
      <w:proofErr w:type="spellStart"/>
      <w:r w:rsidRPr="00C526C9">
        <w:rPr>
          <w:rFonts w:ascii="Arial" w:hAnsi="Arial" w:cs="Arial"/>
        </w:rPr>
        <w:t>TeV</w:t>
      </w:r>
      <w:proofErr w:type="spellEnd"/>
      <w:r w:rsidRPr="00C526C9">
        <w:rPr>
          <w:rFonts w:ascii="Arial" w:hAnsi="Arial" w:cs="Arial"/>
        </w:rPr>
        <w:t xml:space="preserve">, soit 7 500 fois leur énergie de masse, leur vitesse est d'environ 0,999 999 991 fois celle de la lumière, autrement dit, ils se déplacent à seulement 2,7 mètres par seconde moins vite que la lumière (299 792 455,3 au lieu de 299 792 458 mètres par seconde). </w:t>
      </w:r>
    </w:p>
    <w:p w14:paraId="1E8A1F7C" w14:textId="5E1303F1" w:rsidR="00C526C9" w:rsidRPr="00C526C9" w:rsidRDefault="00C526C9" w:rsidP="00C526C9">
      <w:pPr>
        <w:jc w:val="both"/>
        <w:rPr>
          <w:rFonts w:ascii="Arial" w:hAnsi="Arial" w:cs="Arial"/>
        </w:rPr>
      </w:pPr>
    </w:p>
    <w:p w14:paraId="41BAFCC7" w14:textId="69E54719" w:rsidR="00C526C9" w:rsidRPr="00C526C9" w:rsidRDefault="00C526C9" w:rsidP="00C526C9">
      <w:pPr>
        <w:jc w:val="both"/>
        <w:rPr>
          <w:rFonts w:ascii="Arial" w:hAnsi="Arial" w:cs="Arial"/>
        </w:rPr>
      </w:pPr>
      <w:r w:rsidRPr="00C526C9">
        <w:rPr>
          <w:rFonts w:ascii="Arial" w:hAnsi="Arial" w:cs="Arial"/>
        </w:rPr>
        <w:t xml:space="preserve">Le système des </w:t>
      </w:r>
      <w:proofErr w:type="spellStart"/>
      <w:r w:rsidRPr="00C526C9">
        <w:rPr>
          <w:rFonts w:ascii="Arial" w:hAnsi="Arial" w:cs="Arial"/>
        </w:rPr>
        <w:t>préaccélérateurs</w:t>
      </w:r>
      <w:proofErr w:type="spellEnd"/>
      <w:r w:rsidRPr="00C526C9">
        <w:rPr>
          <w:rFonts w:ascii="Arial" w:hAnsi="Arial" w:cs="Arial"/>
        </w:rPr>
        <w:t>, le collisionneur et les expériences au LHC.</w:t>
      </w:r>
      <w:r w:rsidRPr="00C526C9">
        <w:rPr>
          <w:rFonts w:ascii="Arial" w:hAnsi="Arial" w:cs="Arial"/>
        </w:rPr>
        <w:br/>
        <w:t xml:space="preserve">Les </w:t>
      </w:r>
      <w:proofErr w:type="spellStart"/>
      <w:r w:rsidRPr="00C526C9">
        <w:rPr>
          <w:rFonts w:ascii="Arial" w:hAnsi="Arial" w:cs="Arial"/>
        </w:rPr>
        <w:t>préaccélérateurs</w:t>
      </w:r>
      <w:proofErr w:type="spellEnd"/>
      <w:r w:rsidRPr="00C526C9">
        <w:rPr>
          <w:rFonts w:ascii="Arial" w:hAnsi="Arial" w:cs="Arial"/>
        </w:rPr>
        <w:t xml:space="preserve"> sont le PS (Proton Synchrotron) et le SPS (Super </w:t>
      </w:r>
      <w:proofErr w:type="spellStart"/>
      <w:r w:rsidRPr="00C526C9">
        <w:rPr>
          <w:rFonts w:ascii="Arial" w:hAnsi="Arial" w:cs="Arial"/>
        </w:rPr>
        <w:t>Protron</w:t>
      </w:r>
      <w:proofErr w:type="spellEnd"/>
      <w:r w:rsidRPr="00C526C9">
        <w:rPr>
          <w:rFonts w:ascii="Arial" w:hAnsi="Arial" w:cs="Arial"/>
        </w:rPr>
        <w:t xml:space="preserve"> Synchrotron). Le Proton Synchrotron Booster n'est pas représenté. Les accélérateurs linéaires permettent de choisir entre les protons et les ions lourds de plomb. Les quatre expériences principales sont représentées en jaune sur le collisionneur.</w:t>
      </w:r>
    </w:p>
    <w:p w14:paraId="3D803AAF" w14:textId="53346830" w:rsidR="00C526C9" w:rsidRPr="00C526C9" w:rsidRDefault="00C526C9" w:rsidP="00C526C9">
      <w:pPr>
        <w:jc w:val="both"/>
        <w:rPr>
          <w:rFonts w:ascii="Arial" w:hAnsi="Arial" w:cs="Arial"/>
        </w:rPr>
      </w:pPr>
      <w:r w:rsidRPr="00C526C9">
        <w:rPr>
          <w:rFonts w:ascii="Arial" w:hAnsi="Arial" w:cs="Arial"/>
        </w:rPr>
        <w:t xml:space="preserve">Les faisceaux parcourent les 27 km de circonférence environ 11 000 fois par seconde (chaque proton se déplaçant presque à la vitesse de la lumière, il parcourt l'anneau en 89 µs). Ils sont formés chacun de 2 808 paquets très denses de particules, ce qui représente une amélioration considérable par rapport au LEP, qui ne comportait que quatre paquets. L'intervalle entre les paquets est généralement de 7,5 mètres soit un écart de 25 nanosecondes entre deux passages de paquets. Certains paquets sont beaucoup plus espacés pour diverses raisons </w:t>
      </w:r>
      <w:r w:rsidRPr="00C526C9">
        <w:rPr>
          <w:rFonts w:ascii="Arial" w:hAnsi="Arial" w:cs="Arial"/>
        </w:rPr>
        <w:lastRenderedPageBreak/>
        <w:t xml:space="preserve">de maintenance (injection de nouveaux paquets, ou éjection de paquets présents). Finalement, chaque point de collision voit 31,5 millions de collisions entre paquets par seconde. </w:t>
      </w:r>
    </w:p>
    <w:p w14:paraId="7B5814A0" w14:textId="584AC38F" w:rsidR="00C526C9" w:rsidRPr="00C526C9" w:rsidRDefault="00C526C9" w:rsidP="00C526C9">
      <w:pPr>
        <w:jc w:val="both"/>
        <w:rPr>
          <w:rFonts w:ascii="Arial" w:hAnsi="Arial" w:cs="Arial"/>
        </w:rPr>
      </w:pPr>
      <w:r w:rsidRPr="00C526C9">
        <w:rPr>
          <w:rFonts w:ascii="Arial" w:hAnsi="Arial" w:cs="Arial"/>
        </w:rPr>
        <w:t xml:space="preserve">Chaque paquet contient 1011 protons, mais lors d'une collision seule une infime partie des protons entre en collision. Afin de maximiser les chances de collision, les paquets sont comprimés au voisinage des détecteurs, pour mesurer 16 microns, alors qu'entre les détecteurs, leur étalement peut atteindre plusieurs centimètres en longueur (le long du faisceau) et un millimètre en largeur (perpendiculairement au faisceau). Avec les capacités de focalisation des faisceaux, ce sont environ 20 collisions attendues dans une rencontre entre deux paquets, soit un peu plus de 600 millions de collisions enregistrables par seconde et par détecteur. Du fait des collisions et des particules déviées de leur trajectoire lors des interactions entre paquets, les faisceaux de protons s'appauvrissent peu à peu. Leur durée de vie est de quelques heures. </w:t>
      </w:r>
    </w:p>
    <w:p w14:paraId="7D1C4225" w14:textId="79C60E50" w:rsidR="00C526C9" w:rsidRPr="00C526C9" w:rsidRDefault="00C526C9" w:rsidP="00C526C9">
      <w:pPr>
        <w:jc w:val="both"/>
        <w:rPr>
          <w:rFonts w:ascii="Arial" w:hAnsi="Arial" w:cs="Arial"/>
        </w:rPr>
      </w:pPr>
      <w:r w:rsidRPr="00C526C9">
        <w:rPr>
          <w:rFonts w:ascii="Arial" w:hAnsi="Arial" w:cs="Arial"/>
        </w:rPr>
        <w:t xml:space="preserve">La puissance perdue par les particules est proportionnelle à la puissance quatrième du rapport entre l'énergie du faisceau et la masse des particules accélérées et inversement proportionnelle au rayon de l'accélérateur. Les protons étant 1 836 fois plus lourds que les électrons, ils perdent 1013 fois moins d'énergie par tour que les électrons pour une énergie de faisceau donnée. Mais les protons sont des objets composites (partons), constitués de quarks et de gluons, ce qui rend l'étude des collisions plus complexe que dans le cas de collisions électrons-positrons comme c'était le cas dans le LEP. Chaque collision proton-proton sera en fait une collision entre deux constituants appartenant à l'un et à l'autre proton. Les détecteurs observeront des collisions quark-quark, quark-gluon ou gluon-gluon. </w:t>
      </w:r>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8"/>
        <w:gridCol w:w="2064"/>
      </w:tblGrid>
      <w:tr w:rsidR="00C526C9" w:rsidRPr="00C526C9" w14:paraId="07BE5912" w14:textId="77777777" w:rsidTr="00C526C9">
        <w:trPr>
          <w:tblCellSpacing w:w="15" w:type="dxa"/>
        </w:trPr>
        <w:tc>
          <w:tcPr>
            <w:tcW w:w="0" w:type="auto"/>
            <w:gridSpan w:val="2"/>
            <w:vAlign w:val="center"/>
            <w:hideMark/>
          </w:tcPr>
          <w:p w14:paraId="402287BE" w14:textId="7926B557" w:rsidR="00C526C9" w:rsidRPr="00C526C9" w:rsidRDefault="00C526C9" w:rsidP="00C526C9">
            <w:pPr>
              <w:jc w:val="both"/>
              <w:rPr>
                <w:rFonts w:ascii="Arial" w:hAnsi="Arial" w:cs="Arial"/>
              </w:rPr>
            </w:pPr>
            <w:r w:rsidRPr="00C526C9">
              <w:rPr>
                <w:rFonts w:ascii="Arial" w:hAnsi="Arial" w:cs="Arial"/>
              </w:rPr>
              <w:t>Paramètres généraux du LHC</w:t>
            </w:r>
          </w:p>
        </w:tc>
      </w:tr>
      <w:tr w:rsidR="00C526C9" w:rsidRPr="00C526C9" w14:paraId="1C4CABF1" w14:textId="77777777" w:rsidTr="00C526C9">
        <w:trPr>
          <w:tblCellSpacing w:w="15" w:type="dxa"/>
        </w:trPr>
        <w:tc>
          <w:tcPr>
            <w:tcW w:w="0" w:type="auto"/>
            <w:vAlign w:val="center"/>
            <w:hideMark/>
          </w:tcPr>
          <w:p w14:paraId="2C6BC13C" w14:textId="0A8ECD6A" w:rsidR="00C526C9" w:rsidRPr="00C526C9" w:rsidRDefault="00C526C9" w:rsidP="00C526C9">
            <w:pPr>
              <w:jc w:val="both"/>
              <w:rPr>
                <w:rFonts w:ascii="Arial" w:hAnsi="Arial" w:cs="Arial"/>
              </w:rPr>
            </w:pPr>
            <w:r w:rsidRPr="00C526C9">
              <w:rPr>
                <w:rFonts w:ascii="Arial" w:hAnsi="Arial" w:cs="Arial"/>
              </w:rPr>
              <w:t>Énergie de collision</w:t>
            </w:r>
          </w:p>
        </w:tc>
        <w:tc>
          <w:tcPr>
            <w:tcW w:w="0" w:type="auto"/>
            <w:vAlign w:val="center"/>
            <w:hideMark/>
          </w:tcPr>
          <w:p w14:paraId="3CE0EF64" w14:textId="7BEC4AC3" w:rsidR="00C526C9" w:rsidRPr="00C526C9" w:rsidRDefault="00C526C9" w:rsidP="00C526C9">
            <w:pPr>
              <w:jc w:val="both"/>
              <w:rPr>
                <w:rFonts w:ascii="Arial" w:hAnsi="Arial" w:cs="Arial"/>
              </w:rPr>
            </w:pPr>
            <w:r w:rsidRPr="00C526C9">
              <w:rPr>
                <w:rFonts w:ascii="Arial" w:hAnsi="Arial" w:cs="Arial"/>
              </w:rPr>
              <w:t>7 </w:t>
            </w:r>
            <w:proofErr w:type="spellStart"/>
            <w:r w:rsidRPr="00C526C9">
              <w:rPr>
                <w:rFonts w:ascii="Arial" w:hAnsi="Arial" w:cs="Arial"/>
              </w:rPr>
              <w:t>TeV</w:t>
            </w:r>
            <w:proofErr w:type="spellEnd"/>
            <w:r w:rsidRPr="00C526C9">
              <w:rPr>
                <w:rFonts w:ascii="Arial" w:hAnsi="Arial" w:cs="Arial"/>
              </w:rPr>
              <w:t xml:space="preserve"> </w:t>
            </w:r>
          </w:p>
        </w:tc>
      </w:tr>
      <w:tr w:rsidR="00C526C9" w:rsidRPr="00C526C9" w14:paraId="344EB8F2" w14:textId="77777777" w:rsidTr="00C526C9">
        <w:trPr>
          <w:tblCellSpacing w:w="15" w:type="dxa"/>
        </w:trPr>
        <w:tc>
          <w:tcPr>
            <w:tcW w:w="0" w:type="auto"/>
            <w:vAlign w:val="center"/>
            <w:hideMark/>
          </w:tcPr>
          <w:p w14:paraId="446D0382" w14:textId="4C974E3A" w:rsidR="00C526C9" w:rsidRPr="00C526C9" w:rsidRDefault="00C526C9" w:rsidP="00C526C9">
            <w:pPr>
              <w:jc w:val="both"/>
              <w:rPr>
                <w:rFonts w:ascii="Arial" w:hAnsi="Arial" w:cs="Arial"/>
              </w:rPr>
            </w:pPr>
            <w:r w:rsidRPr="00C526C9">
              <w:rPr>
                <w:rFonts w:ascii="Arial" w:hAnsi="Arial" w:cs="Arial"/>
              </w:rPr>
              <w:t>Énergie de l'injection</w:t>
            </w:r>
          </w:p>
        </w:tc>
        <w:tc>
          <w:tcPr>
            <w:tcW w:w="0" w:type="auto"/>
            <w:vAlign w:val="center"/>
            <w:hideMark/>
          </w:tcPr>
          <w:p w14:paraId="252C6C98" w14:textId="77777777" w:rsidR="00C526C9" w:rsidRPr="00C526C9" w:rsidRDefault="00C526C9" w:rsidP="00C526C9">
            <w:pPr>
              <w:jc w:val="both"/>
              <w:rPr>
                <w:rFonts w:ascii="Arial" w:hAnsi="Arial" w:cs="Arial"/>
              </w:rPr>
            </w:pPr>
            <w:r w:rsidRPr="00C526C9">
              <w:rPr>
                <w:rFonts w:ascii="Arial" w:hAnsi="Arial" w:cs="Arial"/>
              </w:rPr>
              <w:t>450 </w:t>
            </w:r>
            <w:proofErr w:type="spellStart"/>
            <w:r w:rsidRPr="00C526C9">
              <w:rPr>
                <w:rFonts w:ascii="Arial" w:hAnsi="Arial" w:cs="Arial"/>
              </w:rPr>
              <w:t>GeV</w:t>
            </w:r>
            <w:proofErr w:type="spellEnd"/>
            <w:r w:rsidRPr="00C526C9">
              <w:rPr>
                <w:rFonts w:ascii="Arial" w:hAnsi="Arial" w:cs="Arial"/>
              </w:rPr>
              <w:t xml:space="preserve"> (0,45 </w:t>
            </w:r>
            <w:proofErr w:type="spellStart"/>
            <w:r w:rsidRPr="00C526C9">
              <w:rPr>
                <w:rFonts w:ascii="Arial" w:hAnsi="Arial" w:cs="Arial"/>
              </w:rPr>
              <w:t>TeV</w:t>
            </w:r>
            <w:proofErr w:type="spellEnd"/>
            <w:r w:rsidRPr="00C526C9">
              <w:rPr>
                <w:rFonts w:ascii="Arial" w:hAnsi="Arial" w:cs="Arial"/>
              </w:rPr>
              <w:t xml:space="preserve">) </w:t>
            </w:r>
          </w:p>
        </w:tc>
      </w:tr>
      <w:tr w:rsidR="00C526C9" w:rsidRPr="00C526C9" w14:paraId="2A194329" w14:textId="77777777" w:rsidTr="00C526C9">
        <w:trPr>
          <w:tblCellSpacing w:w="15" w:type="dxa"/>
        </w:trPr>
        <w:tc>
          <w:tcPr>
            <w:tcW w:w="0" w:type="auto"/>
            <w:vAlign w:val="center"/>
            <w:hideMark/>
          </w:tcPr>
          <w:p w14:paraId="4B19D875" w14:textId="6459CD92" w:rsidR="00C526C9" w:rsidRPr="00C526C9" w:rsidRDefault="00C526C9" w:rsidP="00C526C9">
            <w:pPr>
              <w:jc w:val="both"/>
              <w:rPr>
                <w:rFonts w:ascii="Arial" w:hAnsi="Arial" w:cs="Arial"/>
              </w:rPr>
            </w:pPr>
            <w:r w:rsidRPr="00C526C9">
              <w:rPr>
                <w:rFonts w:ascii="Arial" w:hAnsi="Arial" w:cs="Arial"/>
              </w:rPr>
              <w:t>Champ magnétique dipolaire pour faire circuler les protons à 7 </w:t>
            </w:r>
            <w:proofErr w:type="spellStart"/>
            <w:r w:rsidRPr="00C526C9">
              <w:rPr>
                <w:rFonts w:ascii="Arial" w:hAnsi="Arial" w:cs="Arial"/>
              </w:rPr>
              <w:t>TeV</w:t>
            </w:r>
            <w:proofErr w:type="spellEnd"/>
          </w:p>
        </w:tc>
        <w:tc>
          <w:tcPr>
            <w:tcW w:w="0" w:type="auto"/>
            <w:vAlign w:val="center"/>
            <w:hideMark/>
          </w:tcPr>
          <w:p w14:paraId="3991D15A" w14:textId="4EEDE376" w:rsidR="00C526C9" w:rsidRPr="00C526C9" w:rsidRDefault="00C526C9" w:rsidP="00C526C9">
            <w:pPr>
              <w:jc w:val="both"/>
              <w:rPr>
                <w:rFonts w:ascii="Arial" w:hAnsi="Arial" w:cs="Arial"/>
              </w:rPr>
            </w:pPr>
            <w:r w:rsidRPr="00C526C9">
              <w:rPr>
                <w:rFonts w:ascii="Arial" w:hAnsi="Arial" w:cs="Arial"/>
              </w:rPr>
              <w:t xml:space="preserve">8,33 T </w:t>
            </w:r>
          </w:p>
        </w:tc>
      </w:tr>
      <w:tr w:rsidR="00C526C9" w:rsidRPr="00C526C9" w14:paraId="6ADC0443" w14:textId="77777777" w:rsidTr="00C526C9">
        <w:trPr>
          <w:tblCellSpacing w:w="15" w:type="dxa"/>
        </w:trPr>
        <w:tc>
          <w:tcPr>
            <w:tcW w:w="0" w:type="auto"/>
            <w:vAlign w:val="center"/>
            <w:hideMark/>
          </w:tcPr>
          <w:p w14:paraId="26325117" w14:textId="38BB22D4" w:rsidR="00C526C9" w:rsidRPr="00C526C9" w:rsidRDefault="00C526C9" w:rsidP="00C526C9">
            <w:pPr>
              <w:jc w:val="both"/>
              <w:rPr>
                <w:rFonts w:ascii="Arial" w:hAnsi="Arial" w:cs="Arial"/>
              </w:rPr>
            </w:pPr>
            <w:r w:rsidRPr="00C526C9">
              <w:rPr>
                <w:rFonts w:ascii="Arial" w:hAnsi="Arial" w:cs="Arial"/>
              </w:rPr>
              <w:t>Luminosité</w:t>
            </w:r>
          </w:p>
        </w:tc>
        <w:tc>
          <w:tcPr>
            <w:tcW w:w="0" w:type="auto"/>
            <w:vAlign w:val="center"/>
            <w:hideMark/>
          </w:tcPr>
          <w:p w14:paraId="735DA6FC" w14:textId="77777777" w:rsidR="00C526C9" w:rsidRPr="00C526C9" w:rsidRDefault="00C526C9" w:rsidP="00C526C9">
            <w:pPr>
              <w:jc w:val="both"/>
              <w:rPr>
                <w:rFonts w:ascii="Arial" w:hAnsi="Arial" w:cs="Arial"/>
              </w:rPr>
            </w:pPr>
            <w:r w:rsidRPr="00C526C9">
              <w:rPr>
                <w:rFonts w:ascii="Arial" w:hAnsi="Arial" w:cs="Arial"/>
              </w:rPr>
              <w:t xml:space="preserve">1 × 1034 cm−2 s−1 </w:t>
            </w:r>
          </w:p>
        </w:tc>
      </w:tr>
      <w:tr w:rsidR="00C526C9" w:rsidRPr="00C526C9" w14:paraId="1838799E" w14:textId="77777777" w:rsidTr="00C526C9">
        <w:trPr>
          <w:tblCellSpacing w:w="15" w:type="dxa"/>
        </w:trPr>
        <w:tc>
          <w:tcPr>
            <w:tcW w:w="0" w:type="auto"/>
            <w:vAlign w:val="center"/>
            <w:hideMark/>
          </w:tcPr>
          <w:p w14:paraId="159C5BC7" w14:textId="32032AE0" w:rsidR="00C526C9" w:rsidRPr="00C526C9" w:rsidRDefault="00C526C9" w:rsidP="00C526C9">
            <w:pPr>
              <w:jc w:val="both"/>
              <w:rPr>
                <w:rFonts w:ascii="Arial" w:hAnsi="Arial" w:cs="Arial"/>
              </w:rPr>
            </w:pPr>
            <w:r w:rsidRPr="00C526C9">
              <w:rPr>
                <w:rFonts w:ascii="Arial" w:hAnsi="Arial" w:cs="Arial"/>
              </w:rPr>
              <w:t>Courant électrique du faisceau de protons</w:t>
            </w:r>
          </w:p>
        </w:tc>
        <w:tc>
          <w:tcPr>
            <w:tcW w:w="0" w:type="auto"/>
            <w:vAlign w:val="center"/>
            <w:hideMark/>
          </w:tcPr>
          <w:p w14:paraId="2A79A840" w14:textId="32A9853C" w:rsidR="00C526C9" w:rsidRPr="00C526C9" w:rsidRDefault="00C526C9" w:rsidP="00C526C9">
            <w:pPr>
              <w:jc w:val="both"/>
              <w:rPr>
                <w:rFonts w:ascii="Arial" w:hAnsi="Arial" w:cs="Arial"/>
              </w:rPr>
            </w:pPr>
            <w:r w:rsidRPr="00C526C9">
              <w:rPr>
                <w:rFonts w:ascii="Arial" w:hAnsi="Arial" w:cs="Arial"/>
              </w:rPr>
              <w:t xml:space="preserve">0,56 A </w:t>
            </w:r>
          </w:p>
        </w:tc>
      </w:tr>
      <w:tr w:rsidR="00C526C9" w:rsidRPr="00C526C9" w14:paraId="66ECC277" w14:textId="77777777" w:rsidTr="00C526C9">
        <w:trPr>
          <w:tblCellSpacing w:w="15" w:type="dxa"/>
        </w:trPr>
        <w:tc>
          <w:tcPr>
            <w:tcW w:w="0" w:type="auto"/>
            <w:vAlign w:val="center"/>
            <w:hideMark/>
          </w:tcPr>
          <w:p w14:paraId="499E581F" w14:textId="76842444" w:rsidR="00C526C9" w:rsidRPr="00C526C9" w:rsidRDefault="00C526C9" w:rsidP="00C526C9">
            <w:pPr>
              <w:jc w:val="both"/>
              <w:rPr>
                <w:rFonts w:ascii="Arial" w:hAnsi="Arial" w:cs="Arial"/>
              </w:rPr>
            </w:pPr>
            <w:r w:rsidRPr="00C526C9">
              <w:rPr>
                <w:rFonts w:ascii="Arial" w:hAnsi="Arial" w:cs="Arial"/>
              </w:rPr>
              <w:t>Espace entre les bouffées</w:t>
            </w:r>
          </w:p>
        </w:tc>
        <w:tc>
          <w:tcPr>
            <w:tcW w:w="0" w:type="auto"/>
            <w:vAlign w:val="center"/>
            <w:hideMark/>
          </w:tcPr>
          <w:p w14:paraId="5AA7802A" w14:textId="2A53CA13" w:rsidR="00C526C9" w:rsidRPr="00C526C9" w:rsidRDefault="00C526C9" w:rsidP="00C526C9">
            <w:pPr>
              <w:jc w:val="both"/>
              <w:rPr>
                <w:rFonts w:ascii="Arial" w:hAnsi="Arial" w:cs="Arial"/>
              </w:rPr>
            </w:pPr>
            <w:r w:rsidRPr="00C526C9">
              <w:rPr>
                <w:rFonts w:ascii="Arial" w:hAnsi="Arial" w:cs="Arial"/>
              </w:rPr>
              <w:t>7,48 m</w:t>
            </w:r>
          </w:p>
        </w:tc>
      </w:tr>
    </w:tbl>
    <w:p w14:paraId="68819C76" w14:textId="0F7C6C02" w:rsidR="00E71370" w:rsidRPr="001E3347" w:rsidRDefault="008D7A37" w:rsidP="00365A0F">
      <w:pPr>
        <w:pStyle w:val="Titre2"/>
        <w:jc w:val="both"/>
        <w:rPr>
          <w:b/>
          <w:bCs/>
        </w:rPr>
      </w:pPr>
      <w:bookmarkStart w:id="8" w:name="_Toc133070122"/>
      <w:r w:rsidRPr="00143744">
        <w:rPr>
          <w:b/>
          <w:bCs/>
          <w:noProof/>
        </w:rPr>
        <w:drawing>
          <wp:anchor distT="0" distB="0" distL="114300" distR="114300" simplePos="0" relativeHeight="251660288" behindDoc="0" locked="0" layoutInCell="1" allowOverlap="1" wp14:anchorId="699DAD8B" wp14:editId="5303DC7E">
            <wp:simplePos x="0" y="0"/>
            <wp:positionH relativeFrom="column">
              <wp:posOffset>2986405</wp:posOffset>
            </wp:positionH>
            <wp:positionV relativeFrom="paragraph">
              <wp:posOffset>2623820</wp:posOffset>
            </wp:positionV>
            <wp:extent cx="2971800" cy="1990725"/>
            <wp:effectExtent l="0" t="0" r="0" b="952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180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6C9" w:rsidRPr="001E3347">
        <w:rPr>
          <w:b/>
          <w:bCs/>
        </w:rPr>
        <w:br w:type="textWrapping" w:clear="all"/>
      </w:r>
      <w:proofErr w:type="gramStart"/>
      <w:r w:rsidR="00C526C9" w:rsidRPr="001E3347">
        <w:rPr>
          <w:b/>
          <w:bCs/>
        </w:rPr>
        <w:t>les</w:t>
      </w:r>
      <w:proofErr w:type="gramEnd"/>
      <w:r w:rsidR="00C526C9" w:rsidRPr="001E3347">
        <w:rPr>
          <w:b/>
          <w:bCs/>
        </w:rPr>
        <w:t xml:space="preserve"> détecteurs</w:t>
      </w:r>
      <w:bookmarkEnd w:id="8"/>
    </w:p>
    <w:p w14:paraId="67950379" w14:textId="1F2CA9D7" w:rsidR="001E3347" w:rsidRPr="00143744" w:rsidRDefault="00C526C9" w:rsidP="00143744">
      <w:pPr>
        <w:pStyle w:val="Paragraphedeliste"/>
        <w:numPr>
          <w:ilvl w:val="0"/>
          <w:numId w:val="5"/>
        </w:numPr>
        <w:jc w:val="both"/>
        <w:rPr>
          <w:rFonts w:ascii="Arial" w:hAnsi="Arial" w:cs="Arial"/>
        </w:rPr>
      </w:pPr>
      <w:r w:rsidRPr="00143744">
        <w:rPr>
          <w:rFonts w:ascii="Arial" w:hAnsi="Arial" w:cs="Arial"/>
          <w:b/>
          <w:bCs/>
        </w:rPr>
        <w:t>ATLAS :</w:t>
      </w:r>
      <w:r w:rsidRPr="00143744">
        <w:rPr>
          <w:rFonts w:ascii="Arial" w:hAnsi="Arial" w:cs="Arial"/>
        </w:rPr>
        <w:t xml:space="preserve"> Détecteur de particules par plusieurs couches concentriques de calorimètres.</w:t>
      </w:r>
      <w:r w:rsidR="001E3347" w:rsidRPr="00143744">
        <w:rPr>
          <w:rFonts w:ascii="Arial" w:hAnsi="Arial" w:cs="Arial"/>
        </w:rPr>
        <w:t xml:space="preserve"> </w:t>
      </w:r>
      <w:r w:rsidRPr="00143744">
        <w:rPr>
          <w:rFonts w:ascii="Arial" w:hAnsi="Arial" w:cs="Arial"/>
        </w:rPr>
        <w:t>46 m de long, 25 m de large, 25 m de haut. Masse : 7 000 tonnes</w:t>
      </w:r>
    </w:p>
    <w:p w14:paraId="6A54C701" w14:textId="5163571D" w:rsidR="001E3347" w:rsidRPr="00143744" w:rsidRDefault="00C526C9" w:rsidP="00143744">
      <w:pPr>
        <w:pStyle w:val="Paragraphedeliste"/>
        <w:numPr>
          <w:ilvl w:val="0"/>
          <w:numId w:val="5"/>
        </w:numPr>
        <w:jc w:val="both"/>
        <w:rPr>
          <w:rFonts w:ascii="Arial" w:hAnsi="Arial" w:cs="Arial"/>
        </w:rPr>
      </w:pPr>
      <w:proofErr w:type="spellStart"/>
      <w:r w:rsidRPr="00143744">
        <w:rPr>
          <w:rFonts w:ascii="Arial" w:hAnsi="Arial" w:cs="Arial"/>
          <w:b/>
          <w:bCs/>
        </w:rPr>
        <w:t>LHCf</w:t>
      </w:r>
      <w:proofErr w:type="spellEnd"/>
      <w:r w:rsidRPr="00143744">
        <w:rPr>
          <w:rFonts w:ascii="Arial" w:hAnsi="Arial" w:cs="Arial"/>
          <w:b/>
          <w:bCs/>
        </w:rPr>
        <w:t> :</w:t>
      </w:r>
      <w:r w:rsidRPr="00143744">
        <w:rPr>
          <w:rFonts w:ascii="Arial" w:hAnsi="Arial" w:cs="Arial"/>
        </w:rPr>
        <w:t xml:space="preserve"> Étude des particules produites « vers l'avant », afin de simuler les effets des rayons cosmiques.</w:t>
      </w:r>
      <w:r w:rsidRPr="00143744">
        <w:rPr>
          <w:rFonts w:ascii="Arial" w:hAnsi="Arial" w:cs="Arial"/>
        </w:rPr>
        <w:br/>
        <w:t>Deux détecteurs de 30 cm de long, 10 cm de large, 80 cm de haut. Masse : 2×40 kg</w:t>
      </w:r>
    </w:p>
    <w:p w14:paraId="500F0469" w14:textId="1FA69816" w:rsidR="00C526C9" w:rsidRPr="00143744" w:rsidRDefault="001E3347" w:rsidP="00143744">
      <w:pPr>
        <w:pStyle w:val="Paragraphedeliste"/>
        <w:numPr>
          <w:ilvl w:val="0"/>
          <w:numId w:val="5"/>
        </w:numPr>
        <w:jc w:val="both"/>
        <w:rPr>
          <w:rFonts w:ascii="Arial" w:hAnsi="Arial" w:cs="Arial"/>
        </w:rPr>
      </w:pPr>
      <w:r w:rsidRPr="00143744">
        <w:rPr>
          <w:rFonts w:ascii="Arial" w:hAnsi="Arial" w:cs="Arial"/>
          <w:b/>
          <w:bCs/>
        </w:rPr>
        <w:lastRenderedPageBreak/>
        <w:t>FASER :</w:t>
      </w:r>
      <w:r w:rsidRPr="00143744">
        <w:rPr>
          <w:rFonts w:ascii="Arial" w:hAnsi="Arial" w:cs="Arial"/>
        </w:rPr>
        <w:t xml:space="preserve"> Rechercher de nouvelles particules légères et interagissant faiblement, comme les photons sombres, les particules de type </w:t>
      </w:r>
      <w:proofErr w:type="spellStart"/>
      <w:r w:rsidRPr="00143744">
        <w:rPr>
          <w:rFonts w:ascii="Arial" w:hAnsi="Arial" w:cs="Arial"/>
        </w:rPr>
        <w:t>axion</w:t>
      </w:r>
      <w:proofErr w:type="spellEnd"/>
      <w:r w:rsidRPr="00143744">
        <w:rPr>
          <w:rFonts w:ascii="Arial" w:hAnsi="Arial" w:cs="Arial"/>
        </w:rPr>
        <w:t xml:space="preserve"> et les neutrinos stériles accompagnant de rares désintégrations de hadrons</w:t>
      </w:r>
    </w:p>
    <w:p w14:paraId="30A8F458" w14:textId="7648BF95" w:rsidR="001E3347" w:rsidRPr="00143744" w:rsidRDefault="001E3347" w:rsidP="00143744">
      <w:pPr>
        <w:pStyle w:val="Paragraphedeliste"/>
        <w:numPr>
          <w:ilvl w:val="0"/>
          <w:numId w:val="5"/>
        </w:numPr>
        <w:jc w:val="both"/>
        <w:rPr>
          <w:rFonts w:ascii="Arial" w:hAnsi="Arial" w:cs="Arial"/>
        </w:rPr>
      </w:pPr>
      <w:r w:rsidRPr="00143744">
        <w:rPr>
          <w:rFonts w:ascii="Arial" w:hAnsi="Arial" w:cs="Arial"/>
          <w:b/>
          <w:bCs/>
        </w:rPr>
        <w:t>ALICE :</w:t>
      </w:r>
      <w:r w:rsidRPr="00143744">
        <w:rPr>
          <w:rFonts w:ascii="Arial" w:hAnsi="Arial" w:cs="Arial"/>
        </w:rPr>
        <w:t xml:space="preserve"> Détecteur d'interactions entre ions lourds. 26 m de long, 16 m de large, 16 m de haut. Masse : 10 000 tonnes</w:t>
      </w:r>
    </w:p>
    <w:p w14:paraId="28D7C152" w14:textId="5FEABFDF" w:rsidR="001E3347" w:rsidRPr="00143744" w:rsidRDefault="001E3347" w:rsidP="00143744">
      <w:pPr>
        <w:pStyle w:val="Paragraphedeliste"/>
        <w:numPr>
          <w:ilvl w:val="0"/>
          <w:numId w:val="5"/>
        </w:numPr>
        <w:jc w:val="both"/>
        <w:rPr>
          <w:rFonts w:ascii="Arial" w:hAnsi="Arial" w:cs="Arial"/>
        </w:rPr>
      </w:pPr>
      <w:r w:rsidRPr="00143744">
        <w:rPr>
          <w:rFonts w:ascii="Arial" w:hAnsi="Arial" w:cs="Arial"/>
          <w:b/>
          <w:bCs/>
        </w:rPr>
        <w:t>CMS :</w:t>
      </w:r>
      <w:r w:rsidRPr="00143744">
        <w:rPr>
          <w:rFonts w:ascii="Arial" w:hAnsi="Arial" w:cs="Arial"/>
        </w:rPr>
        <w:t xml:space="preserve"> Solénoïde compact à muons. 21 m de long, 15 m de large, 15 m de haut. Masse : 12 500 tonnes</w:t>
      </w:r>
    </w:p>
    <w:p w14:paraId="68FC6BE0" w14:textId="4BCFC66C" w:rsidR="001E3347" w:rsidRPr="00143744" w:rsidRDefault="001E3347" w:rsidP="00143744">
      <w:pPr>
        <w:pStyle w:val="Paragraphedeliste"/>
        <w:numPr>
          <w:ilvl w:val="0"/>
          <w:numId w:val="5"/>
        </w:numPr>
        <w:jc w:val="both"/>
        <w:rPr>
          <w:rFonts w:ascii="Arial" w:hAnsi="Arial" w:cs="Arial"/>
        </w:rPr>
      </w:pPr>
      <w:r w:rsidRPr="00143744">
        <w:rPr>
          <w:rFonts w:ascii="Arial" w:hAnsi="Arial" w:cs="Arial"/>
          <w:b/>
          <w:bCs/>
        </w:rPr>
        <w:t>TOTEM :</w:t>
      </w:r>
      <w:r w:rsidRPr="00143744">
        <w:rPr>
          <w:rFonts w:ascii="Arial" w:hAnsi="Arial" w:cs="Arial"/>
        </w:rPr>
        <w:t xml:space="preserve"> « Télescope » mesurant la section efficace entre deux protons à 14 </w:t>
      </w:r>
      <w:proofErr w:type="spellStart"/>
      <w:r w:rsidRPr="00143744">
        <w:rPr>
          <w:rFonts w:ascii="Arial" w:hAnsi="Arial" w:cs="Arial"/>
        </w:rPr>
        <w:t>TeV</w:t>
      </w:r>
      <w:proofErr w:type="spellEnd"/>
      <w:r w:rsidRPr="00143744">
        <w:rPr>
          <w:rFonts w:ascii="Arial" w:hAnsi="Arial" w:cs="Arial"/>
        </w:rPr>
        <w:t>. Plusieurs éléments de 5 m de large et de haut maximum, répartis sur 440 m. Masse totale : 20 tonnes</w:t>
      </w:r>
    </w:p>
    <w:p w14:paraId="2951C600" w14:textId="49041CDC" w:rsidR="001E3347" w:rsidRPr="00143744" w:rsidRDefault="001E3347" w:rsidP="00143744">
      <w:pPr>
        <w:pStyle w:val="Paragraphedeliste"/>
        <w:numPr>
          <w:ilvl w:val="0"/>
          <w:numId w:val="5"/>
        </w:numPr>
        <w:jc w:val="both"/>
        <w:rPr>
          <w:rFonts w:ascii="Arial" w:hAnsi="Arial" w:cs="Arial"/>
        </w:rPr>
      </w:pPr>
      <w:proofErr w:type="spellStart"/>
      <w:r w:rsidRPr="00143744">
        <w:rPr>
          <w:rFonts w:ascii="Arial" w:hAnsi="Arial" w:cs="Arial"/>
          <w:b/>
          <w:bCs/>
        </w:rPr>
        <w:t>LHCb</w:t>
      </w:r>
      <w:proofErr w:type="spellEnd"/>
      <w:r w:rsidRPr="00143744">
        <w:rPr>
          <w:rFonts w:ascii="Arial" w:hAnsi="Arial" w:cs="Arial"/>
          <w:b/>
          <w:bCs/>
        </w:rPr>
        <w:t> :</w:t>
      </w:r>
      <w:r w:rsidRPr="00143744">
        <w:rPr>
          <w:rFonts w:ascii="Arial" w:hAnsi="Arial" w:cs="Arial"/>
        </w:rPr>
        <w:t xml:space="preserve"> Mesures des asymétries entre matière et antimatière. 21 m de long, 13 m de large, 10 m de haut. Masse : 5 600 tonnes</w:t>
      </w:r>
    </w:p>
    <w:p w14:paraId="361AB3D2" w14:textId="6FE777E2" w:rsidR="001E3347" w:rsidRPr="00143744" w:rsidRDefault="001E3347" w:rsidP="00143744">
      <w:pPr>
        <w:pStyle w:val="Paragraphedeliste"/>
        <w:numPr>
          <w:ilvl w:val="0"/>
          <w:numId w:val="5"/>
        </w:numPr>
        <w:jc w:val="both"/>
        <w:rPr>
          <w:rFonts w:ascii="Arial" w:hAnsi="Arial" w:cs="Arial"/>
        </w:rPr>
      </w:pPr>
      <w:proofErr w:type="spellStart"/>
      <w:r w:rsidRPr="00143744">
        <w:rPr>
          <w:rFonts w:ascii="Arial" w:hAnsi="Arial" w:cs="Arial"/>
          <w:b/>
          <w:bCs/>
        </w:rPr>
        <w:t>MoEDAL</w:t>
      </w:r>
      <w:proofErr w:type="spellEnd"/>
      <w:r w:rsidRPr="00143744">
        <w:rPr>
          <w:rFonts w:ascii="Arial" w:hAnsi="Arial" w:cs="Arial"/>
          <w:b/>
          <w:bCs/>
        </w:rPr>
        <w:t> :</w:t>
      </w:r>
      <w:r w:rsidRPr="00143744">
        <w:rPr>
          <w:rFonts w:ascii="Arial" w:hAnsi="Arial" w:cs="Arial"/>
        </w:rPr>
        <w:t xml:space="preserve"> Recherche du monopôle magnétique</w:t>
      </w:r>
    </w:p>
    <w:p w14:paraId="13ABC45D" w14:textId="277AC93C" w:rsidR="001E3347" w:rsidRPr="00C526C9" w:rsidRDefault="001E3347" w:rsidP="00C526C9"/>
    <w:sectPr w:rsidR="001E3347" w:rsidRPr="00C526C9">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4B503" w14:textId="77777777" w:rsidR="005A0FFD" w:rsidRDefault="005A0FFD" w:rsidP="00B33482">
      <w:pPr>
        <w:spacing w:after="0" w:line="240" w:lineRule="auto"/>
      </w:pPr>
      <w:r>
        <w:separator/>
      </w:r>
    </w:p>
  </w:endnote>
  <w:endnote w:type="continuationSeparator" w:id="0">
    <w:p w14:paraId="3D5FEEAB" w14:textId="77777777" w:rsidR="005A0FFD" w:rsidRDefault="005A0FF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5878C" w14:textId="77777777" w:rsidR="005A0FFD" w:rsidRDefault="005A0FFD" w:rsidP="00B33482">
      <w:pPr>
        <w:spacing w:after="0" w:line="240" w:lineRule="auto"/>
      </w:pPr>
      <w:r>
        <w:separator/>
      </w:r>
    </w:p>
  </w:footnote>
  <w:footnote w:type="continuationSeparator" w:id="0">
    <w:p w14:paraId="52D5F6C3" w14:textId="77777777" w:rsidR="005A0FFD" w:rsidRDefault="005A0FF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02DBE89" w:rsidR="00B33482" w:rsidRPr="00F67AFF" w:rsidRDefault="00365A0F" w:rsidP="00F67AFF">
    <w:pPr>
      <w:pStyle w:val="En-tte"/>
    </w:pPr>
    <w:r>
      <w:t xml:space="preserve">PHYSIQUE – LHC </w:t>
    </w:r>
    <w:proofErr w:type="spellStart"/>
    <w:r>
      <w:t>Cern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7A47"/>
    <w:multiLevelType w:val="multilevel"/>
    <w:tmpl w:val="9E6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83118"/>
    <w:multiLevelType w:val="hybridMultilevel"/>
    <w:tmpl w:val="975C3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D67416"/>
    <w:multiLevelType w:val="hybridMultilevel"/>
    <w:tmpl w:val="8D207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
  </w:num>
  <w:num w:numId="2" w16cid:durableId="581375566">
    <w:abstractNumId w:val="3"/>
  </w:num>
  <w:num w:numId="3" w16cid:durableId="80414229">
    <w:abstractNumId w:val="0"/>
  </w:num>
  <w:num w:numId="4" w16cid:durableId="429787608">
    <w:abstractNumId w:val="2"/>
  </w:num>
  <w:num w:numId="5" w16cid:durableId="1876851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43744"/>
    <w:rsid w:val="001E3347"/>
    <w:rsid w:val="00275575"/>
    <w:rsid w:val="002D54BA"/>
    <w:rsid w:val="003618C1"/>
    <w:rsid w:val="00365A0F"/>
    <w:rsid w:val="003A01AC"/>
    <w:rsid w:val="003D5A98"/>
    <w:rsid w:val="004041E4"/>
    <w:rsid w:val="005A0FFD"/>
    <w:rsid w:val="005C020A"/>
    <w:rsid w:val="00692EFA"/>
    <w:rsid w:val="00757B00"/>
    <w:rsid w:val="007B298A"/>
    <w:rsid w:val="007E575E"/>
    <w:rsid w:val="00832021"/>
    <w:rsid w:val="008D7A37"/>
    <w:rsid w:val="008E7FE0"/>
    <w:rsid w:val="00B33482"/>
    <w:rsid w:val="00B84C30"/>
    <w:rsid w:val="00B94464"/>
    <w:rsid w:val="00BF3640"/>
    <w:rsid w:val="00C526C9"/>
    <w:rsid w:val="00C90062"/>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526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lang-en">
    <w:name w:val="lang-en"/>
    <w:basedOn w:val="Policepardfaut"/>
    <w:rsid w:val="00365A0F"/>
  </w:style>
  <w:style w:type="character" w:customStyle="1" w:styleId="lang-la">
    <w:name w:val="lang-la"/>
    <w:basedOn w:val="Policepardfaut"/>
    <w:rsid w:val="00365A0F"/>
  </w:style>
  <w:style w:type="character" w:customStyle="1" w:styleId="Titre3Car">
    <w:name w:val="Titre 3 Car"/>
    <w:basedOn w:val="Policepardfaut"/>
    <w:link w:val="Titre3"/>
    <w:uiPriority w:val="9"/>
    <w:rsid w:val="00C526C9"/>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C9006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C90062"/>
    <w:pPr>
      <w:spacing w:after="100"/>
    </w:pPr>
  </w:style>
  <w:style w:type="paragraph" w:styleId="TM2">
    <w:name w:val="toc 2"/>
    <w:basedOn w:val="Normal"/>
    <w:next w:val="Normal"/>
    <w:autoRedefine/>
    <w:uiPriority w:val="39"/>
    <w:unhideWhenUsed/>
    <w:rsid w:val="00C900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4856">
      <w:bodyDiv w:val="1"/>
      <w:marLeft w:val="0"/>
      <w:marRight w:val="0"/>
      <w:marTop w:val="0"/>
      <w:marBottom w:val="0"/>
      <w:divBdr>
        <w:top w:val="none" w:sz="0" w:space="0" w:color="auto"/>
        <w:left w:val="none" w:sz="0" w:space="0" w:color="auto"/>
        <w:bottom w:val="none" w:sz="0" w:space="0" w:color="auto"/>
        <w:right w:val="none" w:sz="0" w:space="0" w:color="auto"/>
      </w:divBdr>
      <w:divsChild>
        <w:div w:id="214783002">
          <w:marLeft w:val="0"/>
          <w:marRight w:val="0"/>
          <w:marTop w:val="0"/>
          <w:marBottom w:val="0"/>
          <w:divBdr>
            <w:top w:val="none" w:sz="0" w:space="0" w:color="auto"/>
            <w:left w:val="none" w:sz="0" w:space="0" w:color="auto"/>
            <w:bottom w:val="none" w:sz="0" w:space="0" w:color="auto"/>
            <w:right w:val="none" w:sz="0" w:space="0" w:color="auto"/>
          </w:divBdr>
        </w:div>
        <w:div w:id="1299918134">
          <w:marLeft w:val="0"/>
          <w:marRight w:val="0"/>
          <w:marTop w:val="0"/>
          <w:marBottom w:val="0"/>
          <w:divBdr>
            <w:top w:val="none" w:sz="0" w:space="0" w:color="auto"/>
            <w:left w:val="none" w:sz="0" w:space="0" w:color="auto"/>
            <w:bottom w:val="none" w:sz="0" w:space="0" w:color="auto"/>
            <w:right w:val="none" w:sz="0" w:space="0" w:color="auto"/>
          </w:divBdr>
          <w:divsChild>
            <w:div w:id="1604073538">
              <w:marLeft w:val="0"/>
              <w:marRight w:val="0"/>
              <w:marTop w:val="0"/>
              <w:marBottom w:val="0"/>
              <w:divBdr>
                <w:top w:val="none" w:sz="0" w:space="0" w:color="auto"/>
                <w:left w:val="none" w:sz="0" w:space="0" w:color="auto"/>
                <w:bottom w:val="none" w:sz="0" w:space="0" w:color="auto"/>
                <w:right w:val="none" w:sz="0" w:space="0" w:color="auto"/>
              </w:divBdr>
              <w:divsChild>
                <w:div w:id="1279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6990">
          <w:marLeft w:val="0"/>
          <w:marRight w:val="0"/>
          <w:marTop w:val="0"/>
          <w:marBottom w:val="0"/>
          <w:divBdr>
            <w:top w:val="none" w:sz="0" w:space="0" w:color="auto"/>
            <w:left w:val="none" w:sz="0" w:space="0" w:color="auto"/>
            <w:bottom w:val="none" w:sz="0" w:space="0" w:color="auto"/>
            <w:right w:val="none" w:sz="0" w:space="0" w:color="auto"/>
          </w:divBdr>
          <w:divsChild>
            <w:div w:id="137455159">
              <w:marLeft w:val="0"/>
              <w:marRight w:val="0"/>
              <w:marTop w:val="0"/>
              <w:marBottom w:val="0"/>
              <w:divBdr>
                <w:top w:val="none" w:sz="0" w:space="0" w:color="auto"/>
                <w:left w:val="none" w:sz="0" w:space="0" w:color="auto"/>
                <w:bottom w:val="none" w:sz="0" w:space="0" w:color="auto"/>
                <w:right w:val="none" w:sz="0" w:space="0" w:color="auto"/>
              </w:divBdr>
            </w:div>
          </w:divsChild>
        </w:div>
        <w:div w:id="277566155">
          <w:marLeft w:val="0"/>
          <w:marRight w:val="0"/>
          <w:marTop w:val="0"/>
          <w:marBottom w:val="0"/>
          <w:divBdr>
            <w:top w:val="none" w:sz="0" w:space="0" w:color="auto"/>
            <w:left w:val="none" w:sz="0" w:space="0" w:color="auto"/>
            <w:bottom w:val="none" w:sz="0" w:space="0" w:color="auto"/>
            <w:right w:val="none" w:sz="0" w:space="0" w:color="auto"/>
          </w:divBdr>
          <w:divsChild>
            <w:div w:id="961955605">
              <w:marLeft w:val="0"/>
              <w:marRight w:val="0"/>
              <w:marTop w:val="0"/>
              <w:marBottom w:val="0"/>
              <w:divBdr>
                <w:top w:val="none" w:sz="0" w:space="0" w:color="auto"/>
                <w:left w:val="none" w:sz="0" w:space="0" w:color="auto"/>
                <w:bottom w:val="none" w:sz="0" w:space="0" w:color="auto"/>
                <w:right w:val="none" w:sz="0" w:space="0" w:color="auto"/>
              </w:divBdr>
              <w:divsChild>
                <w:div w:id="6023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7648">
          <w:marLeft w:val="0"/>
          <w:marRight w:val="0"/>
          <w:marTop w:val="0"/>
          <w:marBottom w:val="0"/>
          <w:divBdr>
            <w:top w:val="none" w:sz="0" w:space="0" w:color="auto"/>
            <w:left w:val="none" w:sz="0" w:space="0" w:color="auto"/>
            <w:bottom w:val="none" w:sz="0" w:space="0" w:color="auto"/>
            <w:right w:val="none" w:sz="0" w:space="0" w:color="auto"/>
          </w:divBdr>
          <w:divsChild>
            <w:div w:id="1682276340">
              <w:marLeft w:val="0"/>
              <w:marRight w:val="0"/>
              <w:marTop w:val="0"/>
              <w:marBottom w:val="0"/>
              <w:divBdr>
                <w:top w:val="none" w:sz="0" w:space="0" w:color="auto"/>
                <w:left w:val="none" w:sz="0" w:space="0" w:color="auto"/>
                <w:bottom w:val="none" w:sz="0" w:space="0" w:color="auto"/>
                <w:right w:val="none" w:sz="0" w:space="0" w:color="auto"/>
              </w:divBdr>
            </w:div>
          </w:divsChild>
        </w:div>
        <w:div w:id="746533013">
          <w:marLeft w:val="0"/>
          <w:marRight w:val="0"/>
          <w:marTop w:val="0"/>
          <w:marBottom w:val="0"/>
          <w:divBdr>
            <w:top w:val="none" w:sz="0" w:space="0" w:color="auto"/>
            <w:left w:val="none" w:sz="0" w:space="0" w:color="auto"/>
            <w:bottom w:val="none" w:sz="0" w:space="0" w:color="auto"/>
            <w:right w:val="none" w:sz="0" w:space="0" w:color="auto"/>
          </w:divBdr>
          <w:divsChild>
            <w:div w:id="1230768750">
              <w:marLeft w:val="0"/>
              <w:marRight w:val="0"/>
              <w:marTop w:val="0"/>
              <w:marBottom w:val="0"/>
              <w:divBdr>
                <w:top w:val="none" w:sz="0" w:space="0" w:color="auto"/>
                <w:left w:val="none" w:sz="0" w:space="0" w:color="auto"/>
                <w:bottom w:val="none" w:sz="0" w:space="0" w:color="auto"/>
                <w:right w:val="none" w:sz="0" w:space="0" w:color="auto"/>
              </w:divBdr>
              <w:divsChild>
                <w:div w:id="10143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5108">
          <w:marLeft w:val="0"/>
          <w:marRight w:val="0"/>
          <w:marTop w:val="0"/>
          <w:marBottom w:val="0"/>
          <w:divBdr>
            <w:top w:val="none" w:sz="0" w:space="0" w:color="auto"/>
            <w:left w:val="none" w:sz="0" w:space="0" w:color="auto"/>
            <w:bottom w:val="none" w:sz="0" w:space="0" w:color="auto"/>
            <w:right w:val="none" w:sz="0" w:space="0" w:color="auto"/>
          </w:divBdr>
        </w:div>
        <w:div w:id="1775781907">
          <w:marLeft w:val="0"/>
          <w:marRight w:val="0"/>
          <w:marTop w:val="0"/>
          <w:marBottom w:val="0"/>
          <w:divBdr>
            <w:top w:val="none" w:sz="0" w:space="0" w:color="auto"/>
            <w:left w:val="none" w:sz="0" w:space="0" w:color="auto"/>
            <w:bottom w:val="none" w:sz="0" w:space="0" w:color="auto"/>
            <w:right w:val="none" w:sz="0" w:space="0" w:color="auto"/>
          </w:divBdr>
          <w:divsChild>
            <w:div w:id="1617515635">
              <w:marLeft w:val="0"/>
              <w:marRight w:val="0"/>
              <w:marTop w:val="0"/>
              <w:marBottom w:val="0"/>
              <w:divBdr>
                <w:top w:val="none" w:sz="0" w:space="0" w:color="auto"/>
                <w:left w:val="none" w:sz="0" w:space="0" w:color="auto"/>
                <w:bottom w:val="none" w:sz="0" w:space="0" w:color="auto"/>
                <w:right w:val="none" w:sz="0" w:space="0" w:color="auto"/>
              </w:divBdr>
              <w:divsChild>
                <w:div w:id="455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9893">
          <w:marLeft w:val="0"/>
          <w:marRight w:val="0"/>
          <w:marTop w:val="0"/>
          <w:marBottom w:val="0"/>
          <w:divBdr>
            <w:top w:val="none" w:sz="0" w:space="0" w:color="auto"/>
            <w:left w:val="none" w:sz="0" w:space="0" w:color="auto"/>
            <w:bottom w:val="none" w:sz="0" w:space="0" w:color="auto"/>
            <w:right w:val="none" w:sz="0" w:space="0" w:color="auto"/>
          </w:divBdr>
          <w:divsChild>
            <w:div w:id="640964102">
              <w:marLeft w:val="0"/>
              <w:marRight w:val="0"/>
              <w:marTop w:val="0"/>
              <w:marBottom w:val="0"/>
              <w:divBdr>
                <w:top w:val="none" w:sz="0" w:space="0" w:color="auto"/>
                <w:left w:val="none" w:sz="0" w:space="0" w:color="auto"/>
                <w:bottom w:val="none" w:sz="0" w:space="0" w:color="auto"/>
                <w:right w:val="none" w:sz="0" w:space="0" w:color="auto"/>
              </w:divBdr>
            </w:div>
          </w:divsChild>
        </w:div>
        <w:div w:id="925042380">
          <w:marLeft w:val="0"/>
          <w:marRight w:val="0"/>
          <w:marTop w:val="0"/>
          <w:marBottom w:val="0"/>
          <w:divBdr>
            <w:top w:val="none" w:sz="0" w:space="0" w:color="auto"/>
            <w:left w:val="none" w:sz="0" w:space="0" w:color="auto"/>
            <w:bottom w:val="none" w:sz="0" w:space="0" w:color="auto"/>
            <w:right w:val="none" w:sz="0" w:space="0" w:color="auto"/>
          </w:divBdr>
          <w:divsChild>
            <w:div w:id="1224177270">
              <w:marLeft w:val="0"/>
              <w:marRight w:val="0"/>
              <w:marTop w:val="0"/>
              <w:marBottom w:val="0"/>
              <w:divBdr>
                <w:top w:val="none" w:sz="0" w:space="0" w:color="auto"/>
                <w:left w:val="none" w:sz="0" w:space="0" w:color="auto"/>
                <w:bottom w:val="none" w:sz="0" w:space="0" w:color="auto"/>
                <w:right w:val="none" w:sz="0" w:space="0" w:color="auto"/>
              </w:divBdr>
              <w:divsChild>
                <w:div w:id="10571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3599">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3843880">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LHC.svg?uselang=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2487</Words>
  <Characters>13684</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23</cp:revision>
  <dcterms:created xsi:type="dcterms:W3CDTF">2022-11-21T18:39:00Z</dcterms:created>
  <dcterms:modified xsi:type="dcterms:W3CDTF">2023-04-22T13:34:00Z</dcterms:modified>
</cp:coreProperties>
</file>