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42BF6321" w:rsidR="0040036F" w:rsidRDefault="00A700BA">
      <w:pPr>
        <w:pStyle w:val="En-ttedetabledesmatires"/>
        <w:rPr>
          <w:bCs/>
          <w:color w:val="auto"/>
          <w:spacing w:val="-10"/>
          <w:kern w:val="28"/>
          <w:sz w:val="56"/>
          <w:szCs w:val="56"/>
          <w:lang w:eastAsia="en-US"/>
        </w:rPr>
      </w:pPr>
      <w:r w:rsidRPr="00A700BA">
        <w:rPr>
          <w:bCs/>
          <w:color w:val="auto"/>
          <w:spacing w:val="-10"/>
          <w:kern w:val="28"/>
          <w:sz w:val="56"/>
          <w:szCs w:val="56"/>
          <w:lang w:eastAsia="en-US"/>
        </w:rPr>
        <w:t>Longueur d'onde de Compton</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513A5767" w14:textId="4538EDF3" w:rsidR="00A700BA"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1903" w:history="1">
            <w:r w:rsidR="00A700BA" w:rsidRPr="001F585A">
              <w:rPr>
                <w:rStyle w:val="Lienhypertexte"/>
                <w:bCs/>
                <w:noProof/>
              </w:rPr>
              <w:t>Introduction</w:t>
            </w:r>
            <w:r w:rsidR="00A700BA">
              <w:rPr>
                <w:noProof/>
                <w:webHidden/>
              </w:rPr>
              <w:tab/>
            </w:r>
            <w:r w:rsidR="00A700BA">
              <w:rPr>
                <w:noProof/>
                <w:webHidden/>
              </w:rPr>
              <w:fldChar w:fldCharType="begin"/>
            </w:r>
            <w:r w:rsidR="00A700BA">
              <w:rPr>
                <w:noProof/>
                <w:webHidden/>
              </w:rPr>
              <w:instrText xml:space="preserve"> PAGEREF _Toc224481903 \h </w:instrText>
            </w:r>
            <w:r w:rsidR="00A700BA">
              <w:rPr>
                <w:noProof/>
                <w:webHidden/>
              </w:rPr>
            </w:r>
            <w:r w:rsidR="00A700BA">
              <w:rPr>
                <w:noProof/>
                <w:webHidden/>
              </w:rPr>
              <w:fldChar w:fldCharType="separate"/>
            </w:r>
            <w:r w:rsidR="00A700BA">
              <w:rPr>
                <w:noProof/>
                <w:webHidden/>
              </w:rPr>
              <w:t>2</w:t>
            </w:r>
            <w:r w:rsidR="00A700BA">
              <w:rPr>
                <w:noProof/>
                <w:webHidden/>
              </w:rPr>
              <w:fldChar w:fldCharType="end"/>
            </w:r>
          </w:hyperlink>
        </w:p>
        <w:p w14:paraId="4637E010" w14:textId="00133591" w:rsidR="00A700BA" w:rsidRDefault="00A700BA">
          <w:pPr>
            <w:pStyle w:val="TM2"/>
            <w:tabs>
              <w:tab w:val="right" w:leader="dot" w:pos="9062"/>
            </w:tabs>
            <w:rPr>
              <w:rFonts w:eastAsiaTheme="minorEastAsia"/>
              <w:noProof/>
              <w:kern w:val="2"/>
              <w:sz w:val="24"/>
              <w:szCs w:val="24"/>
              <w:lang w:eastAsia="fr-FR"/>
              <w14:ligatures w14:val="standardContextual"/>
            </w:rPr>
          </w:pPr>
          <w:hyperlink w:anchor="_Toc224481904" w:history="1">
            <w:r w:rsidRPr="001F585A">
              <w:rPr>
                <w:rStyle w:val="Lienhypertexte"/>
                <w:noProof/>
              </w:rPr>
              <w:t>Expression</w:t>
            </w:r>
            <w:r>
              <w:rPr>
                <w:noProof/>
                <w:webHidden/>
              </w:rPr>
              <w:tab/>
            </w:r>
            <w:r>
              <w:rPr>
                <w:noProof/>
                <w:webHidden/>
              </w:rPr>
              <w:fldChar w:fldCharType="begin"/>
            </w:r>
            <w:r>
              <w:rPr>
                <w:noProof/>
                <w:webHidden/>
              </w:rPr>
              <w:instrText xml:space="preserve"> PAGEREF _Toc224481904 \h </w:instrText>
            </w:r>
            <w:r>
              <w:rPr>
                <w:noProof/>
                <w:webHidden/>
              </w:rPr>
            </w:r>
            <w:r>
              <w:rPr>
                <w:noProof/>
                <w:webHidden/>
              </w:rPr>
              <w:fldChar w:fldCharType="separate"/>
            </w:r>
            <w:r>
              <w:rPr>
                <w:noProof/>
                <w:webHidden/>
              </w:rPr>
              <w:t>2</w:t>
            </w:r>
            <w:r>
              <w:rPr>
                <w:noProof/>
                <w:webHidden/>
              </w:rPr>
              <w:fldChar w:fldCharType="end"/>
            </w:r>
          </w:hyperlink>
        </w:p>
        <w:p w14:paraId="689B90E3" w14:textId="59273379" w:rsidR="00A700BA" w:rsidRDefault="00A700BA">
          <w:pPr>
            <w:pStyle w:val="TM2"/>
            <w:tabs>
              <w:tab w:val="right" w:leader="dot" w:pos="9062"/>
            </w:tabs>
            <w:rPr>
              <w:rFonts w:eastAsiaTheme="minorEastAsia"/>
              <w:noProof/>
              <w:kern w:val="2"/>
              <w:sz w:val="24"/>
              <w:szCs w:val="24"/>
              <w:lang w:eastAsia="fr-FR"/>
              <w14:ligatures w14:val="standardContextual"/>
            </w:rPr>
          </w:pPr>
          <w:hyperlink w:anchor="_Toc224481905" w:history="1">
            <w:r w:rsidRPr="001F585A">
              <w:rPr>
                <w:rStyle w:val="Lienhypertexte"/>
                <w:noProof/>
              </w:rPr>
              <w:t>Application du principe d'incertitude</w:t>
            </w:r>
            <w:r>
              <w:rPr>
                <w:noProof/>
                <w:webHidden/>
              </w:rPr>
              <w:tab/>
            </w:r>
            <w:r>
              <w:rPr>
                <w:noProof/>
                <w:webHidden/>
              </w:rPr>
              <w:fldChar w:fldCharType="begin"/>
            </w:r>
            <w:r>
              <w:rPr>
                <w:noProof/>
                <w:webHidden/>
              </w:rPr>
              <w:instrText xml:space="preserve"> PAGEREF _Toc224481905 \h </w:instrText>
            </w:r>
            <w:r>
              <w:rPr>
                <w:noProof/>
                <w:webHidden/>
              </w:rPr>
            </w:r>
            <w:r>
              <w:rPr>
                <w:noProof/>
                <w:webHidden/>
              </w:rPr>
              <w:fldChar w:fldCharType="separate"/>
            </w:r>
            <w:r>
              <w:rPr>
                <w:noProof/>
                <w:webHidden/>
              </w:rPr>
              <w:t>2</w:t>
            </w:r>
            <w:r>
              <w:rPr>
                <w:noProof/>
                <w:webHidden/>
              </w:rPr>
              <w:fldChar w:fldCharType="end"/>
            </w:r>
          </w:hyperlink>
        </w:p>
        <w:p w14:paraId="73735383" w14:textId="331254D1"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81903"/>
      <w:r w:rsidRPr="00274305">
        <w:rPr>
          <w:bCs/>
        </w:rPr>
        <w:lastRenderedPageBreak/>
        <w:t>Introduction</w:t>
      </w:r>
      <w:bookmarkEnd w:id="0"/>
    </w:p>
    <w:p w14:paraId="00B1DF80" w14:textId="77777777" w:rsidR="00A700BA" w:rsidRPr="00A700BA" w:rsidRDefault="00A700BA" w:rsidP="00A700BA">
      <w:r w:rsidRPr="00A700BA">
        <w:t>Quand un </w:t>
      </w:r>
      <w:hyperlink r:id="rId7" w:tooltip="Photon" w:history="1">
        <w:r w:rsidRPr="00A700BA">
          <w:t>photon</w:t>
        </w:r>
      </w:hyperlink>
      <w:r w:rsidRPr="00A700BA">
        <w:t> primaire heurte une particule libre, un photon secondaire est émis dont la </w:t>
      </w:r>
      <w:hyperlink r:id="rId8" w:tooltip="Longueur d’onde" w:history="1">
        <w:r w:rsidRPr="00A700BA">
          <w:t>longueur d’onde</w:t>
        </w:r>
      </w:hyperlink>
      <w:r w:rsidRPr="00A700BA">
        <w:t> est plus grande que celle du photon primaire, c'est l'</w:t>
      </w:r>
      <w:hyperlink r:id="rId9" w:tooltip="Diffusion Compton" w:history="1">
        <w:r w:rsidRPr="00A700BA">
          <w:t>effet Compton</w:t>
        </w:r>
      </w:hyperlink>
      <w:r w:rsidRPr="00A700BA">
        <w:t>. La différence de longueur d’onde entre le photon primaire et le photon émis, est proportionnelle à une valeur constante portant le nom de longueur d’onde de Compton, comme l'exprime la relation suivante (voir l'article principal sur la </w:t>
      </w:r>
      <w:hyperlink r:id="rId10" w:tooltip="Diffusion Compton" w:history="1">
        <w:r w:rsidRPr="00A700BA">
          <w:t>diffusion Compton</w:t>
        </w:r>
      </w:hyperlink>
      <w:r w:rsidRPr="00A700BA">
        <w:t> pour plus d'explications) :</w:t>
      </w:r>
    </w:p>
    <w:p w14:paraId="42D7DDDC" w14:textId="4D2AE844" w:rsidR="00A700BA" w:rsidRPr="00A700BA" w:rsidRDefault="00A700BA" w:rsidP="00A700BA">
      <m:oMathPara>
        <m:oMath>
          <m:r>
            <m:rPr>
              <m:sty m:val="p"/>
            </m:rPr>
            <w:rPr>
              <w:rFonts w:ascii="Cambria Math" w:hAnsi="Cambria Math"/>
            </w:rPr>
            <m:t>Δ</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d>
            <m:dPr>
              <m:ctrlPr>
                <w:rPr>
                  <w:rFonts w:ascii="Cambria Math" w:hAnsi="Cambria Math"/>
                </w:rPr>
              </m:ctrlPr>
            </m:dPr>
            <m:e>
              <m:r>
                <m:rPr>
                  <m:sty m:val="p"/>
                </m:rPr>
                <w:rPr>
                  <w:rFonts w:ascii="Cambria Math" w:hAnsi="Cambria Math"/>
                </w:rPr>
                <m:t>1-cos⁡</m:t>
              </m:r>
              <m:r>
                <w:rPr>
                  <w:rFonts w:ascii="Cambria Math" w:hAnsi="Cambria Math"/>
                </w:rPr>
                <m:t>θ</m:t>
              </m:r>
            </m:e>
          </m:d>
        </m:oMath>
      </m:oMathPara>
    </w:p>
    <w:p w14:paraId="6E6708C7" w14:textId="3788469A" w:rsidR="00A700BA" w:rsidRPr="00A700BA" w:rsidRDefault="00A700BA" w:rsidP="00A700BA">
      <w:pPr>
        <w:numPr>
          <w:ilvl w:val="0"/>
          <w:numId w:val="88"/>
        </w:numPr>
      </w:pPr>
      <m:oMath>
        <m:r>
          <m:rPr>
            <m:sty m:val="p"/>
          </m:rPr>
          <w:rPr>
            <w:rFonts w:ascii="Cambria Math" w:hAnsi="Cambria Math"/>
          </w:rPr>
          <m:t>Δ</m:t>
        </m:r>
        <m:r>
          <w:rPr>
            <w:rFonts w:ascii="Cambria Math" w:hAnsi="Cambria Math"/>
          </w:rPr>
          <m:t>λ</m:t>
        </m:r>
      </m:oMath>
      <w:r w:rsidRPr="00A700BA">
        <w:t> </w:t>
      </w:r>
      <w:proofErr w:type="gramStart"/>
      <w:r w:rsidRPr="00A700BA">
        <w:t>est</w:t>
      </w:r>
      <w:proofErr w:type="gramEnd"/>
      <w:r w:rsidRPr="00A700BA">
        <w:t xml:space="preserve"> le décalage entre les longueurs d'onde du photon incident et du photon diffusé ;</w:t>
      </w:r>
    </w:p>
    <w:p w14:paraId="01C8A705" w14:textId="3C1391C8" w:rsidR="00A700BA" w:rsidRPr="00A700BA" w:rsidRDefault="00A700BA" w:rsidP="00A700BA">
      <w:pPr>
        <w:numPr>
          <w:ilvl w:val="0"/>
          <w:numId w:val="88"/>
        </w:numPr>
      </w:pPr>
      <m:oMath>
        <m:sSub>
          <m:sSubPr>
            <m:ctrlPr>
              <w:rPr>
                <w:rFonts w:ascii="Cambria Math" w:hAnsi="Cambria Math"/>
              </w:rPr>
            </m:ctrlPr>
          </m:sSubPr>
          <m:e>
            <m:r>
              <w:rPr>
                <w:rFonts w:ascii="Cambria Math" w:hAnsi="Cambria Math"/>
              </w:rPr>
              <m:t>λ</m:t>
            </m:r>
          </m:e>
          <m:sub>
            <m:r>
              <w:rPr>
                <w:rFonts w:ascii="Cambria Math" w:hAnsi="Cambria Math"/>
              </w:rPr>
              <m:t>C</m:t>
            </m:r>
          </m:sub>
        </m:sSub>
      </m:oMath>
      <w:proofErr w:type="gramStart"/>
      <w:r w:rsidRPr="00A700BA">
        <w:t>est</w:t>
      </w:r>
      <w:proofErr w:type="gramEnd"/>
      <w:r w:rsidRPr="00A700BA">
        <w:t xml:space="preserve"> la longueur d'onde de Compton ;</w:t>
      </w:r>
    </w:p>
    <w:p w14:paraId="09BC0D83" w14:textId="4E0BD8C8" w:rsidR="00A700BA" w:rsidRPr="00A700BA" w:rsidRDefault="00A700BA" w:rsidP="00A700BA">
      <w:pPr>
        <w:numPr>
          <w:ilvl w:val="0"/>
          <w:numId w:val="88"/>
        </w:numPr>
      </w:pPr>
      <m:oMath>
        <m:r>
          <w:rPr>
            <w:rFonts w:ascii="Cambria Math" w:hAnsi="Cambria Math"/>
          </w:rPr>
          <m:t>θ</m:t>
        </m:r>
      </m:oMath>
      <w:r w:rsidRPr="00A700BA">
        <w:t> </w:t>
      </w:r>
      <w:proofErr w:type="gramStart"/>
      <w:r w:rsidRPr="00A700BA">
        <w:t>est</w:t>
      </w:r>
      <w:proofErr w:type="gramEnd"/>
      <w:r w:rsidRPr="00A700BA">
        <w:t xml:space="preserve"> l'angle de diffusion.</w:t>
      </w:r>
    </w:p>
    <w:p w14:paraId="0E5F11E5" w14:textId="77777777" w:rsidR="00A700BA" w:rsidRPr="00A700BA" w:rsidRDefault="00A700BA" w:rsidP="00A700BA">
      <w:r w:rsidRPr="00A700BA">
        <w:t>Nous pouvons donc comparer cette constante à un </w:t>
      </w:r>
      <w:hyperlink r:id="rId11" w:tooltip="Quantum" w:history="1">
        <w:r w:rsidRPr="00A700BA">
          <w:t>quantum</w:t>
        </w:r>
      </w:hyperlink>
      <w:r w:rsidRPr="00A700BA">
        <w:t> de longueur d'onde. Contrairement à la longueur d'onde de de Broglie, la longueur d'onde de Compton ne correspond pas à une longueur d'onde observable dans une propagation, elle n'est qu'un auxiliaire de calcul.</w:t>
      </w:r>
    </w:p>
    <w:p w14:paraId="3C75FB04" w14:textId="77777777" w:rsidR="00D170AC" w:rsidRDefault="00D170AC" w:rsidP="00D170AC"/>
    <w:p w14:paraId="78C3002C" w14:textId="77777777" w:rsidR="00A700BA" w:rsidRPr="00A700BA" w:rsidRDefault="00A700BA" w:rsidP="00A700BA">
      <w:pPr>
        <w:pStyle w:val="Titre2"/>
      </w:pPr>
      <w:bookmarkStart w:id="1" w:name="_Toc224481904"/>
      <w:r w:rsidRPr="00A700BA">
        <w:t>Expression</w:t>
      </w:r>
      <w:bookmarkEnd w:id="1"/>
    </w:p>
    <w:p w14:paraId="6BEA9783" w14:textId="77777777" w:rsidR="00A700BA" w:rsidRPr="00A700BA" w:rsidRDefault="00A700BA" w:rsidP="00A700BA">
      <w:r w:rsidRPr="00A700BA">
        <w:t>La longueur d'onde de Compton d'une </w:t>
      </w:r>
      <w:hyperlink r:id="rId12" w:tooltip="Particule (physique)" w:history="1">
        <w:r w:rsidRPr="00A700BA">
          <w:t>particule</w:t>
        </w:r>
      </w:hyperlink>
      <w:r w:rsidRPr="00A700BA">
        <w:t> est donnée par :</w:t>
      </w:r>
    </w:p>
    <w:p w14:paraId="21C35C6D" w14:textId="631883A9" w:rsidR="00A700BA" w:rsidRPr="00A700BA" w:rsidRDefault="00A700BA" w:rsidP="00A700BA">
      <m:oMathPara>
        <m:oMath>
          <m:sSub>
            <m:sSubPr>
              <m:ctrlPr>
                <w:rPr>
                  <w:rFonts w:ascii="Cambria Math" w:hAnsi="Cambria Math"/>
                </w:rPr>
              </m:ctrlPr>
            </m:sSubPr>
            <m:e>
              <m:r>
                <w:rPr>
                  <w:rFonts w:ascii="Cambria Math" w:hAnsi="Cambria Math"/>
                </w:rPr>
                <m:t>λ</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mc</m:t>
              </m:r>
            </m:den>
          </m:f>
          <m:r>
            <m:rPr>
              <m:sty m:val="p"/>
            </m:rPr>
            <w:rPr>
              <w:rFonts w:ascii="Cambria Math" w:hAnsi="Cambria Math"/>
            </w:rPr>
            <m:t>=2</m:t>
          </m:r>
          <m:r>
            <w:rPr>
              <w:rFonts w:ascii="Cambria Math" w:hAnsi="Cambria Math"/>
            </w:rPr>
            <m:t>π</m:t>
          </m:r>
          <m:f>
            <m:fPr>
              <m:ctrlPr>
                <w:rPr>
                  <w:rFonts w:ascii="Cambria Math" w:hAnsi="Cambria Math"/>
                </w:rPr>
              </m:ctrlPr>
            </m:fPr>
            <m:num>
              <m:r>
                <m:rPr>
                  <m:sty m:val="p"/>
                </m:rPr>
                <w:rPr>
                  <w:rFonts w:ascii="Cambria Math" w:hAnsi="Cambria Math"/>
                </w:rPr>
                <m:t>ℏ</m:t>
              </m:r>
            </m:num>
            <m:den>
              <m:r>
                <w:rPr>
                  <w:rFonts w:ascii="Cambria Math" w:hAnsi="Cambria Math"/>
                </w:rPr>
                <m:t>mc</m:t>
              </m:r>
            </m:den>
          </m:f>
        </m:oMath>
      </m:oMathPara>
    </w:p>
    <w:p w14:paraId="5EBD815C" w14:textId="1CC91105" w:rsidR="00A700BA" w:rsidRPr="00A700BA" w:rsidRDefault="00A700BA" w:rsidP="00A700BA">
      <w:pPr>
        <w:numPr>
          <w:ilvl w:val="0"/>
          <w:numId w:val="89"/>
        </w:numPr>
      </w:pPr>
      <m:oMath>
        <m:r>
          <w:rPr>
            <w:rFonts w:ascii="Cambria Math" w:hAnsi="Cambria Math"/>
          </w:rPr>
          <m:t>h</m:t>
        </m:r>
      </m:oMath>
      <w:r w:rsidRPr="00A700BA">
        <w:t> </w:t>
      </w:r>
      <w:proofErr w:type="gramStart"/>
      <w:r w:rsidRPr="00A700BA">
        <w:t>est</w:t>
      </w:r>
      <w:proofErr w:type="gramEnd"/>
      <w:r w:rsidRPr="00A700BA">
        <w:t xml:space="preserve"> la </w:t>
      </w:r>
      <w:hyperlink r:id="rId13" w:tooltip="Constante de Planck" w:history="1">
        <w:r w:rsidRPr="00A700BA">
          <w:t>constante de Planck</w:t>
        </w:r>
      </w:hyperlink>
      <w:r w:rsidRPr="00A700BA">
        <w:t> ;</w:t>
      </w:r>
    </w:p>
    <w:p w14:paraId="2718965E" w14:textId="1CB08AC4" w:rsidR="00A700BA" w:rsidRPr="00A700BA" w:rsidRDefault="00A700BA" w:rsidP="00A700BA">
      <w:pPr>
        <w:numPr>
          <w:ilvl w:val="0"/>
          <w:numId w:val="89"/>
        </w:numPr>
      </w:pPr>
      <m:oMath>
        <m:r>
          <w:rPr>
            <w:rFonts w:ascii="Cambria Math" w:hAnsi="Cambria Math"/>
          </w:rPr>
          <m:t>m</m:t>
        </m:r>
      </m:oMath>
      <w:proofErr w:type="gramStart"/>
      <w:r w:rsidRPr="00A700BA">
        <w:t>est</w:t>
      </w:r>
      <w:proofErr w:type="gramEnd"/>
      <w:r w:rsidRPr="00A700BA">
        <w:t xml:space="preserve"> la </w:t>
      </w:r>
      <w:hyperlink r:id="rId14" w:tooltip="Masse propre" w:history="1">
        <w:r w:rsidRPr="00A700BA">
          <w:t>masse propre</w:t>
        </w:r>
      </w:hyperlink>
      <w:r w:rsidRPr="00A700BA">
        <w:t> de la particule ;</w:t>
      </w:r>
    </w:p>
    <w:p w14:paraId="754D55DC" w14:textId="689EAE14" w:rsidR="00A700BA" w:rsidRPr="00A700BA" w:rsidRDefault="00A700BA" w:rsidP="00A700BA">
      <w:pPr>
        <w:numPr>
          <w:ilvl w:val="0"/>
          <w:numId w:val="89"/>
        </w:numPr>
      </w:pPr>
      <m:oMath>
        <m:r>
          <w:rPr>
            <w:rFonts w:ascii="Cambria Math" w:hAnsi="Cambria Math"/>
          </w:rPr>
          <m:t>c</m:t>
        </m:r>
      </m:oMath>
      <w:r w:rsidRPr="00A700BA">
        <w:t> </w:t>
      </w:r>
      <w:proofErr w:type="gramStart"/>
      <w:r w:rsidRPr="00A700BA">
        <w:t>est</w:t>
      </w:r>
      <w:proofErr w:type="gramEnd"/>
      <w:r w:rsidRPr="00A700BA">
        <w:t xml:space="preserve"> la </w:t>
      </w:r>
      <w:hyperlink r:id="rId15" w:tooltip="Vitesse de la lumière" w:history="1">
        <w:r w:rsidRPr="00A700BA">
          <w:t>vitesse de la lumière</w:t>
        </w:r>
      </w:hyperlink>
      <w:r w:rsidRPr="00A700BA">
        <w:t> dans le </w:t>
      </w:r>
      <w:hyperlink r:id="rId16" w:tooltip="Vide (physique)" w:history="1">
        <w:r w:rsidRPr="00A700BA">
          <w:t>vide</w:t>
        </w:r>
      </w:hyperlink>
      <w:r w:rsidRPr="00A700BA">
        <w:t>.</w:t>
      </w:r>
    </w:p>
    <w:p w14:paraId="660580B9" w14:textId="77777777" w:rsidR="00A700BA" w:rsidRPr="00A700BA" w:rsidRDefault="00A700BA" w:rsidP="00A700BA">
      <w:r w:rsidRPr="00A700BA">
        <w:t>Depuis le 2 juin 2011, le </w:t>
      </w:r>
      <w:hyperlink r:id="rId17" w:tooltip="Comité de données pour la science et la technologie" w:history="1">
        <w:r w:rsidRPr="00A700BA">
          <w:t>Comité de données pour la science et la technologie</w:t>
        </w:r>
      </w:hyperlink>
      <w:r w:rsidRPr="00A700BA">
        <w:t> (CODATA) recommande les valeurs suivantes :</w:t>
      </w:r>
    </w:p>
    <w:p w14:paraId="3F22C7A2" w14:textId="560A2297" w:rsidR="00A700BA" w:rsidRDefault="00A700BA" w:rsidP="00D170AC">
      <w:r w:rsidRPr="00A700BA">
        <w:drawing>
          <wp:inline distT="0" distB="0" distL="0" distR="0" wp14:anchorId="5DDDE481" wp14:editId="1B31BB0E">
            <wp:extent cx="5760720" cy="1064895"/>
            <wp:effectExtent l="0" t="0" r="0" b="1905"/>
            <wp:docPr id="1090996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96977" name=""/>
                    <pic:cNvPicPr/>
                  </pic:nvPicPr>
                  <pic:blipFill>
                    <a:blip r:embed="rId18"/>
                    <a:stretch>
                      <a:fillRect/>
                    </a:stretch>
                  </pic:blipFill>
                  <pic:spPr>
                    <a:xfrm>
                      <a:off x="0" y="0"/>
                      <a:ext cx="5760720" cy="1064895"/>
                    </a:xfrm>
                    <a:prstGeom prst="rect">
                      <a:avLst/>
                    </a:prstGeom>
                  </pic:spPr>
                </pic:pic>
              </a:graphicData>
            </a:graphic>
          </wp:inline>
        </w:drawing>
      </w:r>
    </w:p>
    <w:p w14:paraId="3AB114C8" w14:textId="77777777" w:rsidR="00A700BA" w:rsidRDefault="00A700BA" w:rsidP="00D170AC"/>
    <w:p w14:paraId="59DA80F7" w14:textId="77777777" w:rsidR="00A700BA" w:rsidRPr="00A700BA" w:rsidRDefault="00A700BA" w:rsidP="00A700BA">
      <w:pPr>
        <w:pStyle w:val="Titre2"/>
      </w:pPr>
      <w:bookmarkStart w:id="2" w:name="_Toc224481905"/>
      <w:r w:rsidRPr="00A700BA">
        <w:t>Application du principe d'incertitude</w:t>
      </w:r>
      <w:bookmarkEnd w:id="2"/>
    </w:p>
    <w:p w14:paraId="2E9268A9" w14:textId="2B1915A9" w:rsidR="00A700BA" w:rsidRPr="00A700BA" w:rsidRDefault="00A700BA" w:rsidP="00A700BA">
      <w:r w:rsidRPr="00A700BA">
        <w:t>La longueur d'onde de Compton peut être considérée comme une limitation fondamentale à la mesure de la position d'une particule, tenant compte de la </w:t>
      </w:r>
      <w:hyperlink r:id="rId19" w:tooltip="Mécanique quantique" w:history="1">
        <w:r w:rsidRPr="00A700BA">
          <w:t>mécanique quantique</w:t>
        </w:r>
      </w:hyperlink>
      <w:r w:rsidRPr="00A700BA">
        <w:t> et de la </w:t>
      </w:r>
      <w:hyperlink r:id="rId20" w:tooltip="Relativité restreinte" w:history="1">
        <w:r w:rsidRPr="00A700BA">
          <w:t>relativité restreinte</w:t>
        </w:r>
      </w:hyperlink>
      <w:r w:rsidRPr="00A700BA">
        <w:t>. Ceci dépend de la masse </w:t>
      </w:r>
      <m:oMath>
        <m:r>
          <w:rPr>
            <w:rFonts w:ascii="Cambria Math" w:hAnsi="Cambria Math"/>
          </w:rPr>
          <m:t>m</m:t>
        </m:r>
        <m:r>
          <m:rPr>
            <m:nor/>
          </m:rPr>
          <m:t xml:space="preserve"> </m:t>
        </m:r>
      </m:oMath>
      <w:r w:rsidRPr="00A700BA">
        <w:t>de la particule. Pour voir cela, l'on peut mesurer la position d'une particule en envoyant de la lumière dessus - mais mesurer la position avec précision nécessite une lumière de courte longueur d'onde. La lumière avec une faible longueur d'onde est composée de </w:t>
      </w:r>
      <w:hyperlink r:id="rId21" w:tooltip="Photon" w:history="1">
        <w:r w:rsidRPr="00A700BA">
          <w:t>photons</w:t>
        </w:r>
      </w:hyperlink>
      <w:r w:rsidRPr="00A700BA">
        <w:t> d'énergie élevée. Si l'énergie de ces photons excède </w:t>
      </w:r>
      <m:oMath>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nor/>
          </m:rPr>
          <m:t xml:space="preserve">, </m:t>
        </m:r>
      </m:oMath>
      <w:r w:rsidRPr="00A700BA">
        <w:t>lorsque l'un d'eux percute la particule dont la position est connue, la collision peut dégager assez d'énergie pour créer une nouvelle particule du même type. Ceci rend discutable la question sur la position initiale de la particule.</w:t>
      </w:r>
    </w:p>
    <w:p w14:paraId="41C5E892" w14:textId="77777777" w:rsidR="00A700BA" w:rsidRPr="00A700BA" w:rsidRDefault="00A700BA" w:rsidP="00A700BA">
      <w:r w:rsidRPr="00A700BA">
        <w:lastRenderedPageBreak/>
        <w:t>Cette démonstration montre aussi que la longueur d'onde de Compton est la limite en dessous de laquelle la </w:t>
      </w:r>
      <w:hyperlink r:id="rId22" w:tooltip="Théorie quantique des champs" w:history="1">
        <w:r w:rsidRPr="00A700BA">
          <w:t>théorie quantique des champs</w:t>
        </w:r>
      </w:hyperlink>
      <w:r w:rsidRPr="00A700BA">
        <w:t> - qui permet de décrire la création et l'annihilation de particules - devient importante.</w:t>
      </w:r>
    </w:p>
    <w:p w14:paraId="60780653" w14:textId="7B2CC8E6" w:rsidR="00A700BA" w:rsidRPr="00A700BA" w:rsidRDefault="00A700BA" w:rsidP="00A700BA">
      <w:r w:rsidRPr="00A700BA">
        <w:t>Supposons que nous souhaitions mesurer la position d'une particule avec une précision </w:t>
      </w:r>
      <m:oMath>
        <m:r>
          <m:rPr>
            <m:sty m:val="p"/>
          </m:rPr>
          <w:rPr>
            <w:rFonts w:ascii="Cambria Math" w:hAnsi="Cambria Math"/>
          </w:rPr>
          <m:t>Δ</m:t>
        </m:r>
        <m:r>
          <w:rPr>
            <w:rFonts w:ascii="Cambria Math" w:hAnsi="Cambria Math"/>
          </w:rPr>
          <m:t>x</m:t>
        </m:r>
        <m:r>
          <m:rPr>
            <m:nor/>
          </m:rPr>
          <m:t xml:space="preserve"> </m:t>
        </m:r>
      </m:oMath>
      <w:hyperlink r:id="rId23" w:tooltip="Principe d'incertitude" w:history="1">
        <w:r w:rsidRPr="00A700BA">
          <w:t>relation d'incertitude</w:t>
        </w:r>
      </w:hyperlink>
      <w:r w:rsidRPr="00A700BA">
        <w:t> entre la </w:t>
      </w:r>
      <w:hyperlink r:id="rId24" w:tooltip="Position" w:history="1">
        <w:r w:rsidRPr="00A700BA">
          <w:t>position</w:t>
        </w:r>
      </w:hyperlink>
      <w:r w:rsidRPr="00A700BA">
        <w:t> et la </w:t>
      </w:r>
      <w:hyperlink r:id="rId25" w:tooltip="Quantité de mouvement" w:history="1">
        <w:r w:rsidRPr="00A700BA">
          <w:t>quantité de mouvement</w:t>
        </w:r>
      </w:hyperlink>
      <w:r w:rsidRPr="00A700BA">
        <w:t> dit que</w:t>
      </w:r>
    </w:p>
    <w:p w14:paraId="77977D75" w14:textId="7F345C5F" w:rsidR="00A700BA" w:rsidRPr="00A700BA" w:rsidRDefault="00A700BA" w:rsidP="00A700BA">
      <m:oMathPara>
        <m:oMath>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≥ℏ/2</m:t>
          </m:r>
        </m:oMath>
      </m:oMathPara>
    </w:p>
    <w:p w14:paraId="09B4F382" w14:textId="77777777" w:rsidR="00A700BA" w:rsidRPr="00A700BA" w:rsidRDefault="00A700BA" w:rsidP="00A700BA">
      <w:proofErr w:type="gramStart"/>
      <w:r w:rsidRPr="00A700BA">
        <w:t>donc</w:t>
      </w:r>
      <w:proofErr w:type="gramEnd"/>
      <w:r w:rsidRPr="00A700BA">
        <w:t xml:space="preserve"> l'incertitude sur la quantité de mouvement de la particule satisfait</w:t>
      </w:r>
    </w:p>
    <w:p w14:paraId="7DEE7B65" w14:textId="7911634C" w:rsidR="00A700BA" w:rsidRPr="00A700BA" w:rsidRDefault="00A700BA" w:rsidP="00A700BA">
      <m:oMathPara>
        <m:oMath>
          <m:r>
            <m:rPr>
              <m:sty m:val="p"/>
            </m:rPr>
            <w:rPr>
              <w:rFonts w:ascii="Cambria Math" w:hAnsi="Cambria Math"/>
            </w:rPr>
            <m:t>Δ</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r>
                <m:rPr>
                  <m:sty m:val="p"/>
                </m:rPr>
                <w:rPr>
                  <w:rFonts w:ascii="Cambria Math" w:hAnsi="Cambria Math"/>
                </w:rPr>
                <m:t>2Δ</m:t>
              </m:r>
              <m:r>
                <w:rPr>
                  <w:rFonts w:ascii="Cambria Math" w:hAnsi="Cambria Math"/>
                </w:rPr>
                <m:t>x</m:t>
              </m:r>
            </m:den>
          </m:f>
        </m:oMath>
      </m:oMathPara>
    </w:p>
    <w:p w14:paraId="4100C23C" w14:textId="5973BFAE" w:rsidR="00A700BA" w:rsidRPr="00A700BA" w:rsidRDefault="00A700BA" w:rsidP="00A700BA">
      <m:oMath>
        <m:r>
          <m:rPr>
            <m:sty m:val="p"/>
          </m:rPr>
          <w:rPr>
            <w:rFonts w:ascii="Cambria Math" w:hAnsi="Cambria Math"/>
          </w:rPr>
          <m:t>Δ</m:t>
        </m:r>
        <m:r>
          <w:rPr>
            <w:rFonts w:ascii="Cambria Math" w:hAnsi="Cambria Math"/>
          </w:rPr>
          <m:t>p</m:t>
        </m:r>
      </m:oMath>
      <w:r w:rsidRPr="00A700BA">
        <w:t> </w:t>
      </w:r>
      <w:proofErr w:type="gramStart"/>
      <w:r w:rsidRPr="00A700BA">
        <w:t>excède</w:t>
      </w:r>
      <w:proofErr w:type="gramEnd"/>
      <w:r w:rsidRPr="00A700BA">
        <w:t> </w:t>
      </w:r>
      <m:oMath>
        <m:r>
          <w:rPr>
            <w:rFonts w:ascii="Cambria Math" w:hAnsi="Cambria Math"/>
          </w:rPr>
          <m:t>mc</m:t>
        </m:r>
      </m:oMath>
      <w:r>
        <w:rPr>
          <w:rFonts w:eastAsiaTheme="minorEastAsia"/>
          <w:iCs/>
        </w:rPr>
        <w:t xml:space="preserve"> </w:t>
      </w:r>
      <w:r w:rsidRPr="00A700BA">
        <w:t>alors l'incertitude sur l'énergie est plus grande que </w:t>
      </w:r>
      <m:oMath>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nor/>
          </m:rPr>
          <m:t xml:space="preserve">, </m:t>
        </m:r>
      </m:oMath>
      <w:r w:rsidRPr="00A700BA">
        <w:t>ce qui est assez d'énergie pour créer une autre particule du même type. Ainsi, avec un peu d'algèbre, nous voyons qu'il y a une limitation fondamentale</w:t>
      </w:r>
    </w:p>
    <w:p w14:paraId="55284B0B" w14:textId="5F91CF37" w:rsidR="00A700BA" w:rsidRPr="00A700BA" w:rsidRDefault="00A700BA" w:rsidP="00A700BA">
      <m:oMathPara>
        <m:oMath>
          <m:r>
            <m:rPr>
              <m:sty m:val="p"/>
            </m:rPr>
            <w:rPr>
              <w:rFonts w:ascii="Cambria Math" w:hAnsi="Cambria Math"/>
            </w:rPr>
            <m:t>Δ</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ℏ</m:t>
              </m:r>
            </m:num>
            <m:den>
              <m:r>
                <m:rPr>
                  <m:sty m:val="p"/>
                </m:rPr>
                <w:rPr>
                  <w:rFonts w:ascii="Cambria Math" w:hAnsi="Cambria Math"/>
                </w:rPr>
                <m:t>2</m:t>
              </m:r>
              <m:r>
                <w:rPr>
                  <w:rFonts w:ascii="Cambria Math" w:hAnsi="Cambria Math"/>
                </w:rPr>
                <m:t>mc</m:t>
              </m:r>
            </m:den>
          </m:f>
        </m:oMath>
      </m:oMathPara>
    </w:p>
    <w:p w14:paraId="05D3B745" w14:textId="128C0602" w:rsidR="00A700BA" w:rsidRPr="00A700BA" w:rsidRDefault="00A700BA" w:rsidP="00A700BA">
      <w:hyperlink r:id="rId26" w:tooltip="Ordre de grandeur" w:history="1">
        <w:proofErr w:type="gramStart"/>
        <w:r w:rsidRPr="00A700BA">
          <w:t>ordre</w:t>
        </w:r>
        <w:proofErr w:type="gramEnd"/>
        <w:r w:rsidRPr="00A700BA">
          <w:t xml:space="preserve"> de grandeur</w:t>
        </w:r>
      </w:hyperlink>
      <w:r w:rsidRPr="00A700BA">
        <w:t>, l'incertitude de la position peut être plus grande que la longueur d'onde de Compton </w:t>
      </w:r>
      <m:oMath>
        <m:r>
          <w:rPr>
            <w:rFonts w:ascii="Cambria Math" w:hAnsi="Cambria Math"/>
          </w:rPr>
          <m:t>h</m:t>
        </m:r>
        <m:r>
          <m:rPr>
            <m:sty m:val="p"/>
          </m:rPr>
          <w:rPr>
            <w:rFonts w:ascii="Cambria Math" w:hAnsi="Cambria Math"/>
          </w:rPr>
          <m:t>/</m:t>
        </m:r>
        <m:r>
          <w:rPr>
            <w:rFonts w:ascii="Cambria Math" w:hAnsi="Cambria Math"/>
          </w:rPr>
          <m:t>mc</m:t>
        </m:r>
      </m:oMath>
      <w:r w:rsidRPr="00A700BA">
        <w:t>.</w:t>
      </w:r>
    </w:p>
    <w:p w14:paraId="262A967A" w14:textId="77777777" w:rsidR="00A700BA" w:rsidRPr="00A700BA" w:rsidRDefault="00A700BA" w:rsidP="00A700BA">
      <w:r w:rsidRPr="00A700BA">
        <w:t>La longueur d'onde de Compton peut être comparée à la </w:t>
      </w:r>
      <w:hyperlink r:id="rId27" w:tooltip="Hypothèse de De Broglie" w:history="1">
        <w:r w:rsidRPr="00A700BA">
          <w:t>longueur d'onde de de Broglie</w:t>
        </w:r>
      </w:hyperlink>
      <w:r w:rsidRPr="00A700BA">
        <w:t>, qui dépend de la quantité de mouvement de la particule et détermine la limite entre la particule et le comportement ondulatoire en </w:t>
      </w:r>
      <w:hyperlink r:id="rId28" w:tooltip="Mécanique quantique" w:history="1">
        <w:r w:rsidRPr="00A700BA">
          <w:t>mécanique quantique</w:t>
        </w:r>
      </w:hyperlink>
      <w:r w:rsidRPr="00A700BA">
        <w:t>.</w:t>
      </w:r>
    </w:p>
    <w:p w14:paraId="130867E8" w14:textId="77777777" w:rsidR="00A700BA" w:rsidRPr="00D170AC" w:rsidRDefault="00A700BA" w:rsidP="00D170AC"/>
    <w:sectPr w:rsidR="00A700BA" w:rsidRPr="00D170AC">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F7218" w14:textId="77777777" w:rsidR="002A563F" w:rsidRDefault="002A563F" w:rsidP="00D54EB9">
      <w:pPr>
        <w:spacing w:after="0" w:line="240" w:lineRule="auto"/>
      </w:pPr>
      <w:r>
        <w:separator/>
      </w:r>
    </w:p>
  </w:endnote>
  <w:endnote w:type="continuationSeparator" w:id="0">
    <w:p w14:paraId="09FFED7E" w14:textId="77777777" w:rsidR="002A563F" w:rsidRDefault="002A563F"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38EBF" w14:textId="77777777" w:rsidR="002A563F" w:rsidRDefault="002A563F" w:rsidP="00D54EB9">
      <w:pPr>
        <w:spacing w:after="0" w:line="240" w:lineRule="auto"/>
      </w:pPr>
      <w:r>
        <w:separator/>
      </w:r>
    </w:p>
  </w:footnote>
  <w:footnote w:type="continuationSeparator" w:id="0">
    <w:p w14:paraId="2FC85EAC" w14:textId="77777777" w:rsidR="002A563F" w:rsidRDefault="002A563F"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B0EBA9E" w:rsidR="00D54EB9" w:rsidRDefault="00D54EB9">
    <w:pPr>
      <w:pStyle w:val="En-tte"/>
    </w:pPr>
    <w:r>
      <w:t>PHYSIQUE –</w:t>
    </w:r>
    <w:r w:rsidR="00E64510">
      <w:t xml:space="preserve"> </w:t>
    </w:r>
    <w:r w:rsidR="00A700BA" w:rsidRPr="00A700BA">
      <w:t>Longueur d'onde de Compton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371AD6"/>
    <w:multiLevelType w:val="multilevel"/>
    <w:tmpl w:val="7AE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9B0E5B"/>
    <w:multiLevelType w:val="multilevel"/>
    <w:tmpl w:val="D16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4"/>
  </w:num>
  <w:num w:numId="3" w16cid:durableId="196166302">
    <w:abstractNumId w:val="60"/>
  </w:num>
  <w:num w:numId="4" w16cid:durableId="85611783">
    <w:abstractNumId w:val="42"/>
  </w:num>
  <w:num w:numId="5" w16cid:durableId="1764495135">
    <w:abstractNumId w:val="52"/>
  </w:num>
  <w:num w:numId="6" w16cid:durableId="9337082">
    <w:abstractNumId w:val="80"/>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5"/>
  </w:num>
  <w:num w:numId="13" w16cid:durableId="1794011271">
    <w:abstractNumId w:val="45"/>
  </w:num>
  <w:num w:numId="14" w16cid:durableId="2126852057">
    <w:abstractNumId w:val="65"/>
  </w:num>
  <w:num w:numId="15" w16cid:durableId="1823424295">
    <w:abstractNumId w:val="79"/>
  </w:num>
  <w:num w:numId="16" w16cid:durableId="928343046">
    <w:abstractNumId w:val="83"/>
  </w:num>
  <w:num w:numId="17" w16cid:durableId="67197130">
    <w:abstractNumId w:val="87"/>
  </w:num>
  <w:num w:numId="18" w16cid:durableId="51733916">
    <w:abstractNumId w:val="54"/>
  </w:num>
  <w:num w:numId="19" w16cid:durableId="1633438650">
    <w:abstractNumId w:val="69"/>
  </w:num>
  <w:num w:numId="20" w16cid:durableId="1157109359">
    <w:abstractNumId w:val="70"/>
  </w:num>
  <w:num w:numId="21" w16cid:durableId="1604875568">
    <w:abstractNumId w:val="5"/>
  </w:num>
  <w:num w:numId="22" w16cid:durableId="1840459850">
    <w:abstractNumId w:val="40"/>
  </w:num>
  <w:num w:numId="23" w16cid:durableId="1803888255">
    <w:abstractNumId w:val="57"/>
  </w:num>
  <w:num w:numId="24" w16cid:durableId="1998876001">
    <w:abstractNumId w:val="12"/>
  </w:num>
  <w:num w:numId="25" w16cid:durableId="466240926">
    <w:abstractNumId w:val="75"/>
  </w:num>
  <w:num w:numId="26" w16cid:durableId="1032612191">
    <w:abstractNumId w:val="81"/>
  </w:num>
  <w:num w:numId="27" w16cid:durableId="2059477957">
    <w:abstractNumId w:val="26"/>
  </w:num>
  <w:num w:numId="28" w16cid:durableId="60102640">
    <w:abstractNumId w:val="4"/>
  </w:num>
  <w:num w:numId="29" w16cid:durableId="2043286050">
    <w:abstractNumId w:val="86"/>
  </w:num>
  <w:num w:numId="30" w16cid:durableId="876817421">
    <w:abstractNumId w:val="20"/>
  </w:num>
  <w:num w:numId="31" w16cid:durableId="1191183674">
    <w:abstractNumId w:val="61"/>
  </w:num>
  <w:num w:numId="32" w16cid:durableId="1457868945">
    <w:abstractNumId w:val="19"/>
  </w:num>
  <w:num w:numId="33" w16cid:durableId="830872827">
    <w:abstractNumId w:val="49"/>
  </w:num>
  <w:num w:numId="34" w16cid:durableId="1402214887">
    <w:abstractNumId w:val="58"/>
  </w:num>
  <w:num w:numId="35" w16cid:durableId="804467890">
    <w:abstractNumId w:val="56"/>
  </w:num>
  <w:num w:numId="36" w16cid:durableId="531307307">
    <w:abstractNumId w:val="59"/>
  </w:num>
  <w:num w:numId="37" w16cid:durableId="1335260250">
    <w:abstractNumId w:val="76"/>
  </w:num>
  <w:num w:numId="38" w16cid:durableId="1648129253">
    <w:abstractNumId w:val="53"/>
  </w:num>
  <w:num w:numId="39" w16cid:durableId="808477923">
    <w:abstractNumId w:val="78"/>
  </w:num>
  <w:num w:numId="40" w16cid:durableId="313603430">
    <w:abstractNumId w:val="13"/>
  </w:num>
  <w:num w:numId="41" w16cid:durableId="832066700">
    <w:abstractNumId w:val="25"/>
  </w:num>
  <w:num w:numId="42" w16cid:durableId="222176590">
    <w:abstractNumId w:val="28"/>
  </w:num>
  <w:num w:numId="43" w16cid:durableId="1802648874">
    <w:abstractNumId w:val="82"/>
  </w:num>
  <w:num w:numId="44" w16cid:durableId="445126056">
    <w:abstractNumId w:val="88"/>
  </w:num>
  <w:num w:numId="45" w16cid:durableId="146552461">
    <w:abstractNumId w:val="21"/>
  </w:num>
  <w:num w:numId="46" w16cid:durableId="692920360">
    <w:abstractNumId w:val="6"/>
  </w:num>
  <w:num w:numId="47" w16cid:durableId="356856055">
    <w:abstractNumId w:val="39"/>
  </w:num>
  <w:num w:numId="48" w16cid:durableId="597755524">
    <w:abstractNumId w:val="73"/>
  </w:num>
  <w:num w:numId="49" w16cid:durableId="1096709593">
    <w:abstractNumId w:val="24"/>
  </w:num>
  <w:num w:numId="50" w16cid:durableId="1169979567">
    <w:abstractNumId w:val="67"/>
  </w:num>
  <w:num w:numId="51" w16cid:durableId="1886015818">
    <w:abstractNumId w:val="0"/>
  </w:num>
  <w:num w:numId="52" w16cid:durableId="107546424">
    <w:abstractNumId w:val="8"/>
  </w:num>
  <w:num w:numId="53" w16cid:durableId="223613737">
    <w:abstractNumId w:val="22"/>
  </w:num>
  <w:num w:numId="54" w16cid:durableId="1084836597">
    <w:abstractNumId w:val="48"/>
  </w:num>
  <w:num w:numId="55" w16cid:durableId="717434181">
    <w:abstractNumId w:val="63"/>
  </w:num>
  <w:num w:numId="56" w16cid:durableId="1677535290">
    <w:abstractNumId w:val="84"/>
  </w:num>
  <w:num w:numId="57" w16cid:durableId="334190522">
    <w:abstractNumId w:val="71"/>
  </w:num>
  <w:num w:numId="58" w16cid:durableId="1029602556">
    <w:abstractNumId w:val="55"/>
  </w:num>
  <w:num w:numId="59" w16cid:durableId="196553088">
    <w:abstractNumId w:val="36"/>
  </w:num>
  <w:num w:numId="60" w16cid:durableId="624122783">
    <w:abstractNumId w:val="77"/>
  </w:num>
  <w:num w:numId="61" w16cid:durableId="1168592437">
    <w:abstractNumId w:val="62"/>
  </w:num>
  <w:num w:numId="62" w16cid:durableId="1951012609">
    <w:abstractNumId w:val="1"/>
  </w:num>
  <w:num w:numId="63" w16cid:durableId="1223298642">
    <w:abstractNumId w:val="47"/>
  </w:num>
  <w:num w:numId="64" w16cid:durableId="726612268">
    <w:abstractNumId w:val="9"/>
  </w:num>
  <w:num w:numId="65" w16cid:durableId="136144830">
    <w:abstractNumId w:val="11"/>
  </w:num>
  <w:num w:numId="66" w16cid:durableId="870999469">
    <w:abstractNumId w:val="27"/>
  </w:num>
  <w:num w:numId="67" w16cid:durableId="234780024">
    <w:abstractNumId w:val="72"/>
  </w:num>
  <w:num w:numId="68" w16cid:durableId="754713752">
    <w:abstractNumId w:val="43"/>
  </w:num>
  <w:num w:numId="69" w16cid:durableId="1079868246">
    <w:abstractNumId w:val="66"/>
  </w:num>
  <w:num w:numId="70" w16cid:durableId="1964185914">
    <w:abstractNumId w:val="18"/>
  </w:num>
  <w:num w:numId="71" w16cid:durableId="1694652878">
    <w:abstractNumId w:val="17"/>
  </w:num>
  <w:num w:numId="72" w16cid:durableId="1950771740">
    <w:abstractNumId w:val="68"/>
  </w:num>
  <w:num w:numId="73" w16cid:durableId="1305771121">
    <w:abstractNumId w:val="46"/>
  </w:num>
  <w:num w:numId="74" w16cid:durableId="1176961578">
    <w:abstractNumId w:val="41"/>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50"/>
  </w:num>
  <w:num w:numId="80" w16cid:durableId="1199589216">
    <w:abstractNumId w:val="14"/>
  </w:num>
  <w:num w:numId="81" w16cid:durableId="1573461965">
    <w:abstractNumId w:val="37"/>
  </w:num>
  <w:num w:numId="82" w16cid:durableId="273170455">
    <w:abstractNumId w:val="31"/>
  </w:num>
  <w:num w:numId="83" w16cid:durableId="749930410">
    <w:abstractNumId w:val="51"/>
  </w:num>
  <w:num w:numId="84" w16cid:durableId="594948459">
    <w:abstractNumId w:val="10"/>
  </w:num>
  <w:num w:numId="85" w16cid:durableId="1814329992">
    <w:abstractNumId w:val="7"/>
  </w:num>
  <w:num w:numId="86" w16cid:durableId="1964460939">
    <w:abstractNumId w:val="33"/>
  </w:num>
  <w:num w:numId="87" w16cid:durableId="1294939964">
    <w:abstractNumId w:val="74"/>
  </w:num>
  <w:num w:numId="88" w16cid:durableId="159928615">
    <w:abstractNumId w:val="64"/>
  </w:num>
  <w:num w:numId="89" w16cid:durableId="126314879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A563F"/>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876EB"/>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7C71"/>
    <w:rsid w:val="00930425"/>
    <w:rsid w:val="00940EDE"/>
    <w:rsid w:val="00975931"/>
    <w:rsid w:val="00983013"/>
    <w:rsid w:val="0099218E"/>
    <w:rsid w:val="009B16DB"/>
    <w:rsid w:val="009C6666"/>
    <w:rsid w:val="009C6EA7"/>
    <w:rsid w:val="009D3220"/>
    <w:rsid w:val="00A30394"/>
    <w:rsid w:val="00A323C4"/>
    <w:rsid w:val="00A52E38"/>
    <w:rsid w:val="00A55D9B"/>
    <w:rsid w:val="00A55F5F"/>
    <w:rsid w:val="00A67375"/>
    <w:rsid w:val="00A700BA"/>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D3587"/>
    <w:rsid w:val="00BF3C81"/>
    <w:rsid w:val="00C051D5"/>
    <w:rsid w:val="00C12FFF"/>
    <w:rsid w:val="00C24B17"/>
    <w:rsid w:val="00C2762C"/>
    <w:rsid w:val="00C433EF"/>
    <w:rsid w:val="00C54A6A"/>
    <w:rsid w:val="00C570D7"/>
    <w:rsid w:val="00C72B4C"/>
    <w:rsid w:val="00C76D87"/>
    <w:rsid w:val="00C90B8E"/>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Longueur_d%E2%80%99onde" TargetMode="External"/><Relationship Id="rId13" Type="http://schemas.openxmlformats.org/officeDocument/2006/relationships/hyperlink" Target="https://fr.wikipedia.org/wiki/Constante_de_Planck" TargetMode="External"/><Relationship Id="rId18" Type="http://schemas.openxmlformats.org/officeDocument/2006/relationships/image" Target="media/image1.png"/><Relationship Id="rId26" Type="http://schemas.openxmlformats.org/officeDocument/2006/relationships/hyperlink" Target="https://fr.wikipedia.org/wiki/Ordre_de_grandeur" TargetMode="External"/><Relationship Id="rId3" Type="http://schemas.openxmlformats.org/officeDocument/2006/relationships/settings" Target="settings.xml"/><Relationship Id="rId21" Type="http://schemas.openxmlformats.org/officeDocument/2006/relationships/hyperlink" Target="https://fr.wikipedia.org/wiki/Photon" TargetMode="External"/><Relationship Id="rId7" Type="http://schemas.openxmlformats.org/officeDocument/2006/relationships/hyperlink" Target="https://fr.wikipedia.org/wiki/Photon" TargetMode="External"/><Relationship Id="rId12" Type="http://schemas.openxmlformats.org/officeDocument/2006/relationships/hyperlink" Target="https://fr.wikipedia.org/wiki/Particule_(physique)" TargetMode="External"/><Relationship Id="rId17" Type="http://schemas.openxmlformats.org/officeDocument/2006/relationships/hyperlink" Target="https://fr.wikipedia.org/wiki/Comit%C3%A9_de_donn%C3%A9es_pour_la_science_et_la_technologie" TargetMode="External"/><Relationship Id="rId25" Type="http://schemas.openxmlformats.org/officeDocument/2006/relationships/hyperlink" Target="https://fr.wikipedia.org/wiki/Quantit%C3%A9_de_mouvement" TargetMode="External"/><Relationship Id="rId2" Type="http://schemas.openxmlformats.org/officeDocument/2006/relationships/styles" Target="styles.xml"/><Relationship Id="rId16" Type="http://schemas.openxmlformats.org/officeDocument/2006/relationships/hyperlink" Target="https://fr.wikipedia.org/wiki/Vide_(physique)" TargetMode="External"/><Relationship Id="rId20" Type="http://schemas.openxmlformats.org/officeDocument/2006/relationships/hyperlink" Target="https://fr.wikipedia.org/wiki/Relativit%C3%A9_restreinte"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Quantum" TargetMode="External"/><Relationship Id="rId24" Type="http://schemas.openxmlformats.org/officeDocument/2006/relationships/hyperlink" Target="https://fr.wikipedia.org/wiki/Position"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wikipedia.org/wiki/Vitesse_de_la_lumi%C3%A8re" TargetMode="External"/><Relationship Id="rId23" Type="http://schemas.openxmlformats.org/officeDocument/2006/relationships/hyperlink" Target="https://fr.wikipedia.org/wiki/Principe_d%27incertitude" TargetMode="External"/><Relationship Id="rId28" Type="http://schemas.openxmlformats.org/officeDocument/2006/relationships/hyperlink" Target="https://fr.wikipedia.org/wiki/M%C3%A9canique_quantique" TargetMode="External"/><Relationship Id="rId10" Type="http://schemas.openxmlformats.org/officeDocument/2006/relationships/hyperlink" Target="https://fr.wikipedia.org/wiki/Diffusion_Compton" TargetMode="External"/><Relationship Id="rId19" Type="http://schemas.openxmlformats.org/officeDocument/2006/relationships/hyperlink" Target="https://fr.wikipedia.org/wiki/M%C3%A9canique_quantiqu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Diffusion_Compton" TargetMode="External"/><Relationship Id="rId14" Type="http://schemas.openxmlformats.org/officeDocument/2006/relationships/hyperlink" Target="https://fr.wikipedia.org/wiki/Masse_propre" TargetMode="External"/><Relationship Id="rId22" Type="http://schemas.openxmlformats.org/officeDocument/2006/relationships/hyperlink" Target="https://fr.wikipedia.org/wiki/Th%C3%A9orie_quantique_des_champs" TargetMode="External"/><Relationship Id="rId27" Type="http://schemas.openxmlformats.org/officeDocument/2006/relationships/hyperlink" Target="https://fr.wikipedia.org/wiki/Hypoth%C3%A8se_de_De_Broglie" TargetMode="External"/><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3</Pages>
  <Words>836</Words>
  <Characters>4604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89</cp:revision>
  <dcterms:created xsi:type="dcterms:W3CDTF">2022-12-23T07:20:00Z</dcterms:created>
  <dcterms:modified xsi:type="dcterms:W3CDTF">2026-03-15T14:44:00Z</dcterms:modified>
</cp:coreProperties>
</file>