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513CC0C" w:rsidR="003B22A5" w:rsidRDefault="00A67375" w:rsidP="00D54EB9">
      <w:pPr>
        <w:pStyle w:val="Titre"/>
        <w:rPr>
          <w:b/>
          <w:bCs/>
        </w:rPr>
      </w:pPr>
      <w:proofErr w:type="spellStart"/>
      <w:r w:rsidRPr="00A67375">
        <w:rPr>
          <w:b/>
          <w:bCs/>
        </w:rPr>
        <w:t>Métasurfaces</w:t>
      </w:r>
      <w:proofErr w:type="spellEnd"/>
      <w:r w:rsidRPr="00A67375">
        <w:rPr>
          <w:b/>
          <w:bCs/>
        </w:rPr>
        <w:t xml:space="preserve"> et matériaux accordables</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2CAE3B0E" w14:textId="095AF1FF" w:rsidR="00A67375"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7467514" w:history="1">
            <w:r w:rsidR="00A67375" w:rsidRPr="00825FB2">
              <w:rPr>
                <w:rStyle w:val="Lienhypertexte"/>
                <w:bCs/>
                <w:noProof/>
              </w:rPr>
              <w:t>Introduction</w:t>
            </w:r>
            <w:r w:rsidR="00A67375">
              <w:rPr>
                <w:noProof/>
                <w:webHidden/>
              </w:rPr>
              <w:tab/>
            </w:r>
            <w:r w:rsidR="00A67375">
              <w:rPr>
                <w:noProof/>
                <w:webHidden/>
              </w:rPr>
              <w:fldChar w:fldCharType="begin"/>
            </w:r>
            <w:r w:rsidR="00A67375">
              <w:rPr>
                <w:noProof/>
                <w:webHidden/>
              </w:rPr>
              <w:instrText xml:space="preserve"> PAGEREF _Toc207467514 \h </w:instrText>
            </w:r>
            <w:r w:rsidR="00A67375">
              <w:rPr>
                <w:noProof/>
                <w:webHidden/>
              </w:rPr>
            </w:r>
            <w:r w:rsidR="00A67375">
              <w:rPr>
                <w:noProof/>
                <w:webHidden/>
              </w:rPr>
              <w:fldChar w:fldCharType="separate"/>
            </w:r>
            <w:r w:rsidR="00A67375">
              <w:rPr>
                <w:noProof/>
                <w:webHidden/>
              </w:rPr>
              <w:t>2</w:t>
            </w:r>
            <w:r w:rsidR="00A67375">
              <w:rPr>
                <w:noProof/>
                <w:webHidden/>
              </w:rPr>
              <w:fldChar w:fldCharType="end"/>
            </w:r>
          </w:hyperlink>
        </w:p>
        <w:p w14:paraId="331C508B" w14:textId="56080C0F" w:rsidR="00A67375" w:rsidRDefault="00A67375">
          <w:pPr>
            <w:pStyle w:val="TM1"/>
            <w:tabs>
              <w:tab w:val="right" w:leader="dot" w:pos="9062"/>
            </w:tabs>
            <w:rPr>
              <w:rFonts w:eastAsiaTheme="minorEastAsia"/>
              <w:noProof/>
              <w:kern w:val="2"/>
              <w:sz w:val="24"/>
              <w:szCs w:val="24"/>
              <w:lang w:eastAsia="fr-FR"/>
              <w14:ligatures w14:val="standardContextual"/>
            </w:rPr>
          </w:pPr>
          <w:hyperlink w:anchor="_Toc207467515" w:history="1">
            <w:r w:rsidRPr="00825FB2">
              <w:rPr>
                <w:rStyle w:val="Lienhypertexte"/>
                <w:noProof/>
              </w:rPr>
              <w:t>Métasurfaces à base de Matériaux à Changement de Phase</w:t>
            </w:r>
            <w:r>
              <w:rPr>
                <w:noProof/>
                <w:webHidden/>
              </w:rPr>
              <w:tab/>
            </w:r>
            <w:r>
              <w:rPr>
                <w:noProof/>
                <w:webHidden/>
              </w:rPr>
              <w:fldChar w:fldCharType="begin"/>
            </w:r>
            <w:r>
              <w:rPr>
                <w:noProof/>
                <w:webHidden/>
              </w:rPr>
              <w:instrText xml:space="preserve"> PAGEREF _Toc207467515 \h </w:instrText>
            </w:r>
            <w:r>
              <w:rPr>
                <w:noProof/>
                <w:webHidden/>
              </w:rPr>
            </w:r>
            <w:r>
              <w:rPr>
                <w:noProof/>
                <w:webHidden/>
              </w:rPr>
              <w:fldChar w:fldCharType="separate"/>
            </w:r>
            <w:r>
              <w:rPr>
                <w:noProof/>
                <w:webHidden/>
              </w:rPr>
              <w:t>2</w:t>
            </w:r>
            <w:r>
              <w:rPr>
                <w:noProof/>
                <w:webHidden/>
              </w:rPr>
              <w:fldChar w:fldCharType="end"/>
            </w:r>
          </w:hyperlink>
        </w:p>
        <w:p w14:paraId="604AB0C5" w14:textId="2262A7E3" w:rsidR="00A67375" w:rsidRDefault="00A67375">
          <w:pPr>
            <w:pStyle w:val="TM1"/>
            <w:tabs>
              <w:tab w:val="right" w:leader="dot" w:pos="9062"/>
            </w:tabs>
            <w:rPr>
              <w:rFonts w:eastAsiaTheme="minorEastAsia"/>
              <w:noProof/>
              <w:kern w:val="2"/>
              <w:sz w:val="24"/>
              <w:szCs w:val="24"/>
              <w:lang w:eastAsia="fr-FR"/>
              <w14:ligatures w14:val="standardContextual"/>
            </w:rPr>
          </w:pPr>
          <w:hyperlink w:anchor="_Toc207467516" w:history="1">
            <w:r w:rsidRPr="00825FB2">
              <w:rPr>
                <w:rStyle w:val="Lienhypertexte"/>
                <w:noProof/>
              </w:rPr>
              <w:t>Oxydes transparents conducteurs accordables</w:t>
            </w:r>
            <w:r>
              <w:rPr>
                <w:noProof/>
                <w:webHidden/>
              </w:rPr>
              <w:tab/>
            </w:r>
            <w:r>
              <w:rPr>
                <w:noProof/>
                <w:webHidden/>
              </w:rPr>
              <w:fldChar w:fldCharType="begin"/>
            </w:r>
            <w:r>
              <w:rPr>
                <w:noProof/>
                <w:webHidden/>
              </w:rPr>
              <w:instrText xml:space="preserve"> PAGEREF _Toc207467516 \h </w:instrText>
            </w:r>
            <w:r>
              <w:rPr>
                <w:noProof/>
                <w:webHidden/>
              </w:rPr>
            </w:r>
            <w:r>
              <w:rPr>
                <w:noProof/>
                <w:webHidden/>
              </w:rPr>
              <w:fldChar w:fldCharType="separate"/>
            </w:r>
            <w:r>
              <w:rPr>
                <w:noProof/>
                <w:webHidden/>
              </w:rPr>
              <w:t>2</w:t>
            </w:r>
            <w:r>
              <w:rPr>
                <w:noProof/>
                <w:webHidden/>
              </w:rPr>
              <w:fldChar w:fldCharType="end"/>
            </w:r>
          </w:hyperlink>
        </w:p>
        <w:p w14:paraId="2C6C7253" w14:textId="59BCF615" w:rsidR="00A67375" w:rsidRDefault="00A67375">
          <w:pPr>
            <w:pStyle w:val="TM1"/>
            <w:tabs>
              <w:tab w:val="right" w:leader="dot" w:pos="9062"/>
            </w:tabs>
            <w:rPr>
              <w:rFonts w:eastAsiaTheme="minorEastAsia"/>
              <w:noProof/>
              <w:kern w:val="2"/>
              <w:sz w:val="24"/>
              <w:szCs w:val="24"/>
              <w:lang w:eastAsia="fr-FR"/>
              <w14:ligatures w14:val="standardContextual"/>
            </w:rPr>
          </w:pPr>
          <w:hyperlink w:anchor="_Toc207467517" w:history="1">
            <w:r w:rsidRPr="00825FB2">
              <w:rPr>
                <w:rStyle w:val="Lienhypertexte"/>
                <w:noProof/>
              </w:rPr>
              <w:t>Métamatériaux Hyperboliques</w:t>
            </w:r>
            <w:r>
              <w:rPr>
                <w:noProof/>
                <w:webHidden/>
              </w:rPr>
              <w:tab/>
            </w:r>
            <w:r>
              <w:rPr>
                <w:noProof/>
                <w:webHidden/>
              </w:rPr>
              <w:fldChar w:fldCharType="begin"/>
            </w:r>
            <w:r>
              <w:rPr>
                <w:noProof/>
                <w:webHidden/>
              </w:rPr>
              <w:instrText xml:space="preserve"> PAGEREF _Toc207467517 \h </w:instrText>
            </w:r>
            <w:r>
              <w:rPr>
                <w:noProof/>
                <w:webHidden/>
              </w:rPr>
            </w:r>
            <w:r>
              <w:rPr>
                <w:noProof/>
                <w:webHidden/>
              </w:rPr>
              <w:fldChar w:fldCharType="separate"/>
            </w:r>
            <w:r>
              <w:rPr>
                <w:noProof/>
                <w:webHidden/>
              </w:rPr>
              <w:t>2</w:t>
            </w:r>
            <w:r>
              <w:rPr>
                <w:noProof/>
                <w:webHidden/>
              </w:rPr>
              <w:fldChar w:fldCharType="end"/>
            </w:r>
          </w:hyperlink>
        </w:p>
        <w:p w14:paraId="73735383" w14:textId="576A9E30"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36222955" w:rsidR="00D54EB9" w:rsidRDefault="00D54EB9" w:rsidP="00D54EB9">
      <w:pPr>
        <w:pStyle w:val="Titre1"/>
        <w:rPr>
          <w:b w:val="0"/>
          <w:bCs/>
        </w:rPr>
      </w:pPr>
      <w:bookmarkStart w:id="0" w:name="_Toc207467514"/>
      <w:r w:rsidRPr="00D54EB9">
        <w:rPr>
          <w:bCs/>
        </w:rPr>
        <w:lastRenderedPageBreak/>
        <w:t>Introduction</w:t>
      </w:r>
      <w:bookmarkEnd w:id="0"/>
    </w:p>
    <w:p w14:paraId="436EB8B7" w14:textId="35882B8B" w:rsidR="001305B5" w:rsidRDefault="00A67375" w:rsidP="001305B5">
      <w:r w:rsidRPr="00A67375">
        <w:t xml:space="preserve">La nanophotonique a permis le développement de nouveaux moyens de contrôle de l’interaction lumière-matière à l’échelle nanométrique. Notamment, les progrès récents dans les domaines de la </w:t>
      </w:r>
      <w:proofErr w:type="spellStart"/>
      <w:r w:rsidRPr="00A67375">
        <w:t>plasmonique</w:t>
      </w:r>
      <w:proofErr w:type="spellEnd"/>
      <w:r w:rsidRPr="00A67375">
        <w:t xml:space="preserve"> et des métamatériaux diélectriques ont rendu possible la conception et la fabrication de dispositifs optiques plats dont les performances pourraient surpasser celles des composants optiques classiques. Cependant, moduler dynamiquement les propriétés physiques des dispositifs à l’échelle nanométrique reste un challenge à l’heure actuelle. De nombreuses méthodes plus ou moins efficaces existent pour moduler la réponse d’un système photonique. Une liste non exhaustive comprendrait les systèmes électromécaniques, les cristaux liquides, les modulations thermiques, l’optique non linéaire et les effets piézoélectriques… Dans ce groupe, nous explorons des méthodes émergentes pour créer des dispositifs nanophotoniques accordables et activement modulables.</w:t>
      </w:r>
    </w:p>
    <w:p w14:paraId="355A7932" w14:textId="442B6F22" w:rsidR="001305B5" w:rsidRDefault="001305B5" w:rsidP="00A67375"/>
    <w:p w14:paraId="27D7A5B0" w14:textId="77777777" w:rsidR="00A67375" w:rsidRDefault="00A67375" w:rsidP="00A67375">
      <w:pPr>
        <w:pStyle w:val="Titre1"/>
      </w:pPr>
      <w:bookmarkStart w:id="1" w:name="_Toc207467515"/>
      <w:proofErr w:type="spellStart"/>
      <w:r>
        <w:t>Métasurfaces</w:t>
      </w:r>
      <w:proofErr w:type="spellEnd"/>
      <w:r>
        <w:t xml:space="preserve"> à base de Matériaux à Changement de Phase</w:t>
      </w:r>
      <w:bookmarkEnd w:id="1"/>
    </w:p>
    <w:p w14:paraId="16FC2BFB" w14:textId="77777777" w:rsidR="00A67375" w:rsidRDefault="00A67375" w:rsidP="00A67375">
      <w:r>
        <w:t xml:space="preserve">Les matériaux à changement de phase constituent une classe de matériaux aux propriétés physiques </w:t>
      </w:r>
      <w:proofErr w:type="gramStart"/>
      <w:r>
        <w:t>uniques:</w:t>
      </w:r>
      <w:proofErr w:type="gramEnd"/>
      <w:r>
        <w:t xml:space="preserve"> leur agencement structurel peut être modifié rapidement et de manière réversible par un signal externe (thermique, électrique ou optique). Mais ce qui les rend uniques est la modification importante de leur indice de réfraction (</w:t>
      </w:r>
      <w:proofErr w:type="spellStart"/>
      <w:r>
        <w:t>Δn</w:t>
      </w:r>
      <w:proofErr w:type="spellEnd"/>
      <w:r>
        <w:t xml:space="preserve"> ≥ 1) résultant de ce réarrangement cristallographique. Une modulation d’indice de réfraction aussi large et rapide permet de contrôler activement les propriétés optiques des dispositifs à l’échelle nanométrique. Entre autres projets, nous étudions </w:t>
      </w:r>
      <w:proofErr w:type="gramStart"/>
      <w:r>
        <w:t>actuellement:</w:t>
      </w:r>
      <w:proofErr w:type="gramEnd"/>
      <w:r>
        <w:t xml:space="preserve"> (i) les </w:t>
      </w:r>
      <w:proofErr w:type="spellStart"/>
      <w:r>
        <w:t>métasurfaces</w:t>
      </w:r>
      <w:proofErr w:type="spellEnd"/>
      <w:r>
        <w:t xml:space="preserve"> à base de VO2 pour le contrôle dynamique de l’interaction lumière-</w:t>
      </w:r>
      <w:proofErr w:type="gramStart"/>
      <w:r>
        <w:t>matière;</w:t>
      </w:r>
      <w:proofErr w:type="gramEnd"/>
      <w:r>
        <w:t xml:space="preserve"> (ii) des réseaux de pixels à base de </w:t>
      </w:r>
      <w:proofErr w:type="spellStart"/>
      <w:r>
        <w:t>GeSbTe</w:t>
      </w:r>
      <w:proofErr w:type="spellEnd"/>
      <w:r>
        <w:t xml:space="preserve"> pour le </w:t>
      </w:r>
      <w:proofErr w:type="spellStart"/>
      <w:r>
        <w:t>beam-steering</w:t>
      </w:r>
      <w:proofErr w:type="spellEnd"/>
      <w:r>
        <w:t xml:space="preserve"> et la mise en forme de </w:t>
      </w:r>
      <w:proofErr w:type="gramStart"/>
      <w:r>
        <w:t>faisceau;</w:t>
      </w:r>
      <w:proofErr w:type="gramEnd"/>
      <w:r>
        <w:t xml:space="preserve"> (iii) les matériaux à changement de phase émergents à faible pertes optiques (Sb2S3, </w:t>
      </w:r>
      <w:proofErr w:type="gramStart"/>
      <w:r>
        <w:t>GSST,…</w:t>
      </w:r>
      <w:proofErr w:type="gramEnd"/>
      <w:r>
        <w:t>).</w:t>
      </w:r>
    </w:p>
    <w:p w14:paraId="632FF248" w14:textId="77777777" w:rsidR="00A67375" w:rsidRDefault="00A67375" w:rsidP="00A67375"/>
    <w:p w14:paraId="416E938A" w14:textId="77777777" w:rsidR="00A67375" w:rsidRDefault="00A67375" w:rsidP="00A67375">
      <w:pPr>
        <w:pStyle w:val="Titre1"/>
      </w:pPr>
      <w:bookmarkStart w:id="2" w:name="_Toc207467516"/>
      <w:r>
        <w:t>Oxydes transparents conducteurs accordables</w:t>
      </w:r>
      <w:bookmarkEnd w:id="2"/>
    </w:p>
    <w:p w14:paraId="4A1EF7BD" w14:textId="77777777" w:rsidR="00A67375" w:rsidRDefault="00A67375" w:rsidP="00A67375">
      <w:r>
        <w:t xml:space="preserve">Les oxydes conducteurs transparents tels que l’ITO présentent une fréquence plasma dans la gamme infrarouge. L’injection de porteurs libres dans ce type de matériau permet de modifier la fréquence plasma et donc la dispersion optique. En d’autres termes, leurs propriétés optiques peuvent être modulées électriquement. Nous étudions ici le potentiel des couches minces d’oxydes dopés à des concentrations variables, et donc présentant une fréquence plasma modulable, pour des applications </w:t>
      </w:r>
      <w:proofErr w:type="spellStart"/>
      <w:r>
        <w:t>plasmoniques</w:t>
      </w:r>
      <w:proofErr w:type="spellEnd"/>
      <w:r>
        <w:t xml:space="preserve"> accordables. Cela pourrait ouvrir des perspectives intéressantes pour les capteurs </w:t>
      </w:r>
      <w:proofErr w:type="spellStart"/>
      <w:r>
        <w:t>plasmoniques</w:t>
      </w:r>
      <w:proofErr w:type="spellEnd"/>
      <w:r>
        <w:t xml:space="preserve"> large bande dans la gamme du moyen infrarouge.</w:t>
      </w:r>
    </w:p>
    <w:p w14:paraId="2112E900" w14:textId="77777777" w:rsidR="00A67375" w:rsidRDefault="00A67375" w:rsidP="00A67375"/>
    <w:p w14:paraId="6D816895" w14:textId="77777777" w:rsidR="00A67375" w:rsidRDefault="00A67375" w:rsidP="00A67375">
      <w:pPr>
        <w:pStyle w:val="Titre1"/>
      </w:pPr>
      <w:bookmarkStart w:id="3" w:name="_Toc207467517"/>
      <w:r>
        <w:t>Métamatériaux Hyperboliques</w:t>
      </w:r>
      <w:bookmarkEnd w:id="3"/>
    </w:p>
    <w:p w14:paraId="1CB9710E" w14:textId="18961631" w:rsidR="00A67375" w:rsidRPr="00880AA3" w:rsidRDefault="00A67375" w:rsidP="00A67375">
      <w:r>
        <w:t xml:space="preserve">Les métamatériaux hyperboliques (HMM) sont des structures multicouches </w:t>
      </w:r>
      <w:proofErr w:type="spellStart"/>
      <w:r>
        <w:t>uniaxialement</w:t>
      </w:r>
      <w:proofErr w:type="spellEnd"/>
      <w:r>
        <w:t xml:space="preserve"> anisotropes dont les permittivités diélectriques sont de signes opposés. Dans ce sujet, grâce à une forte collaboration avec le groupe </w:t>
      </w:r>
      <w:proofErr w:type="spellStart"/>
      <w:r>
        <w:t>Hétéroépitaxie</w:t>
      </w:r>
      <w:proofErr w:type="spellEnd"/>
      <w:r>
        <w:t xml:space="preserve"> et nanostructure, nous étudions le potentiel des oxydes fonctionnels fabriqués par croissance </w:t>
      </w:r>
      <w:proofErr w:type="spellStart"/>
      <w:r>
        <w:t>épitaxiale</w:t>
      </w:r>
      <w:proofErr w:type="spellEnd"/>
      <w:r>
        <w:t xml:space="preserve"> dans des structures multicouches. Le contrôle à l’échelle nanométrique du dopage et des épaisseurs des différentes couches minces permet un contrôle ultime du comportement hyperbolique résultant. De tels dispositifs présentent des opportunités intéressantes pour les applications telles que les lentilles plates ou le contrôle de l’émission spontanée.</w:t>
      </w:r>
    </w:p>
    <w:sectPr w:rsidR="00A67375" w:rsidRPr="00880AA3">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143F3" w14:textId="77777777" w:rsidR="001B5761" w:rsidRDefault="001B5761" w:rsidP="00D54EB9">
      <w:pPr>
        <w:spacing w:after="0" w:line="240" w:lineRule="auto"/>
      </w:pPr>
      <w:r>
        <w:separator/>
      </w:r>
    </w:p>
  </w:endnote>
  <w:endnote w:type="continuationSeparator" w:id="0">
    <w:p w14:paraId="4E4417B2" w14:textId="77777777" w:rsidR="001B5761" w:rsidRDefault="001B5761"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1443" w14:textId="77777777" w:rsidR="001B5761" w:rsidRDefault="001B5761" w:rsidP="00D54EB9">
      <w:pPr>
        <w:spacing w:after="0" w:line="240" w:lineRule="auto"/>
      </w:pPr>
      <w:r>
        <w:separator/>
      </w:r>
    </w:p>
  </w:footnote>
  <w:footnote w:type="continuationSeparator" w:id="0">
    <w:p w14:paraId="28F6E01F" w14:textId="77777777" w:rsidR="001B5761" w:rsidRDefault="001B5761"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93702E3" w:rsidR="00D54EB9" w:rsidRDefault="00D54EB9">
    <w:pPr>
      <w:pStyle w:val="En-tte"/>
    </w:pPr>
    <w:r>
      <w:t xml:space="preserve">PHYSIQUE – </w:t>
    </w:r>
    <w:proofErr w:type="spellStart"/>
    <w:r w:rsidR="00A67375" w:rsidRPr="00A67375">
      <w:t>Métasurfaces</w:t>
    </w:r>
    <w:proofErr w:type="spellEnd"/>
    <w:r w:rsidR="00A67375" w:rsidRPr="00A67375">
      <w:t xml:space="preserve"> et matériaux accordables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289097103">
    <w:abstractNumId w:val="5"/>
  </w:num>
  <w:num w:numId="2" w16cid:durableId="985860346">
    <w:abstractNumId w:val="7"/>
  </w:num>
  <w:num w:numId="3" w16cid:durableId="196166302">
    <w:abstractNumId w:val="9"/>
  </w:num>
  <w:num w:numId="4" w16cid:durableId="85611783">
    <w:abstractNumId w:val="6"/>
  </w:num>
  <w:num w:numId="5" w16cid:durableId="1764495135">
    <w:abstractNumId w:val="8"/>
  </w:num>
  <w:num w:numId="6" w16cid:durableId="9337082">
    <w:abstractNumId w:val="10"/>
  </w:num>
  <w:num w:numId="7" w16cid:durableId="1363626625">
    <w:abstractNumId w:val="0"/>
  </w:num>
  <w:num w:numId="8" w16cid:durableId="78605320">
    <w:abstractNumId w:val="1"/>
  </w:num>
  <w:num w:numId="9" w16cid:durableId="1745495026">
    <w:abstractNumId w:val="4"/>
  </w:num>
  <w:num w:numId="10" w16cid:durableId="1290820955">
    <w:abstractNumId w:val="3"/>
  </w:num>
  <w:num w:numId="11" w16cid:durableId="985741773">
    <w:abstractNumId w:val="2"/>
  </w:num>
  <w:num w:numId="12" w16cid:durableId="157624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B225C"/>
    <w:rsid w:val="001B5761"/>
    <w:rsid w:val="001D443E"/>
    <w:rsid w:val="0027206F"/>
    <w:rsid w:val="002E3539"/>
    <w:rsid w:val="00371451"/>
    <w:rsid w:val="00372046"/>
    <w:rsid w:val="00391031"/>
    <w:rsid w:val="003B22A5"/>
    <w:rsid w:val="004326FA"/>
    <w:rsid w:val="00521C27"/>
    <w:rsid w:val="00536250"/>
    <w:rsid w:val="005364F4"/>
    <w:rsid w:val="00552CCB"/>
    <w:rsid w:val="005954CB"/>
    <w:rsid w:val="005974A9"/>
    <w:rsid w:val="00634B4A"/>
    <w:rsid w:val="00674DD9"/>
    <w:rsid w:val="006766D4"/>
    <w:rsid w:val="006E1F77"/>
    <w:rsid w:val="00740465"/>
    <w:rsid w:val="007D3665"/>
    <w:rsid w:val="00880AA3"/>
    <w:rsid w:val="00975931"/>
    <w:rsid w:val="009C6666"/>
    <w:rsid w:val="009C6EA7"/>
    <w:rsid w:val="00A30394"/>
    <w:rsid w:val="00A67375"/>
    <w:rsid w:val="00BB135E"/>
    <w:rsid w:val="00C12FFF"/>
    <w:rsid w:val="00C54A6A"/>
    <w:rsid w:val="00C570D7"/>
    <w:rsid w:val="00C72B4C"/>
    <w:rsid w:val="00C76D87"/>
    <w:rsid w:val="00C90B8E"/>
    <w:rsid w:val="00CF6EF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587</Words>
  <Characters>3233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29</cp:revision>
  <dcterms:created xsi:type="dcterms:W3CDTF">2022-12-23T07:20:00Z</dcterms:created>
  <dcterms:modified xsi:type="dcterms:W3CDTF">2025-08-30T15:31:00Z</dcterms:modified>
</cp:coreProperties>
</file>