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74DC3F83" w:rsidR="00D078BD" w:rsidRDefault="00C76ADC" w:rsidP="00C76ADC">
      <w:pPr>
        <w:pStyle w:val="Titre"/>
        <w:rPr>
          <w:b/>
          <w:bCs/>
        </w:rPr>
      </w:pPr>
      <w:r w:rsidRPr="00C76ADC">
        <w:rPr>
          <w:b/>
          <w:bCs/>
        </w:rPr>
        <w:t>Radioactivité</w:t>
      </w:r>
    </w:p>
    <w:sdt>
      <w:sdtPr>
        <w:id w:val="91744640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ACDC521" w14:textId="45A75590" w:rsidR="00960BC2" w:rsidRDefault="00960BC2">
          <w:pPr>
            <w:pStyle w:val="En-ttedetabledesmatires"/>
          </w:pPr>
          <w:r>
            <w:t>Table des matières</w:t>
          </w:r>
        </w:p>
        <w:p w14:paraId="710C3B55" w14:textId="1C5DAD63" w:rsidR="00960BC2" w:rsidRDefault="00960BC2">
          <w:pPr>
            <w:pStyle w:val="TM1"/>
            <w:tabs>
              <w:tab w:val="right" w:leader="dot" w:pos="9062"/>
            </w:tabs>
            <w:rPr>
              <w:noProof/>
            </w:rPr>
          </w:pPr>
          <w:r>
            <w:fldChar w:fldCharType="begin"/>
          </w:r>
          <w:r>
            <w:instrText xml:space="preserve"> TOC \o "1-3" \h \z \u </w:instrText>
          </w:r>
          <w:r>
            <w:fldChar w:fldCharType="separate"/>
          </w:r>
          <w:hyperlink w:anchor="_Toc133070558" w:history="1">
            <w:r w:rsidRPr="00F2604C">
              <w:rPr>
                <w:rStyle w:val="Lienhypertexte"/>
                <w:b/>
                <w:bCs/>
                <w:noProof/>
              </w:rPr>
              <w:t>Introduction</w:t>
            </w:r>
            <w:r>
              <w:rPr>
                <w:noProof/>
                <w:webHidden/>
              </w:rPr>
              <w:tab/>
            </w:r>
            <w:r>
              <w:rPr>
                <w:noProof/>
                <w:webHidden/>
              </w:rPr>
              <w:fldChar w:fldCharType="begin"/>
            </w:r>
            <w:r>
              <w:rPr>
                <w:noProof/>
                <w:webHidden/>
              </w:rPr>
              <w:instrText xml:space="preserve"> PAGEREF _Toc133070558 \h </w:instrText>
            </w:r>
            <w:r>
              <w:rPr>
                <w:noProof/>
                <w:webHidden/>
              </w:rPr>
            </w:r>
            <w:r>
              <w:rPr>
                <w:noProof/>
                <w:webHidden/>
              </w:rPr>
              <w:fldChar w:fldCharType="separate"/>
            </w:r>
            <w:r>
              <w:rPr>
                <w:noProof/>
                <w:webHidden/>
              </w:rPr>
              <w:t>1</w:t>
            </w:r>
            <w:r>
              <w:rPr>
                <w:noProof/>
                <w:webHidden/>
              </w:rPr>
              <w:fldChar w:fldCharType="end"/>
            </w:r>
          </w:hyperlink>
        </w:p>
        <w:p w14:paraId="7D4D1334" w14:textId="4FC646E2" w:rsidR="00960BC2" w:rsidRDefault="00960BC2">
          <w:pPr>
            <w:pStyle w:val="TM1"/>
            <w:tabs>
              <w:tab w:val="right" w:leader="dot" w:pos="9062"/>
            </w:tabs>
            <w:rPr>
              <w:noProof/>
            </w:rPr>
          </w:pPr>
          <w:hyperlink w:anchor="_Toc133070559" w:history="1">
            <w:r w:rsidRPr="00F2604C">
              <w:rPr>
                <w:rStyle w:val="Lienhypertexte"/>
                <w:b/>
                <w:bCs/>
                <w:noProof/>
              </w:rPr>
              <w:t>Désintégration nucléaire (fission)</w:t>
            </w:r>
            <w:r>
              <w:rPr>
                <w:noProof/>
                <w:webHidden/>
              </w:rPr>
              <w:tab/>
            </w:r>
            <w:r>
              <w:rPr>
                <w:noProof/>
                <w:webHidden/>
              </w:rPr>
              <w:fldChar w:fldCharType="begin"/>
            </w:r>
            <w:r>
              <w:rPr>
                <w:noProof/>
                <w:webHidden/>
              </w:rPr>
              <w:instrText xml:space="preserve"> PAGEREF _Toc133070559 \h </w:instrText>
            </w:r>
            <w:r>
              <w:rPr>
                <w:noProof/>
                <w:webHidden/>
              </w:rPr>
            </w:r>
            <w:r>
              <w:rPr>
                <w:noProof/>
                <w:webHidden/>
              </w:rPr>
              <w:fldChar w:fldCharType="separate"/>
            </w:r>
            <w:r>
              <w:rPr>
                <w:noProof/>
                <w:webHidden/>
              </w:rPr>
              <w:t>1</w:t>
            </w:r>
            <w:r>
              <w:rPr>
                <w:noProof/>
                <w:webHidden/>
              </w:rPr>
              <w:fldChar w:fldCharType="end"/>
            </w:r>
          </w:hyperlink>
        </w:p>
        <w:p w14:paraId="10E6A9DB" w14:textId="5E036A76" w:rsidR="00960BC2" w:rsidRDefault="00960BC2">
          <w:pPr>
            <w:pStyle w:val="TM1"/>
            <w:tabs>
              <w:tab w:val="right" w:leader="dot" w:pos="9062"/>
            </w:tabs>
            <w:rPr>
              <w:noProof/>
            </w:rPr>
          </w:pPr>
          <w:hyperlink w:anchor="_Toc133070560" w:history="1">
            <w:r w:rsidRPr="00F2604C">
              <w:rPr>
                <w:rStyle w:val="Lienhypertexte"/>
                <w:b/>
                <w:bCs/>
                <w:noProof/>
              </w:rPr>
              <w:t>Radioélements</w:t>
            </w:r>
            <w:r>
              <w:rPr>
                <w:noProof/>
                <w:webHidden/>
              </w:rPr>
              <w:tab/>
            </w:r>
            <w:r>
              <w:rPr>
                <w:noProof/>
                <w:webHidden/>
              </w:rPr>
              <w:fldChar w:fldCharType="begin"/>
            </w:r>
            <w:r>
              <w:rPr>
                <w:noProof/>
                <w:webHidden/>
              </w:rPr>
              <w:instrText xml:space="preserve"> PAGEREF _Toc133070560 \h </w:instrText>
            </w:r>
            <w:r>
              <w:rPr>
                <w:noProof/>
                <w:webHidden/>
              </w:rPr>
            </w:r>
            <w:r>
              <w:rPr>
                <w:noProof/>
                <w:webHidden/>
              </w:rPr>
              <w:fldChar w:fldCharType="separate"/>
            </w:r>
            <w:r>
              <w:rPr>
                <w:noProof/>
                <w:webHidden/>
              </w:rPr>
              <w:t>3</w:t>
            </w:r>
            <w:r>
              <w:rPr>
                <w:noProof/>
                <w:webHidden/>
              </w:rPr>
              <w:fldChar w:fldCharType="end"/>
            </w:r>
          </w:hyperlink>
        </w:p>
        <w:p w14:paraId="7C0EE2B0" w14:textId="3FDB70BD" w:rsidR="00960BC2" w:rsidRDefault="00960BC2">
          <w:pPr>
            <w:pStyle w:val="TM1"/>
            <w:tabs>
              <w:tab w:val="right" w:leader="dot" w:pos="9062"/>
            </w:tabs>
            <w:rPr>
              <w:noProof/>
            </w:rPr>
          </w:pPr>
          <w:hyperlink w:anchor="_Toc133070561" w:history="1">
            <w:r w:rsidRPr="00F2604C">
              <w:rPr>
                <w:rStyle w:val="Lienhypertexte"/>
                <w:b/>
                <w:bCs/>
                <w:noProof/>
              </w:rPr>
              <w:t>Loi de désintégration radioactive</w:t>
            </w:r>
            <w:r>
              <w:rPr>
                <w:noProof/>
                <w:webHidden/>
              </w:rPr>
              <w:tab/>
            </w:r>
            <w:r>
              <w:rPr>
                <w:noProof/>
                <w:webHidden/>
              </w:rPr>
              <w:fldChar w:fldCharType="begin"/>
            </w:r>
            <w:r>
              <w:rPr>
                <w:noProof/>
                <w:webHidden/>
              </w:rPr>
              <w:instrText xml:space="preserve"> PAGEREF _Toc133070561 \h </w:instrText>
            </w:r>
            <w:r>
              <w:rPr>
                <w:noProof/>
                <w:webHidden/>
              </w:rPr>
            </w:r>
            <w:r>
              <w:rPr>
                <w:noProof/>
                <w:webHidden/>
              </w:rPr>
              <w:fldChar w:fldCharType="separate"/>
            </w:r>
            <w:r>
              <w:rPr>
                <w:noProof/>
                <w:webHidden/>
              </w:rPr>
              <w:t>3</w:t>
            </w:r>
            <w:r>
              <w:rPr>
                <w:noProof/>
                <w:webHidden/>
              </w:rPr>
              <w:fldChar w:fldCharType="end"/>
            </w:r>
          </w:hyperlink>
        </w:p>
        <w:p w14:paraId="621B799D" w14:textId="5EAD5614" w:rsidR="00960BC2" w:rsidRDefault="00960BC2">
          <w:pPr>
            <w:pStyle w:val="TM1"/>
            <w:tabs>
              <w:tab w:val="right" w:leader="dot" w:pos="9062"/>
            </w:tabs>
            <w:rPr>
              <w:noProof/>
            </w:rPr>
          </w:pPr>
          <w:hyperlink w:anchor="_Toc133070562" w:history="1">
            <w:r w:rsidRPr="00F2604C">
              <w:rPr>
                <w:rStyle w:val="Lienhypertexte"/>
                <w:b/>
                <w:bCs/>
                <w:noProof/>
              </w:rPr>
              <w:t>Interaction entre les rayonnements et la matière (rayonnement ionisant)</w:t>
            </w:r>
            <w:r>
              <w:rPr>
                <w:noProof/>
                <w:webHidden/>
              </w:rPr>
              <w:tab/>
            </w:r>
            <w:r>
              <w:rPr>
                <w:noProof/>
                <w:webHidden/>
              </w:rPr>
              <w:fldChar w:fldCharType="begin"/>
            </w:r>
            <w:r>
              <w:rPr>
                <w:noProof/>
                <w:webHidden/>
              </w:rPr>
              <w:instrText xml:space="preserve"> PAGEREF _Toc133070562 \h </w:instrText>
            </w:r>
            <w:r>
              <w:rPr>
                <w:noProof/>
                <w:webHidden/>
              </w:rPr>
            </w:r>
            <w:r>
              <w:rPr>
                <w:noProof/>
                <w:webHidden/>
              </w:rPr>
              <w:fldChar w:fldCharType="separate"/>
            </w:r>
            <w:r>
              <w:rPr>
                <w:noProof/>
                <w:webHidden/>
              </w:rPr>
              <w:t>4</w:t>
            </w:r>
            <w:r>
              <w:rPr>
                <w:noProof/>
                <w:webHidden/>
              </w:rPr>
              <w:fldChar w:fldCharType="end"/>
            </w:r>
          </w:hyperlink>
        </w:p>
        <w:p w14:paraId="43108FC7" w14:textId="3ACC2B56" w:rsidR="00960BC2" w:rsidRDefault="00960BC2">
          <w:r>
            <w:rPr>
              <w:b/>
              <w:bCs/>
            </w:rPr>
            <w:fldChar w:fldCharType="end"/>
          </w:r>
        </w:p>
      </w:sdtContent>
    </w:sdt>
    <w:p w14:paraId="407D8A0A" w14:textId="2B256871" w:rsidR="00C76ADC" w:rsidRDefault="00C76ADC" w:rsidP="00C76ADC"/>
    <w:p w14:paraId="5524837A" w14:textId="32508F75" w:rsidR="00C76ADC" w:rsidRPr="00C76ADC" w:rsidRDefault="00C76ADC" w:rsidP="00C76ADC">
      <w:pPr>
        <w:pStyle w:val="Titre1"/>
        <w:rPr>
          <w:b/>
          <w:bCs/>
        </w:rPr>
      </w:pPr>
      <w:bookmarkStart w:id="0" w:name="_Toc133070558"/>
      <w:r w:rsidRPr="00C76ADC">
        <w:rPr>
          <w:b/>
          <w:bCs/>
        </w:rPr>
        <w:t>Introduction</w:t>
      </w:r>
      <w:bookmarkEnd w:id="0"/>
    </w:p>
    <w:p w14:paraId="72314D68" w14:textId="4E90BF46" w:rsidR="006F5E90" w:rsidRPr="00FE77D8" w:rsidRDefault="006F5E90" w:rsidP="00FE77D8">
      <w:pPr>
        <w:jc w:val="both"/>
        <w:rPr>
          <w:rFonts w:ascii="Times New Roman" w:eastAsia="Times New Roman" w:hAnsi="Times New Roman" w:cs="Times New Roman"/>
          <w:sz w:val="24"/>
          <w:szCs w:val="24"/>
          <w:lang w:eastAsia="fr-FR"/>
        </w:rPr>
      </w:pPr>
      <w:r w:rsidRPr="00FE77D8">
        <w:rPr>
          <w:rFonts w:ascii="Times New Roman" w:eastAsia="Times New Roman" w:hAnsi="Times New Roman" w:cs="Times New Roman"/>
          <w:sz w:val="24"/>
          <w:szCs w:val="24"/>
          <w:lang w:eastAsia="fr-FR"/>
        </w:rPr>
        <w:t>La radioactivité est le phénomène physique par lequel des noyaux atomiques instables (dits radionucléides ou radioisotopes) se transforment spontanément en d'autres atomes (désintégration) en émettant simultanément des particules de matière (électrons, noyaux d'hélium, neutrons, etc.) et de l'énergie (photons et énergie cinétique).</w:t>
      </w:r>
    </w:p>
    <w:p w14:paraId="1ABC2D0B" w14:textId="7692D431" w:rsidR="003835FB" w:rsidRDefault="003835FB" w:rsidP="00FE77D8">
      <w:pPr>
        <w:pStyle w:val="NormalWeb"/>
        <w:jc w:val="both"/>
      </w:pPr>
      <w:r>
        <w:t xml:space="preserve">L'émission de particules matérielles et immatérielles est appelée rayonnement, et l'énergie des particules est suffisante pour entraîner l'ionisation de la matière traversée, d'où le nom de </w:t>
      </w:r>
      <w:r w:rsidRPr="00FE77D8">
        <w:t>rayonnements ionisants</w:t>
      </w:r>
      <w:r>
        <w:t xml:space="preserve">. On distingue classiquement les rayons α constitués de noyaux d'hélium (également appelés </w:t>
      </w:r>
      <w:r w:rsidRPr="00FE77D8">
        <w:t>particules α</w:t>
      </w:r>
      <w:r>
        <w:t>), les rayons β constitués d'électrons ou de positons (</w:t>
      </w:r>
      <w:r w:rsidRPr="00FE77D8">
        <w:t>particules β</w:t>
      </w:r>
      <w:r>
        <w:t xml:space="preserve">) et les </w:t>
      </w:r>
      <w:r w:rsidRPr="00FE77D8">
        <w:t>rayons γ</w:t>
      </w:r>
      <w:r>
        <w:t xml:space="preserve"> constitués de </w:t>
      </w:r>
      <w:r w:rsidRPr="00FE77D8">
        <w:t>photons</w:t>
      </w:r>
      <w:r>
        <w:t xml:space="preserve">, auxquels il faut ajouter les neutrons qui dérivent des </w:t>
      </w:r>
      <w:r w:rsidRPr="00FE77D8">
        <w:t>fissions spontanées</w:t>
      </w:r>
      <w:r>
        <w:t xml:space="preserve">. </w:t>
      </w:r>
    </w:p>
    <w:p w14:paraId="4018CC66" w14:textId="0C1F66D0" w:rsidR="003835FB" w:rsidRDefault="003835FB" w:rsidP="00FE77D8">
      <w:pPr>
        <w:pStyle w:val="NormalWeb"/>
        <w:jc w:val="both"/>
      </w:pPr>
      <w:r>
        <w:t>Les effets sur un organisme vivant d'une exposition aux rayonnements ionisants (</w:t>
      </w:r>
      <w:r w:rsidRPr="00FE77D8">
        <w:t>irradiation</w:t>
      </w:r>
      <w:r>
        <w:t xml:space="preserve">) dépendent du niveau et de la durée de l'exposition (aiguë ou chronique), de la nature du </w:t>
      </w:r>
      <w:r w:rsidRPr="00FE77D8">
        <w:t>rayonnement</w:t>
      </w:r>
      <w:r>
        <w:t xml:space="preserve"> ainsi que de la localisation de la radioactivité (exposition externe, interne, en surface, etc.). </w:t>
      </w:r>
    </w:p>
    <w:p w14:paraId="126630E3" w14:textId="784DE89D" w:rsidR="003835FB" w:rsidRDefault="003835FB" w:rsidP="00FE77D8">
      <w:pPr>
        <w:pStyle w:val="NormalWeb"/>
        <w:jc w:val="both"/>
      </w:pPr>
      <w:r>
        <w:t xml:space="preserve">Les rayonnements provenant de substances radioactives sont largement utilisés dans l'industrie pour le contrôle de pièces manufacturées, les soudures, l'usure, et en médecine nucléaire à des fins de diagnostic à </w:t>
      </w:r>
      <w:r w:rsidRPr="00FE77D8">
        <w:t>faible dose</w:t>
      </w:r>
      <w:r>
        <w:t>, et à des fins thérapeutiques à forte dose pour soigner les cancers.</w:t>
      </w:r>
    </w:p>
    <w:p w14:paraId="729AB32D" w14:textId="767B9E2A" w:rsidR="00FE77D8" w:rsidRPr="00FE77D8" w:rsidRDefault="00FE77D8" w:rsidP="00FE77D8">
      <w:pPr>
        <w:pStyle w:val="Titre1"/>
        <w:rPr>
          <w:b/>
          <w:bCs/>
        </w:rPr>
      </w:pPr>
      <w:bookmarkStart w:id="1" w:name="_Toc133070559"/>
      <w:r w:rsidRPr="00FE77D8">
        <w:rPr>
          <w:rStyle w:val="mw-headline"/>
          <w:b/>
          <w:bCs/>
        </w:rPr>
        <w:t>Désintégration nucléaire</w:t>
      </w:r>
      <w:r w:rsidR="00FF726B">
        <w:rPr>
          <w:rStyle w:val="mw-headline"/>
          <w:b/>
          <w:bCs/>
        </w:rPr>
        <w:t xml:space="preserve"> (fission)</w:t>
      </w:r>
      <w:bookmarkEnd w:id="1"/>
    </w:p>
    <w:p w14:paraId="19D2956E" w14:textId="0C6588F4" w:rsidR="00FE77D8" w:rsidRPr="00FE77D8" w:rsidRDefault="00FE77D8" w:rsidP="00FE77D8">
      <w:pPr>
        <w:jc w:val="both"/>
        <w:rPr>
          <w:rFonts w:ascii="Times New Roman" w:eastAsia="Times New Roman" w:hAnsi="Times New Roman" w:cs="Times New Roman"/>
          <w:sz w:val="24"/>
          <w:szCs w:val="24"/>
          <w:lang w:eastAsia="fr-FR"/>
        </w:rPr>
      </w:pPr>
      <w:r>
        <w:rPr>
          <w:noProof/>
          <w:color w:val="0000FF"/>
        </w:rPr>
        <w:drawing>
          <wp:anchor distT="0" distB="0" distL="114300" distR="114300" simplePos="0" relativeHeight="251658240" behindDoc="0" locked="0" layoutInCell="1" allowOverlap="1" wp14:anchorId="6F1014A0" wp14:editId="7BAA8E14">
            <wp:simplePos x="0" y="0"/>
            <wp:positionH relativeFrom="margin">
              <wp:posOffset>4656455</wp:posOffset>
            </wp:positionH>
            <wp:positionV relativeFrom="paragraph">
              <wp:posOffset>61595</wp:posOffset>
            </wp:positionV>
            <wp:extent cx="1778000" cy="1778000"/>
            <wp:effectExtent l="0" t="0" r="0" b="0"/>
            <wp:wrapSquare wrapText="bothSides"/>
            <wp:docPr id="2" name="Imag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8000" cy="177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77D8">
        <w:rPr>
          <w:rFonts w:ascii="Times New Roman" w:eastAsia="Times New Roman" w:hAnsi="Times New Roman" w:cs="Times New Roman"/>
          <w:sz w:val="24"/>
          <w:szCs w:val="24"/>
          <w:lang w:eastAsia="fr-FR"/>
        </w:rPr>
        <w:t xml:space="preserve">La « désintégration » (en physique, elle correspond à la transformation de la matière en énergie) d'un noyau radioactif peut entraîner l'émission de rayonnement α, β− ou β+. Ces désintégrations sont souvent accompagnées de l'émission de photons de haute énergie ou rayons γ, dont les longueurs d'onde sont généralement encore plus courtes que celles des rayons X, étant de l'ordre de 10−11 m ou inférieures. Cette émission gamma ( γ ) résulte de l'émission de photons lors de transitions nucléaires : du réarrangement des charges internes du noyau nouvellement formé, ou bien de la couche profonde du cortège électronique perturbé, à partir de niveaux d'énergie excités avec des énergies mises en jeu de l'ordre du MeV. </w:t>
      </w:r>
    </w:p>
    <w:p w14:paraId="71471B7C" w14:textId="2F051608" w:rsidR="00FE77D8" w:rsidRDefault="00FE77D8" w:rsidP="00FE77D8">
      <w:pPr>
        <w:pStyle w:val="NormalWeb"/>
        <w:jc w:val="both"/>
      </w:pPr>
      <w:r>
        <w:lastRenderedPageBreak/>
        <w:t xml:space="preserve">Les principaux modes de désintégration sont la </w:t>
      </w:r>
      <w:r w:rsidRPr="00FE77D8">
        <w:t>désintégration α</w:t>
      </w:r>
      <w:r>
        <w:t xml:space="preserve">, la </w:t>
      </w:r>
      <w:r w:rsidRPr="00FE77D8">
        <w:t>désintégration β−</w:t>
      </w:r>
      <w:r>
        <w:t xml:space="preserve"> et la </w:t>
      </w:r>
      <w:r w:rsidRPr="00FE77D8">
        <w:t>désintégration ε</w:t>
      </w:r>
      <w:r>
        <w:t xml:space="preserve">. D'autres modes concernent surtout des </w:t>
      </w:r>
      <w:r w:rsidRPr="00FE77D8">
        <w:t>nucléides synthétiques</w:t>
      </w:r>
      <w:r>
        <w:t xml:space="preserve"> : la </w:t>
      </w:r>
      <w:r w:rsidRPr="00FE77D8">
        <w:t>désintégration β+</w:t>
      </w:r>
      <w:r>
        <w:t>, l'</w:t>
      </w:r>
      <w:r w:rsidRPr="00FE77D8">
        <w:t>émission de neutrons</w:t>
      </w:r>
      <w:r>
        <w:t>, l'</w:t>
      </w:r>
      <w:r w:rsidRPr="00FE77D8">
        <w:t>émission de protons</w:t>
      </w:r>
      <w:r>
        <w:t xml:space="preserve"> et la </w:t>
      </w:r>
      <w:r w:rsidRPr="00FE77D8">
        <w:t>fission spontanée</w:t>
      </w:r>
      <w:r>
        <w:t xml:space="preserve">. Par ailleurs la </w:t>
      </w:r>
      <w:r w:rsidRPr="00FE77D8">
        <w:t>radioactivité γ</w:t>
      </w:r>
      <w:r>
        <w:t xml:space="preserve">, qui n'est pas due à une désintégration à proprement parler mais à une </w:t>
      </w:r>
      <w:r w:rsidRPr="00FE77D8">
        <w:t>transition nucléaire</w:t>
      </w:r>
      <w:r>
        <w:t xml:space="preserve">, accompagne souvent les différents modes de désintégration. </w:t>
      </w:r>
    </w:p>
    <w:p w14:paraId="0AB55376" w14:textId="5E8A40C2" w:rsidR="00FE77D8" w:rsidRPr="00FE77D8" w:rsidRDefault="00FE77D8" w:rsidP="00FE77D8">
      <w:pPr>
        <w:numPr>
          <w:ilvl w:val="0"/>
          <w:numId w:val="1"/>
        </w:numPr>
        <w:spacing w:before="100" w:beforeAutospacing="1" w:after="0" w:afterAutospacing="1" w:line="240" w:lineRule="auto"/>
        <w:jc w:val="both"/>
      </w:pPr>
      <w:r>
        <w:rPr>
          <w:noProof/>
        </w:rPr>
        <w:drawing>
          <wp:anchor distT="0" distB="0" distL="114300" distR="114300" simplePos="0" relativeHeight="251660288" behindDoc="0" locked="0" layoutInCell="1" allowOverlap="1" wp14:anchorId="47A746A6" wp14:editId="152307B7">
            <wp:simplePos x="0" y="0"/>
            <wp:positionH relativeFrom="column">
              <wp:posOffset>440055</wp:posOffset>
            </wp:positionH>
            <wp:positionV relativeFrom="paragraph">
              <wp:posOffset>460375</wp:posOffset>
            </wp:positionV>
            <wp:extent cx="1244600" cy="25400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4600" cy="254000"/>
                    </a:xfrm>
                    <a:prstGeom prst="rect">
                      <a:avLst/>
                    </a:prstGeom>
                    <a:noFill/>
                    <a:ln>
                      <a:noFill/>
                    </a:ln>
                  </pic:spPr>
                </pic:pic>
              </a:graphicData>
            </a:graphic>
          </wp:anchor>
        </w:drawing>
      </w:r>
      <w:r w:rsidRPr="00FE77D8">
        <w:rPr>
          <w:rFonts w:ascii="Times New Roman" w:eastAsia="Times New Roman" w:hAnsi="Times New Roman" w:cs="Times New Roman"/>
          <w:sz w:val="24"/>
          <w:szCs w:val="24"/>
          <w:lang w:eastAsia="fr-FR"/>
        </w:rPr>
        <w:t xml:space="preserve">La désintégration α (alpha) se caractérise par l'émission d'un noyau d'hélium 4, qualifié dans ce contexte de particule α. </w:t>
      </w:r>
    </w:p>
    <w:p w14:paraId="0EBE0F4C" w14:textId="09A1DC47" w:rsidR="00FE77D8" w:rsidRPr="00FE77D8" w:rsidRDefault="00FE77D8" w:rsidP="00FE77D8">
      <w:pPr>
        <w:spacing w:before="100" w:beforeAutospacing="1" w:after="0" w:afterAutospacing="1" w:line="240" w:lineRule="auto"/>
        <w:ind w:left="720"/>
        <w:jc w:val="both"/>
        <w:rPr>
          <w:rFonts w:ascii="Times New Roman" w:eastAsia="Times New Roman" w:hAnsi="Times New Roman" w:cs="Times New Roman"/>
          <w:sz w:val="24"/>
          <w:szCs w:val="24"/>
          <w:lang w:eastAsia="fr-FR"/>
        </w:rPr>
      </w:pPr>
      <w:r w:rsidRPr="00FE77D8">
        <w:rPr>
          <w:rFonts w:ascii="Times New Roman" w:eastAsia="Times New Roman" w:hAnsi="Times New Roman" w:cs="Times New Roman"/>
          <w:sz w:val="24"/>
          <w:szCs w:val="24"/>
          <w:lang w:eastAsia="fr-FR"/>
        </w:rPr>
        <w:t>La particule α, de charge 2e (où e désigne la charge élémentaire), emporte sous forme d'énergie cinétique une fraction de l'énergie de masse libérée par la désintégration.</w:t>
      </w:r>
    </w:p>
    <w:p w14:paraId="61FBEE28" w14:textId="1ACE3F58" w:rsidR="00FE77D8" w:rsidRDefault="00FE77D8" w:rsidP="00FE77D8">
      <w:pPr>
        <w:numPr>
          <w:ilvl w:val="0"/>
          <w:numId w:val="2"/>
        </w:numPr>
        <w:spacing w:before="100" w:beforeAutospacing="1" w:after="0" w:afterAutospacing="1" w:line="240" w:lineRule="auto"/>
        <w:jc w:val="both"/>
      </w:pPr>
      <w:r>
        <w:rPr>
          <w:noProof/>
        </w:rPr>
        <w:drawing>
          <wp:anchor distT="0" distB="0" distL="114300" distR="114300" simplePos="0" relativeHeight="251659264" behindDoc="0" locked="0" layoutInCell="1" allowOverlap="1" wp14:anchorId="53A1654E" wp14:editId="2AC22158">
            <wp:simplePos x="0" y="0"/>
            <wp:positionH relativeFrom="column">
              <wp:posOffset>440055</wp:posOffset>
            </wp:positionH>
            <wp:positionV relativeFrom="paragraph">
              <wp:posOffset>534035</wp:posOffset>
            </wp:positionV>
            <wp:extent cx="1568450" cy="330200"/>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8450" cy="330200"/>
                    </a:xfrm>
                    <a:prstGeom prst="rect">
                      <a:avLst/>
                    </a:prstGeom>
                    <a:noFill/>
                    <a:ln>
                      <a:noFill/>
                    </a:ln>
                  </pic:spPr>
                </pic:pic>
              </a:graphicData>
            </a:graphic>
          </wp:anchor>
        </w:drawing>
      </w:r>
      <w:r w:rsidRPr="00FE77D8">
        <w:rPr>
          <w:rFonts w:ascii="Times New Roman" w:eastAsia="Times New Roman" w:hAnsi="Times New Roman" w:cs="Times New Roman"/>
          <w:sz w:val="24"/>
          <w:szCs w:val="24"/>
          <w:lang w:eastAsia="fr-FR"/>
        </w:rPr>
        <w:t xml:space="preserve">La désintégration β− (bêta moins) se caractérise par l'émission d'un électron (particule β−), mais aussi par celle d'un antineutrino électronique (conservation du nombre leptonique). </w:t>
      </w:r>
    </w:p>
    <w:p w14:paraId="5B97D6AF" w14:textId="1491F604" w:rsidR="00FE77D8" w:rsidRPr="00FE77D8" w:rsidRDefault="00FE77D8" w:rsidP="00FE77D8">
      <w:pPr>
        <w:numPr>
          <w:ilvl w:val="0"/>
          <w:numId w:val="2"/>
        </w:numPr>
        <w:spacing w:before="100" w:beforeAutospacing="1" w:after="0" w:afterAutospacing="1" w:line="240" w:lineRule="auto"/>
        <w:jc w:val="both"/>
        <w:rPr>
          <w:rFonts w:ascii="Times New Roman" w:eastAsia="Times New Roman" w:hAnsi="Times New Roman" w:cs="Times New Roman"/>
          <w:sz w:val="24"/>
          <w:szCs w:val="24"/>
          <w:lang w:eastAsia="fr-FR"/>
        </w:rPr>
      </w:pPr>
      <w:r w:rsidRPr="00FE77D8">
        <w:rPr>
          <w:rFonts w:ascii="Times New Roman" w:eastAsia="Times New Roman" w:hAnsi="Times New Roman" w:cs="Times New Roman"/>
          <w:noProof/>
          <w:sz w:val="24"/>
          <w:szCs w:val="24"/>
          <w:lang w:eastAsia="fr-FR"/>
        </w:rPr>
        <w:drawing>
          <wp:anchor distT="0" distB="0" distL="114300" distR="114300" simplePos="0" relativeHeight="251661312" behindDoc="0" locked="0" layoutInCell="1" allowOverlap="1" wp14:anchorId="7453259B" wp14:editId="295DE9C9">
            <wp:simplePos x="0" y="0"/>
            <wp:positionH relativeFrom="column">
              <wp:posOffset>433705</wp:posOffset>
            </wp:positionH>
            <wp:positionV relativeFrom="paragraph">
              <wp:posOffset>865505</wp:posOffset>
            </wp:positionV>
            <wp:extent cx="1625600" cy="25400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254000"/>
                    </a:xfrm>
                    <a:prstGeom prst="rect">
                      <a:avLst/>
                    </a:prstGeom>
                    <a:noFill/>
                    <a:ln>
                      <a:noFill/>
                    </a:ln>
                  </pic:spPr>
                </pic:pic>
              </a:graphicData>
            </a:graphic>
          </wp:anchor>
        </w:drawing>
      </w:r>
      <w:r w:rsidRPr="00FE77D8">
        <w:rPr>
          <w:rFonts w:ascii="Times New Roman" w:eastAsia="Times New Roman" w:hAnsi="Times New Roman" w:cs="Times New Roman"/>
          <w:sz w:val="24"/>
          <w:szCs w:val="24"/>
          <w:lang w:eastAsia="fr-FR"/>
        </w:rPr>
        <w:t xml:space="preserve">La désintégration ε (epsilon), ou capture électronique, est la capture par le noyau d'un électron de son cortège électronique, qui s'accompagne de l'émission d'un neutrino électronique (conservation du nombre leptonique). </w:t>
      </w:r>
    </w:p>
    <w:p w14:paraId="7F23E3B0" w14:textId="4CC5FAD6" w:rsidR="00FE77D8" w:rsidRPr="00FE77D8" w:rsidRDefault="00FE77D8" w:rsidP="00FE77D8">
      <w:pPr>
        <w:numPr>
          <w:ilvl w:val="0"/>
          <w:numId w:val="4"/>
        </w:numPr>
        <w:spacing w:before="100" w:beforeAutospacing="1" w:after="0" w:afterAutospacing="1" w:line="240" w:lineRule="auto"/>
        <w:jc w:val="both"/>
        <w:rPr>
          <w:rFonts w:ascii="Times New Roman" w:eastAsia="Times New Roman" w:hAnsi="Times New Roman" w:cs="Times New Roman"/>
          <w:sz w:val="24"/>
          <w:szCs w:val="24"/>
          <w:lang w:eastAsia="fr-FR"/>
        </w:rPr>
      </w:pPr>
      <w:r w:rsidRPr="00FE77D8">
        <w:rPr>
          <w:rFonts w:ascii="Times New Roman" w:eastAsia="Times New Roman" w:hAnsi="Times New Roman" w:cs="Times New Roman"/>
          <w:sz w:val="24"/>
          <w:szCs w:val="24"/>
          <w:lang w:eastAsia="fr-FR"/>
        </w:rPr>
        <w:t xml:space="preserve">La désintégration β+ (bêta plus) se caractérise par l'émission d'un positon (particule β+), mais aussi par celle d'un neutrino électronique (conservation du nombre leptonique). </w:t>
      </w:r>
      <w:r w:rsidRPr="00FE77D8">
        <w:rPr>
          <w:rFonts w:ascii="Times New Roman" w:eastAsia="Times New Roman" w:hAnsi="Times New Roman" w:cs="Times New Roman"/>
          <w:noProof/>
          <w:sz w:val="24"/>
          <w:szCs w:val="24"/>
          <w:lang w:eastAsia="fr-FR"/>
        </w:rPr>
        <w:drawing>
          <wp:inline distT="0" distB="0" distL="0" distR="0" wp14:anchorId="38FBFB1E" wp14:editId="2C865A75">
            <wp:extent cx="1555750" cy="254000"/>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5750" cy="254000"/>
                    </a:xfrm>
                    <a:prstGeom prst="rect">
                      <a:avLst/>
                    </a:prstGeom>
                    <a:noFill/>
                    <a:ln>
                      <a:noFill/>
                    </a:ln>
                  </pic:spPr>
                </pic:pic>
              </a:graphicData>
            </a:graphic>
          </wp:inline>
        </w:drawing>
      </w:r>
    </w:p>
    <w:p w14:paraId="5A23291F" w14:textId="2A1B16DF" w:rsidR="00FE77D8" w:rsidRPr="00FE77D8" w:rsidRDefault="00FE77D8" w:rsidP="00FE77D8">
      <w:pPr>
        <w:numPr>
          <w:ilvl w:val="0"/>
          <w:numId w:val="4"/>
        </w:numPr>
        <w:spacing w:before="100" w:beforeAutospacing="1" w:after="0" w:afterAutospacing="1" w:line="240" w:lineRule="auto"/>
        <w:rPr>
          <w:rFonts w:ascii="Times New Roman" w:eastAsia="Times New Roman" w:hAnsi="Times New Roman" w:cs="Times New Roman"/>
          <w:sz w:val="24"/>
          <w:szCs w:val="24"/>
          <w:lang w:eastAsia="fr-FR"/>
        </w:rPr>
      </w:pPr>
      <w:r w:rsidRPr="00FE77D8">
        <w:rPr>
          <w:rFonts w:ascii="Times New Roman" w:eastAsia="Times New Roman" w:hAnsi="Times New Roman" w:cs="Times New Roman"/>
          <w:sz w:val="24"/>
          <w:szCs w:val="24"/>
          <w:lang w:eastAsia="fr-FR"/>
        </w:rPr>
        <w:t>L'émission de neutrons se caractérise par l'émission d'un ou plusieurs neutrons.</w:t>
      </w:r>
      <w:r w:rsidRPr="00FE77D8">
        <w:rPr>
          <w:rFonts w:ascii="Times New Roman" w:eastAsia="Times New Roman" w:hAnsi="Times New Roman" w:cs="Times New Roman"/>
          <w:noProof/>
          <w:sz w:val="24"/>
          <w:szCs w:val="24"/>
          <w:lang w:eastAsia="fr-FR"/>
        </w:rPr>
        <w:drawing>
          <wp:inline distT="0" distB="0" distL="0" distR="0" wp14:anchorId="5D2D8ACF" wp14:editId="2CF9D0E4">
            <wp:extent cx="1301750" cy="2857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1750" cy="285750"/>
                    </a:xfrm>
                    <a:prstGeom prst="rect">
                      <a:avLst/>
                    </a:prstGeom>
                    <a:noFill/>
                    <a:ln>
                      <a:noFill/>
                    </a:ln>
                  </pic:spPr>
                </pic:pic>
              </a:graphicData>
            </a:graphic>
          </wp:inline>
        </w:drawing>
      </w:r>
    </w:p>
    <w:p w14:paraId="7A49D9B4" w14:textId="7B818B17" w:rsidR="00FE77D8" w:rsidRDefault="00FE77D8" w:rsidP="00FE77D8">
      <w:pPr>
        <w:numPr>
          <w:ilvl w:val="0"/>
          <w:numId w:val="4"/>
        </w:numPr>
        <w:spacing w:before="100" w:beforeAutospacing="1" w:after="0" w:afterAutospacing="1" w:line="240" w:lineRule="auto"/>
      </w:pPr>
      <w:r w:rsidRPr="00FE77D8">
        <w:rPr>
          <w:rFonts w:ascii="Times New Roman" w:eastAsia="Times New Roman" w:hAnsi="Times New Roman" w:cs="Times New Roman"/>
          <w:sz w:val="24"/>
          <w:szCs w:val="24"/>
          <w:lang w:eastAsia="fr-FR"/>
        </w:rPr>
        <w:t>L'émission de protons se caractérise par l'émission d'un ou deux protons</w:t>
      </w:r>
      <w:r>
        <w:t xml:space="preserve">. </w:t>
      </w:r>
      <w:r>
        <w:rPr>
          <w:noProof/>
        </w:rPr>
        <w:drawing>
          <wp:inline distT="0" distB="0" distL="0" distR="0" wp14:anchorId="1B7897D0" wp14:editId="7C41007C">
            <wp:extent cx="1346200" cy="292100"/>
            <wp:effectExtent l="0" t="0" r="635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46200" cy="292100"/>
                    </a:xfrm>
                    <a:prstGeom prst="rect">
                      <a:avLst/>
                    </a:prstGeom>
                    <a:noFill/>
                    <a:ln>
                      <a:noFill/>
                    </a:ln>
                  </pic:spPr>
                </pic:pic>
              </a:graphicData>
            </a:graphic>
          </wp:inline>
        </w:drawing>
      </w:r>
    </w:p>
    <w:p w14:paraId="66CC1087" w14:textId="60CD1B77" w:rsidR="00FE77D8" w:rsidRPr="00550C8D" w:rsidRDefault="00FE77D8" w:rsidP="00550C8D">
      <w:pPr>
        <w:numPr>
          <w:ilvl w:val="0"/>
          <w:numId w:val="4"/>
        </w:numPr>
        <w:spacing w:before="100" w:beforeAutospacing="1" w:after="0" w:afterAutospacing="1" w:line="240" w:lineRule="auto"/>
        <w:jc w:val="both"/>
        <w:rPr>
          <w:rFonts w:ascii="Times New Roman" w:eastAsia="Times New Roman" w:hAnsi="Times New Roman" w:cs="Times New Roman"/>
          <w:sz w:val="24"/>
          <w:szCs w:val="24"/>
          <w:lang w:eastAsia="fr-FR"/>
        </w:rPr>
      </w:pPr>
      <w:r w:rsidRPr="00550C8D">
        <w:rPr>
          <w:rFonts w:ascii="Times New Roman" w:eastAsia="Times New Roman" w:hAnsi="Times New Roman" w:cs="Times New Roman"/>
          <w:sz w:val="24"/>
          <w:szCs w:val="24"/>
          <w:lang w:eastAsia="fr-FR"/>
        </w:rPr>
        <w:t>La fission spontanée se caractérise par la fragmentation du noyau en au moins deux noyaux plus légers, accompagnée par l'émission d'un ou plusieurs neutrons.</w:t>
      </w:r>
    </w:p>
    <w:p w14:paraId="41C7050A" w14:textId="65734719" w:rsidR="00550C8D" w:rsidRPr="00550C8D" w:rsidRDefault="00FE77D8" w:rsidP="001F45F3">
      <w:pPr>
        <w:numPr>
          <w:ilvl w:val="0"/>
          <w:numId w:val="8"/>
        </w:numPr>
        <w:spacing w:before="100" w:beforeAutospacing="1" w:after="0" w:afterAutospacing="1" w:line="240" w:lineRule="auto"/>
        <w:jc w:val="both"/>
      </w:pPr>
      <w:r w:rsidRPr="00550C8D">
        <w:rPr>
          <w:rFonts w:ascii="Times New Roman" w:eastAsia="Times New Roman" w:hAnsi="Times New Roman" w:cs="Times New Roman"/>
          <w:sz w:val="24"/>
          <w:szCs w:val="24"/>
          <w:lang w:eastAsia="fr-FR"/>
        </w:rPr>
        <w:t>La radioactivité γ (gamma)</w:t>
      </w:r>
      <w:r w:rsidR="00550C8D">
        <w:rPr>
          <w:rFonts w:ascii="Times New Roman" w:eastAsia="Times New Roman" w:hAnsi="Times New Roman" w:cs="Times New Roman"/>
          <w:sz w:val="24"/>
          <w:szCs w:val="24"/>
          <w:lang w:eastAsia="fr-FR"/>
        </w:rPr>
        <w:t>.</w:t>
      </w:r>
    </w:p>
    <w:p w14:paraId="2674FD8C" w14:textId="74D20613" w:rsidR="00FE77D8" w:rsidRPr="00550C8D" w:rsidRDefault="00550C8D" w:rsidP="00550C8D">
      <w:pPr>
        <w:spacing w:before="100" w:beforeAutospacing="1" w:after="0" w:afterAutospacing="1" w:line="240" w:lineRule="auto"/>
        <w:jc w:val="both"/>
        <w:rPr>
          <w:rFonts w:ascii="Times New Roman" w:eastAsia="Times New Roman" w:hAnsi="Times New Roman" w:cs="Times New Roman"/>
          <w:sz w:val="24"/>
          <w:szCs w:val="24"/>
          <w:lang w:eastAsia="fr-FR"/>
        </w:rPr>
      </w:pPr>
      <w:r w:rsidRPr="00550C8D">
        <w:rPr>
          <w:rFonts w:ascii="Times New Roman" w:eastAsia="Times New Roman" w:hAnsi="Times New Roman" w:cs="Times New Roman"/>
          <w:noProof/>
          <w:sz w:val="24"/>
          <w:szCs w:val="24"/>
          <w:lang w:eastAsia="fr-FR"/>
        </w:rPr>
        <w:lastRenderedPageBreak/>
        <w:drawing>
          <wp:anchor distT="0" distB="0" distL="114300" distR="114300" simplePos="0" relativeHeight="251662336" behindDoc="0" locked="0" layoutInCell="1" allowOverlap="1" wp14:anchorId="56F43B7B" wp14:editId="4C66EEDB">
            <wp:simplePos x="0" y="0"/>
            <wp:positionH relativeFrom="column">
              <wp:posOffset>3957320</wp:posOffset>
            </wp:positionH>
            <wp:positionV relativeFrom="paragraph">
              <wp:posOffset>32385</wp:posOffset>
            </wp:positionV>
            <wp:extent cx="2427605" cy="3479800"/>
            <wp:effectExtent l="0" t="0" r="0" b="6350"/>
            <wp:wrapSquare wrapText="bothSides"/>
            <wp:docPr id="1" name="Imag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7605" cy="347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77D8" w:rsidRPr="00550C8D">
        <w:rPr>
          <w:rFonts w:ascii="Times New Roman" w:eastAsia="Times New Roman" w:hAnsi="Times New Roman" w:cs="Times New Roman"/>
          <w:sz w:val="24"/>
          <w:szCs w:val="24"/>
          <w:lang w:eastAsia="fr-FR"/>
        </w:rPr>
        <w:t xml:space="preserve">Le mode de désintégration d'un nucléide radioactif dépend de sa position par rapport aux nucléides (stables ou moins instables) de la vallée de stabilité les plus proches de lui dans le tableau Z-N (figure ci-contre). D'une façon générale, les nucléides situés à gauche de la vallée ont trop de neutrons (en comparaison de leur nombre de protons) et subissent une désintégration β− ; les nucléides situés à droite sont excédentaires en protons et subissent une désintégration ε (capture électronique) ou plus rarement une désintégration β+ ; les nucléides de masse atomique supérieure à 208 et proches de la vallée subissent une désintégration α. Il y a diverses exceptions, qui s'expliquent notamment par des considérations de cinétique. </w:t>
      </w:r>
    </w:p>
    <w:p w14:paraId="712FA39F" w14:textId="712767B0" w:rsidR="00FE77D8" w:rsidRDefault="00FE77D8" w:rsidP="00D90C02">
      <w:pPr>
        <w:pStyle w:val="NormalWeb"/>
        <w:jc w:val="both"/>
      </w:pPr>
      <w:r>
        <w:t>Les désintégrations α, β</w:t>
      </w:r>
      <w:r w:rsidRPr="00550C8D">
        <w:t>−</w:t>
      </w:r>
      <w:r>
        <w:t xml:space="preserve"> et β</w:t>
      </w:r>
      <w:r w:rsidRPr="00550C8D">
        <w:t>+</w:t>
      </w:r>
      <w:r>
        <w:t xml:space="preserve"> sont souvent accompagnées de l'émission de photons de haute énergie ou </w:t>
      </w:r>
      <w:r w:rsidRPr="00550C8D">
        <w:t>rayons gamma</w:t>
      </w:r>
      <w:r>
        <w:t xml:space="preserve">, dont les longueurs d'onde sont généralement encore plus courtes que celles des </w:t>
      </w:r>
      <w:r w:rsidRPr="00550C8D">
        <w:t>rayons X</w:t>
      </w:r>
      <w:r>
        <w:t>, étant de l'ordre de 10</w:t>
      </w:r>
      <w:r w:rsidRPr="00550C8D">
        <w:rPr>
          <w:vertAlign w:val="superscript"/>
        </w:rPr>
        <w:t>−9</w:t>
      </w:r>
      <w:r>
        <w:t> m ou inférieures. Cette émission gamma (γ) résulte de transitions à partir de niveaux d'énergie excités du noyau. Le spectre émis est un spectre de raies qualitativement comparable aux spectres infrarouge, optique et ultraviolet qui résultent des transitions entre les différents niveaux d'énergie dans les atomes, mais quantitativement la différence provient du fait que les énergies mises en jeu dans le cortège électronique des atomes sont de l'ordre de l'</w:t>
      </w:r>
      <w:r w:rsidRPr="00550C8D">
        <w:t>électron-volt</w:t>
      </w:r>
      <w:r>
        <w:t xml:space="preserve"> (eV), alors que dans les noyaux atomiques elles sont environ un million de fois plus élevées et de l'ordre du </w:t>
      </w:r>
      <w:r w:rsidRPr="00550C8D">
        <w:t>MeV</w:t>
      </w:r>
      <w:r>
        <w:t xml:space="preserve">. </w:t>
      </w:r>
    </w:p>
    <w:p w14:paraId="14B8FBDC" w14:textId="77777777" w:rsidR="00CD3710" w:rsidRPr="00CD3710" w:rsidRDefault="00CD3710" w:rsidP="00CD3710">
      <w:pPr>
        <w:pStyle w:val="Titre1"/>
        <w:rPr>
          <w:b/>
          <w:bCs/>
        </w:rPr>
      </w:pPr>
      <w:bookmarkStart w:id="2" w:name="_Toc133070560"/>
      <w:r w:rsidRPr="00CD3710">
        <w:rPr>
          <w:rStyle w:val="mw-headline"/>
          <w:b/>
          <w:bCs/>
        </w:rPr>
        <w:t>Radioélements</w:t>
      </w:r>
      <w:bookmarkEnd w:id="2"/>
    </w:p>
    <w:p w14:paraId="17A2E0FE" w14:textId="7C014940" w:rsidR="00CD3710" w:rsidRPr="00CD3710" w:rsidRDefault="00CD3710" w:rsidP="00CD3710">
      <w:pPr>
        <w:jc w:val="both"/>
        <w:rPr>
          <w:rFonts w:ascii="Times New Roman" w:eastAsia="Times New Roman" w:hAnsi="Times New Roman" w:cs="Times New Roman"/>
          <w:sz w:val="24"/>
          <w:szCs w:val="24"/>
          <w:lang w:eastAsia="fr-FR"/>
        </w:rPr>
      </w:pPr>
      <w:r w:rsidRPr="00CD3710">
        <w:rPr>
          <w:rFonts w:ascii="Times New Roman" w:eastAsia="Times New Roman" w:hAnsi="Times New Roman" w:cs="Times New Roman"/>
          <w:sz w:val="24"/>
          <w:szCs w:val="24"/>
          <w:lang w:eastAsia="fr-FR"/>
        </w:rPr>
        <w:t>La radioactivité peut provenir de radioéléments (ou radioisotopes) naturels ou artificiels, ces derniers étant produits au laboratoire et dans des réacteurs nucléaires fabriqués par les êtres humains ou se constituant tout à fait exceptionnellement de façon spontanée dans la nature, comme celui qui semble avoir fonctionné il y a deux milliards d'années sur le site d'Oklo au Gabon, ou encore lors d'explosions de bombes atomiques. Dans le premier cas, on parle alors souvent de radioactivité naturelle, pour insister sur le fait que la radioactivité est produite par des radioéléments se rencontrant avec des abondances plus ou moins grandes (mais toujours assez faibles) dans la nature. Dans le deuxième cas, on parle de radioactivité artificielle.</w:t>
      </w:r>
    </w:p>
    <w:p w14:paraId="5E9E4158" w14:textId="6659F418" w:rsidR="00CD3710" w:rsidRPr="00CD3710" w:rsidRDefault="00CD3710" w:rsidP="00CD3710">
      <w:pPr>
        <w:pStyle w:val="NormalWeb"/>
        <w:jc w:val="both"/>
      </w:pPr>
      <w:r w:rsidRPr="00CD3710">
        <w:t>Les radioéléments les plus fréquents dans les roches terrestres sont l'</w:t>
      </w:r>
      <w:r w:rsidRPr="00B96866">
        <w:t>uranium 238</w:t>
      </w:r>
      <w:r w:rsidRPr="00CD3710">
        <w:t xml:space="preserve"> : </w:t>
      </w:r>
      <w:r w:rsidRPr="00CD3710">
        <w:rPr>
          <w:vertAlign w:val="superscript"/>
        </w:rPr>
        <w:t>238</w:t>
      </w:r>
      <w:r w:rsidRPr="00CD3710">
        <w:t xml:space="preserve">U ou U(92,238), le </w:t>
      </w:r>
      <w:r w:rsidRPr="00B96866">
        <w:t>thorium 232</w:t>
      </w:r>
      <w:r w:rsidRPr="00CD3710">
        <w:t xml:space="preserve"> : </w:t>
      </w:r>
      <w:r w:rsidRPr="00CD3710">
        <w:rPr>
          <w:vertAlign w:val="superscript"/>
        </w:rPr>
        <w:t>232</w:t>
      </w:r>
      <w:r w:rsidRPr="00CD3710">
        <w:t xml:space="preserve">Th ou Th(90,232), et surtout le </w:t>
      </w:r>
      <w:r w:rsidRPr="00B96866">
        <w:t>potassium 40</w:t>
      </w:r>
      <w:r w:rsidRPr="00CD3710">
        <w:t xml:space="preserve"> : </w:t>
      </w:r>
      <w:r w:rsidRPr="00CD3710">
        <w:rPr>
          <w:vertAlign w:val="superscript"/>
        </w:rPr>
        <w:t>40</w:t>
      </w:r>
      <w:r w:rsidRPr="00CD3710">
        <w:t xml:space="preserve">K ou K(19,40). Outre ces isotopes radioactifs naturels encore relativement abondants, il existe dans la nature des isotopes radioactifs en abondances beaucoup plus faibles. Il s'agit notamment des éléments instables produits lors de la suite de désintégrations des isotopes mentionnés, par exemple de divers isotopes du </w:t>
      </w:r>
      <w:r w:rsidRPr="00B96866">
        <w:t>radium</w:t>
      </w:r>
      <w:r w:rsidRPr="00CD3710">
        <w:t xml:space="preserve"> et du </w:t>
      </w:r>
      <w:r w:rsidRPr="00B96866">
        <w:t>radon</w:t>
      </w:r>
      <w:r w:rsidRPr="00CD3710">
        <w:t xml:space="preserve">. </w:t>
      </w:r>
    </w:p>
    <w:p w14:paraId="783DBB56" w14:textId="4D6DD051" w:rsidR="00CD3710" w:rsidRPr="00CD3710" w:rsidRDefault="00CD3710" w:rsidP="00CD3710">
      <w:pPr>
        <w:pStyle w:val="NormalWeb"/>
        <w:jc w:val="both"/>
      </w:pPr>
      <w:r w:rsidRPr="00CD3710">
        <w:t>Un des radioisotopes naturels les plus utilisés par l'homme est l'isotope 235 de l'uranium (</w:t>
      </w:r>
      <w:r w:rsidRPr="00B96866">
        <w:rPr>
          <w:vertAlign w:val="superscript"/>
        </w:rPr>
        <w:t>235</w:t>
      </w:r>
      <w:r w:rsidRPr="00B96866">
        <w:t>U</w:t>
      </w:r>
      <w:r w:rsidRPr="00CD3710">
        <w:t xml:space="preserve">), qui se trouve dans la nature en faible proportion (moins de 1 %), associé à l'isotope </w:t>
      </w:r>
      <w:r w:rsidRPr="00CD3710">
        <w:rPr>
          <w:vertAlign w:val="superscript"/>
        </w:rPr>
        <w:t>238</w:t>
      </w:r>
      <w:r w:rsidRPr="00CD3710">
        <w:t>U, mais dont on modifie la proportion par des techniques d'</w:t>
      </w:r>
      <w:r w:rsidRPr="00B96866">
        <w:t>enrichissement de l'uranium</w:t>
      </w:r>
      <w:r w:rsidRPr="00CD3710">
        <w:t xml:space="preserve"> pour qu'il puisse servir de combustible pour la production d'</w:t>
      </w:r>
      <w:r w:rsidRPr="00B96866">
        <w:t>énergie nucléaire</w:t>
      </w:r>
      <w:r w:rsidRPr="00CD3710">
        <w:t xml:space="preserve"> et d'explosif pour la production de bombes atomiques. </w:t>
      </w:r>
    </w:p>
    <w:p w14:paraId="7348C16F" w14:textId="52828997" w:rsidR="00CD3710" w:rsidRPr="00CD3710" w:rsidRDefault="00CD3710" w:rsidP="00CD3710">
      <w:pPr>
        <w:pStyle w:val="NormalWeb"/>
        <w:jc w:val="both"/>
      </w:pPr>
      <w:r w:rsidRPr="00CD3710">
        <w:lastRenderedPageBreak/>
        <w:t xml:space="preserve">Un autre radioisotope naturel est le </w:t>
      </w:r>
      <w:r w:rsidRPr="00B96866">
        <w:t>carbone 14</w:t>
      </w:r>
      <w:r w:rsidRPr="00CD3710">
        <w:t>, c'est-à-dire l'isotope 14 du carbone (</w:t>
      </w:r>
      <w:r w:rsidRPr="00CD3710">
        <w:rPr>
          <w:vertAlign w:val="superscript"/>
        </w:rPr>
        <w:t>14</w:t>
      </w:r>
      <w:r w:rsidRPr="00CD3710">
        <w:t xml:space="preserve">C). Celui-ci est constamment produit dans la haute atmosphère par des </w:t>
      </w:r>
      <w:r w:rsidRPr="00B96866">
        <w:t>rayons cosmiques</w:t>
      </w:r>
      <w:r w:rsidRPr="00CD3710">
        <w:t xml:space="preserve"> interagissant avec l'azote et se détruit par désintégrations radioactives à peu près au même taux qu'il est produit, de sorte qu'il se produit un équilibre dynamique et que la concentration du </w:t>
      </w:r>
      <w:r w:rsidRPr="00CD3710">
        <w:rPr>
          <w:vertAlign w:val="superscript"/>
        </w:rPr>
        <w:t>14</w:t>
      </w:r>
      <w:r w:rsidRPr="00CD3710">
        <w:t xml:space="preserve">C reste plus ou moins constante au cours du temps dans l'air et dans les organismes vivants qui l'ingèrent (photosynthèse, nutrition, etc.). Une fois l'organisme mort, la concentration en </w:t>
      </w:r>
      <w:r w:rsidRPr="00CD3710">
        <w:rPr>
          <w:vertAlign w:val="superscript"/>
        </w:rPr>
        <w:t>14</w:t>
      </w:r>
      <w:r w:rsidRPr="00CD3710">
        <w:t xml:space="preserve">C diminue dans ses tissus, ce qui permet de dater le moment de la mort. Cette </w:t>
      </w:r>
      <w:r w:rsidRPr="00B96866">
        <w:t>datation au radiocarbone</w:t>
      </w:r>
      <w:r w:rsidRPr="00CD3710">
        <w:t xml:space="preserve"> est un outil de recherche très prisé en </w:t>
      </w:r>
      <w:r w:rsidRPr="00B96866">
        <w:t>archéologie</w:t>
      </w:r>
      <w:r w:rsidRPr="00CD3710">
        <w:t xml:space="preserve"> et permet de dater avec une bonne précision des objets organiques dont l'âge ne dépasse pas 50 000 ans. </w:t>
      </w:r>
    </w:p>
    <w:p w14:paraId="51D5BE1F" w14:textId="77777777" w:rsidR="00813A80" w:rsidRPr="00813A80" w:rsidRDefault="00813A80" w:rsidP="00813A80">
      <w:pPr>
        <w:pStyle w:val="Titre1"/>
        <w:rPr>
          <w:b/>
          <w:bCs/>
        </w:rPr>
      </w:pPr>
      <w:bookmarkStart w:id="3" w:name="_Toc133070561"/>
      <w:r w:rsidRPr="00813A80">
        <w:rPr>
          <w:rStyle w:val="mw-headline"/>
          <w:b/>
          <w:bCs/>
        </w:rPr>
        <w:t>Loi de désintégration radioactive</w:t>
      </w:r>
      <w:bookmarkEnd w:id="3"/>
    </w:p>
    <w:p w14:paraId="0FEB90CB" w14:textId="38A3F5B7" w:rsidR="00813A80" w:rsidRDefault="00813A80" w:rsidP="00813A80">
      <w:pPr>
        <w:pStyle w:val="NormalWeb"/>
        <w:jc w:val="both"/>
      </w:pPr>
      <w:r>
        <w:t xml:space="preserve">Un </w:t>
      </w:r>
      <w:r w:rsidRPr="00813A80">
        <w:t>radioisotope</w:t>
      </w:r>
      <w:r>
        <w:t xml:space="preserve"> quelconque a autant de chances de se désintégrer à un moment donné qu'un autre radioisotope de la même </w:t>
      </w:r>
      <w:r w:rsidRPr="00813A80">
        <w:t>espèce</w:t>
      </w:r>
      <w:r>
        <w:t xml:space="preserve">, et la désintégration ne dépend pas des conditions physico-chimiques dans lesquelles le nucléide se trouve. En d'autres termes, la loi de désintégration radioactive est une </w:t>
      </w:r>
      <w:r w:rsidRPr="00813A80">
        <w:t>loi statistique</w:t>
      </w:r>
      <w:r>
        <w:t xml:space="preserve">. </w:t>
      </w:r>
    </w:p>
    <w:p w14:paraId="3A52C73B" w14:textId="7475E2D7" w:rsidR="00813A80" w:rsidRDefault="00813A80" w:rsidP="00813A80">
      <w:pPr>
        <w:pStyle w:val="NormalWeb"/>
        <w:jc w:val="both"/>
      </w:pPr>
      <w:r>
        <w:t xml:space="preserve">Soit </w:t>
      </w:r>
      <w:r w:rsidRPr="00813A80">
        <w:t xml:space="preserve">N(t) </w:t>
      </w:r>
      <w:r>
        <w:t>le nombre d'</w:t>
      </w:r>
      <w:r w:rsidRPr="00813A80">
        <w:t>atomes</w:t>
      </w:r>
      <w:r>
        <w:t xml:space="preserve"> (donc de </w:t>
      </w:r>
      <w:r w:rsidRPr="00813A80">
        <w:t>noyaux atomiques</w:t>
      </w:r>
      <w:r>
        <w:t xml:space="preserve">) d'une espèce radioactive donnée présents dans un échantillon à un instant </w:t>
      </w:r>
      <w:r w:rsidRPr="00813A80">
        <w:t xml:space="preserve">t </w:t>
      </w:r>
      <w:r>
        <w:t xml:space="preserve">quelconque. Comme la probabilité de désintégration d'un quelconque de ces noyaux ne dépend pas de la présence des autres espèces de </w:t>
      </w:r>
      <w:r w:rsidRPr="00813A80">
        <w:t>radionucléides</w:t>
      </w:r>
      <w:r>
        <w:t xml:space="preserve"> ni du milieu environnant, le nombre total de désintégrations pendant un intervalle de temps </w:t>
      </w:r>
      <w:r w:rsidRPr="00813A80">
        <w:t>dt</w:t>
      </w:r>
      <w:r>
        <w:t xml:space="preserve">, </w:t>
      </w:r>
      <w:r w:rsidRPr="00813A80">
        <w:t>− dN</w:t>
      </w:r>
      <w:r>
        <w:t xml:space="preserve"> (chaque désintégration entraînant la disparition de l'un des noyaux), </w:t>
      </w:r>
      <w:r w:rsidRPr="00813A80">
        <w:t>est proportionnel au nombre N de noyaux radioactifs de même espèce présents et à la durée dt</w:t>
      </w:r>
      <w:r>
        <w:t xml:space="preserve"> </w:t>
      </w:r>
      <w:r>
        <w:rPr>
          <w:noProof/>
        </w:rPr>
        <w:drawing>
          <wp:anchor distT="0" distB="0" distL="114300" distR="114300" simplePos="0" relativeHeight="251663360" behindDoc="0" locked="0" layoutInCell="1" allowOverlap="1" wp14:anchorId="54ED87EA" wp14:editId="01318EB3">
            <wp:simplePos x="0" y="0"/>
            <wp:positionH relativeFrom="margin">
              <wp:align>left</wp:align>
            </wp:positionH>
            <wp:positionV relativeFrom="paragraph">
              <wp:posOffset>389255</wp:posOffset>
            </wp:positionV>
            <wp:extent cx="2241550" cy="374650"/>
            <wp:effectExtent l="0" t="0" r="6350" b="6350"/>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1550" cy="374650"/>
                    </a:xfrm>
                    <a:prstGeom prst="rect">
                      <a:avLst/>
                    </a:prstGeom>
                    <a:noFill/>
                    <a:ln>
                      <a:noFill/>
                    </a:ln>
                  </pic:spPr>
                </pic:pic>
              </a:graphicData>
            </a:graphic>
          </wp:anchor>
        </w:drawing>
      </w:r>
      <w:r w:rsidRPr="00813A80">
        <w:t>de cet intervalle</w:t>
      </w:r>
      <w:r>
        <w:t> :</w:t>
      </w:r>
    </w:p>
    <w:p w14:paraId="0C6CAC7E" w14:textId="1303ED0F" w:rsidR="00813A80" w:rsidRPr="00813A80" w:rsidRDefault="00813A80" w:rsidP="00813A80">
      <w:pPr>
        <w:pStyle w:val="NormalWeb"/>
        <w:jc w:val="both"/>
      </w:pPr>
      <w:r>
        <w:rPr>
          <w:noProof/>
        </w:rPr>
        <w:drawing>
          <wp:anchor distT="0" distB="0" distL="114300" distR="114300" simplePos="0" relativeHeight="251664384" behindDoc="0" locked="0" layoutInCell="1" allowOverlap="1" wp14:anchorId="37523CFB" wp14:editId="09FBBFE8">
            <wp:simplePos x="0" y="0"/>
            <wp:positionH relativeFrom="margin">
              <wp:align>left</wp:align>
            </wp:positionH>
            <wp:positionV relativeFrom="paragraph">
              <wp:posOffset>813435</wp:posOffset>
            </wp:positionV>
            <wp:extent cx="1187450" cy="317500"/>
            <wp:effectExtent l="0" t="0" r="0" b="6350"/>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7450" cy="317500"/>
                    </a:xfrm>
                    <a:prstGeom prst="rect">
                      <a:avLst/>
                    </a:prstGeom>
                    <a:noFill/>
                    <a:ln>
                      <a:noFill/>
                    </a:ln>
                  </pic:spPr>
                </pic:pic>
              </a:graphicData>
            </a:graphic>
          </wp:anchor>
        </w:drawing>
      </w:r>
      <w:r>
        <w:t xml:space="preserve">En intégrant l'équation différentielle précédente, on trouve la loi de </w:t>
      </w:r>
      <w:r w:rsidRPr="00813A80">
        <w:t>décroissance</w:t>
      </w:r>
      <w:r>
        <w:t xml:space="preserve"> </w:t>
      </w:r>
      <w:r w:rsidRPr="00813A80">
        <w:t>exponentielle</w:t>
      </w:r>
      <w:r>
        <w:t xml:space="preserve"> du nombre </w:t>
      </w:r>
      <w:r w:rsidRPr="00813A80">
        <w:t xml:space="preserve">N(t) </w:t>
      </w:r>
      <w:r>
        <w:t xml:space="preserve">de radionucléides présents dans le corps à un instant </w:t>
      </w:r>
      <w:r w:rsidRPr="00813A80">
        <w:t xml:space="preserve">t </w:t>
      </w:r>
      <w:r>
        <w:t xml:space="preserve">quelconque, en appelant </w:t>
      </w:r>
      <w:r w:rsidRPr="00813A80">
        <w:t>N</w:t>
      </w:r>
      <w:r w:rsidRPr="00813A80">
        <w:rPr>
          <w:vertAlign w:val="subscript"/>
        </w:rPr>
        <w:t>0</w:t>
      </w:r>
      <w:r w:rsidRPr="00813A80">
        <w:t xml:space="preserve"> </w:t>
      </w:r>
      <w:r>
        <w:t xml:space="preserve">le nombre des radionucléides présents à l'instant </w:t>
      </w:r>
      <w:r w:rsidRPr="00813A80">
        <w:t xml:space="preserve">t = 0 </w:t>
      </w:r>
      <w:r>
        <w:t>:</w:t>
      </w:r>
    </w:p>
    <w:p w14:paraId="29A856E7" w14:textId="3765D912" w:rsidR="006F5E90" w:rsidRDefault="00813A80" w:rsidP="00813A80">
      <w:pPr>
        <w:pStyle w:val="NormalWeb"/>
        <w:jc w:val="both"/>
      </w:pPr>
      <w:r>
        <w:rPr>
          <w:noProof/>
        </w:rPr>
        <w:drawing>
          <wp:anchor distT="0" distB="0" distL="114300" distR="114300" simplePos="0" relativeHeight="251665408" behindDoc="0" locked="0" layoutInCell="1" allowOverlap="1" wp14:anchorId="223709F9" wp14:editId="594569D8">
            <wp:simplePos x="0" y="0"/>
            <wp:positionH relativeFrom="margin">
              <wp:align>left</wp:align>
            </wp:positionH>
            <wp:positionV relativeFrom="paragraph">
              <wp:posOffset>782320</wp:posOffset>
            </wp:positionV>
            <wp:extent cx="749300" cy="495300"/>
            <wp:effectExtent l="0" t="0" r="0" b="0"/>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9300" cy="495300"/>
                    </a:xfrm>
                    <a:prstGeom prst="rect">
                      <a:avLst/>
                    </a:prstGeom>
                    <a:noFill/>
                    <a:ln>
                      <a:noFill/>
                    </a:ln>
                  </pic:spPr>
                </pic:pic>
              </a:graphicData>
            </a:graphic>
          </wp:anchor>
        </w:drawing>
      </w:r>
      <w:r>
        <w:t xml:space="preserve">La demi-vie </w:t>
      </w:r>
      <w:r w:rsidRPr="00813A80">
        <w:t>t</w:t>
      </w:r>
      <w:r w:rsidRPr="00813A80">
        <w:rPr>
          <w:vertAlign w:val="subscript"/>
        </w:rPr>
        <w:t>1/2</w:t>
      </w:r>
      <w:r>
        <w:t xml:space="preserve"> est la durée au bout de laquelle la moitié d'un échantillon radioactif est désintégrée, le nombre de noyaux fils atteignant la moitié du nombre de noyaux pères. On montre que : </w:t>
      </w:r>
    </w:p>
    <w:p w14:paraId="2DB5B3A3" w14:textId="67BC21B4" w:rsidR="00813A80" w:rsidRPr="00C76ADC" w:rsidRDefault="00813A80" w:rsidP="00813A80">
      <w:pPr>
        <w:pStyle w:val="NormalWeb"/>
        <w:jc w:val="both"/>
      </w:pPr>
    </w:p>
    <w:p w14:paraId="594524BD" w14:textId="1D99D686" w:rsidR="00526030" w:rsidRDefault="00526030" w:rsidP="00526030">
      <w:pPr>
        <w:pStyle w:val="Titre1"/>
        <w:rPr>
          <w:rStyle w:val="mw-headline"/>
          <w:b/>
          <w:bCs/>
        </w:rPr>
      </w:pPr>
      <w:bookmarkStart w:id="4" w:name="_Toc133070562"/>
      <w:r w:rsidRPr="00526030">
        <w:rPr>
          <w:rStyle w:val="mw-headline"/>
          <w:b/>
          <w:bCs/>
        </w:rPr>
        <w:lastRenderedPageBreak/>
        <w:t>Interaction entre les rayonnements et la matière (rayonnement ionisant)</w:t>
      </w:r>
      <w:bookmarkEnd w:id="4"/>
    </w:p>
    <w:p w14:paraId="712C97D0" w14:textId="5C73778A" w:rsidR="00BB69D5" w:rsidRPr="00BB69D5" w:rsidRDefault="00BB69D5" w:rsidP="00BB69D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 xml:space="preserve">Les rayonnements ionisants provoquent tous au sein de la matière des ionisations et des excitations. La façon dont se produisent ces ionisations dépend du type de rayonnement considéré : </w:t>
      </w:r>
    </w:p>
    <w:p w14:paraId="56C8EB44" w14:textId="0E896D0F" w:rsidR="00BB69D5" w:rsidRPr="00BB69D5" w:rsidRDefault="00BB69D5" w:rsidP="00BB69D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rayonnement α : un noyau atomique instable émet une particule lourde chargée positivement constituée de deux protons et de deux neutrons (noyau d'hélium 4). En traversant la matière, cette particule interagit principalement avec le cortège électronique des atomes du matériau traversé, ce qui les excite ou les ionise. Ce mécanisme se produit sur une très courte distance car la section efficace d'interaction est élevée : le pouvoir de pénétration des rayonnements alpha est faible (une simple feuille de papier ou 4 à 5 cm d'air les arrêtent totalement) et par conséquent le dépôt d'énergie par unité de longueur traversée sera élevé. Cette énergie dissipée dans la matière traversée se traduira par des excitations et des ionisations et donne lieu à des rayonnements secondaires ;</w:t>
      </w:r>
    </w:p>
    <w:p w14:paraId="74F66E56" w14:textId="449E8875" w:rsidR="00BB69D5" w:rsidRPr="00BB69D5" w:rsidRDefault="00BB69D5" w:rsidP="00BB69D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rayonnement β- : un noyau atomique instable émet une particule légère et chargée négativement (un électron) qu'une feuille d'aluminium peut arrêter. Cependant ce rayonnement interagit avec la matière en provoquant des excitations et des ionisations par diffusion. Le parcours des électrons dans la matière est plus important que celui des particules alpha (de l'ordre de quelques mètres maximum dans l'air). La perte d'énergie du rayonnement bêta par unité de longueur traversée sera, toute autre chose étant égale, moindre que celle du rayonnement alpha. Il en sera donc de même du nombre d'excitation et d'ionisation produite par unité de longueur. Dans certains cas (électron de forte énergie et matériau traversé de masse atomique élevée) l'émission d'un rayonnement de freinage électromagnétique est possible ;</w:t>
      </w:r>
    </w:p>
    <w:p w14:paraId="2CF3C2E5" w14:textId="6504C8E7" w:rsidR="00BB69D5" w:rsidRPr="00BB69D5" w:rsidRDefault="00BB69D5" w:rsidP="00BB69D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rayonnement β+ : un noyau atomique instable émet une particule légère et chargée positivement (un positron) qui interagit, après avoir été ralenti, avec un électron du milieu provoquant son annihilation et la production de deux rayons gamma de 511 keV chacun ;</w:t>
      </w:r>
    </w:p>
    <w:p w14:paraId="1E88832A" w14:textId="3C176C8C" w:rsidR="00BB69D5" w:rsidRPr="00BB69D5" w:rsidRDefault="00BB69D5" w:rsidP="00BB69D5">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 xml:space="preserve">rayonnement γ : un noyau atomique qui ne souffre pas d'un déséquilibre baryonique, mais qui se trouve dans un état d'énergie instable, émet un photon très énergétique, donc très pénétrant, pour atteindre un état d'énergie stable ; il faut environ 1 à 5 centimètres de plomb pour l'absorber6. Il n'y a guère de différence entre les rayons X durs et le rayonnement γ — seul leur origine les différencie. En général, l'émission de rayons γ suit une désintégration α ou β, car elle correspond à un réarrangement des nucléons, et notamment à une réorganisation de la charge électrique à l'intérieur du nouveau noyau. On rencontre donc fréquemment un noyau radioactif émettant simultanément plusieurs types de rayonnements : par exemple, l'isotope 239 du plutonium (239Pu) est un émetteur α–γ, l'isotope 59 du fer (59Fe) est un émetteur β–γ. Le rayonnement gamma est un faisceau de photons sans charge électrique ni masse. En traversant la matière, il provoque trois types d'interactions : </w:t>
      </w:r>
    </w:p>
    <w:p w14:paraId="761CB008" w14:textId="729637F7" w:rsidR="00BB69D5" w:rsidRPr="00BB69D5" w:rsidRDefault="00BB69D5" w:rsidP="00BB69D5">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l'effet photoélectrique,</w:t>
      </w:r>
    </w:p>
    <w:p w14:paraId="459A1193" w14:textId="117B0B95" w:rsidR="00BB69D5" w:rsidRPr="00BB69D5" w:rsidRDefault="00BB69D5" w:rsidP="00BB69D5">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la création de paires,</w:t>
      </w:r>
    </w:p>
    <w:p w14:paraId="42A1192E" w14:textId="4B54CE22" w:rsidR="00BB69D5" w:rsidRPr="00BB69D5" w:rsidRDefault="00BB69D5" w:rsidP="00BB69D5">
      <w:pPr>
        <w:numPr>
          <w:ilvl w:val="1"/>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l'effet Compton.</w:t>
      </w:r>
    </w:p>
    <w:p w14:paraId="394FDF50" w14:textId="62B33F1B" w:rsidR="00BB69D5" w:rsidRPr="00BB69D5" w:rsidRDefault="00BB69D5" w:rsidP="00BB69D5">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 xml:space="preserve">Rayonnement neutronique : la fission nucléaire et la fusion nucléaire produisent des neutrons en quantités importantes. Ces neutrons se diffusent dans l'environnement du </w:t>
      </w:r>
      <w:r w:rsidRPr="00BB69D5">
        <w:rPr>
          <w:rFonts w:ascii="Times New Roman" w:eastAsia="Times New Roman" w:hAnsi="Times New Roman" w:cs="Times New Roman"/>
          <w:sz w:val="24"/>
          <w:szCs w:val="24"/>
          <w:lang w:eastAsia="fr-FR"/>
        </w:rPr>
        <w:lastRenderedPageBreak/>
        <w:t>réacteur. Ils nécessitent des protections neutroniques et des compteurs dosimétriques spécialisés.</w:t>
      </w:r>
    </w:p>
    <w:p w14:paraId="4836E597" w14:textId="33BC9D79" w:rsidR="00BB69D5" w:rsidRPr="00BB69D5" w:rsidRDefault="00BB69D5" w:rsidP="00BB69D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 xml:space="preserve">La nature des lois physiques permettant de calculer les parcours ou l'atténuation des rayonnements dans la matière est différente selon les rayonnements considérés : </w:t>
      </w:r>
    </w:p>
    <w:p w14:paraId="7D12B069" w14:textId="7DCED8E7" w:rsidR="00BB69D5" w:rsidRPr="00BB69D5" w:rsidRDefault="00BB69D5" w:rsidP="00BB69D5">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les rayonnements gamma et les flux neutroniques ne sont jamais complètement arrêtés par la matière. C'est pourquoi le flux de photons émergeant d'un écran sera faible, voire quasi-indétectable, mais jamais nul. Voir Couche de demi-atténuation ;</w:t>
      </w:r>
    </w:p>
    <w:p w14:paraId="5106B530" w14:textId="2F42886E" w:rsidR="00BB69D5" w:rsidRPr="00BB69D5" w:rsidRDefault="00BB69D5" w:rsidP="00CB34B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B69D5">
        <w:rPr>
          <w:rFonts w:ascii="Times New Roman" w:eastAsia="Times New Roman" w:hAnsi="Times New Roman" w:cs="Times New Roman"/>
          <w:sz w:val="24"/>
          <w:szCs w:val="24"/>
          <w:lang w:eastAsia="fr-FR"/>
        </w:rPr>
        <w:t>les lois physiques qui traduisent le parcours des rayonnements alpha et bêta montrent qu'au-delà d'une certaine distance, il est impossible que des particules puissent être retrouvées : le rayonnement incident peut donc être complètement bloqué par un matériau qui joue le rôle d'écran. Voir Parcours d'une particule.</w:t>
      </w:r>
    </w:p>
    <w:p w14:paraId="46791915" w14:textId="0A0819D8" w:rsidR="00CB34BF" w:rsidRPr="00CB34BF" w:rsidRDefault="00CB34BF" w:rsidP="00CB34B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B34BF">
        <w:rPr>
          <w:rFonts w:ascii="Times New Roman" w:eastAsia="Times New Roman" w:hAnsi="Times New Roman" w:cs="Times New Roman"/>
          <w:sz w:val="24"/>
          <w:szCs w:val="24"/>
          <w:lang w:eastAsia="fr-FR"/>
        </w:rPr>
        <w:t>Quand un minéral riche en éléments radioactifs s'est formé depuis un temps significatif comparé aux demi-vies de ces éléments, l'accumulation des défauts induits peut transformer le matériau cristallin en un matériau amorphe ; c'est ce qu'on appelle la métamictisation. C'est notamment le cas de certains zircons vieux de plus de 500 Ma.</w:t>
      </w:r>
    </w:p>
    <w:p w14:paraId="2EC417C4" w14:textId="42A6C743" w:rsidR="00CB34BF" w:rsidRPr="00CB34BF" w:rsidRDefault="00CB34BF" w:rsidP="00CB34B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B34BF">
        <w:rPr>
          <w:rFonts w:ascii="Times New Roman" w:eastAsia="Times New Roman" w:hAnsi="Times New Roman" w:cs="Times New Roman"/>
          <w:sz w:val="24"/>
          <w:szCs w:val="24"/>
          <w:lang w:eastAsia="fr-FR"/>
        </w:rPr>
        <w:t>L'accumulation des perturbations locales est délétère pour les organismes vivants, soit à long terme par le développement d'un cancer (Marie Curie, notamment, est morte d'une leucémie radio-induite), soit à plus court terme, en cas d'exposition intense ou prolongée, sous la forme d'un syndrome d'irradiation aiguë (bombardements atomiques d'Hiroshima et Nagasaki, catastrophe nucléaire de Tchernobyl).</w:t>
      </w:r>
    </w:p>
    <w:p w14:paraId="33D08B94" w14:textId="4296F324" w:rsidR="00CB34BF" w:rsidRPr="00CB34BF" w:rsidRDefault="00CB34BF" w:rsidP="00CB34B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B34BF">
        <w:rPr>
          <w:rFonts w:ascii="Times New Roman" w:eastAsia="Times New Roman" w:hAnsi="Times New Roman" w:cs="Times New Roman"/>
          <w:sz w:val="24"/>
          <w:szCs w:val="24"/>
          <w:lang w:eastAsia="fr-FR"/>
        </w:rPr>
        <w:t>L'énergie libérée par la radioactivité est partiellement consommée par les transformations locales induites par le rayonnement, mais l'essentiel est en définitive transformé en chaleur</w:t>
      </w:r>
      <w:r w:rsidRPr="00CB34BF">
        <w:rPr>
          <w:rFonts w:ascii="Times New Roman" w:eastAsia="Times New Roman" w:hAnsi="Times New Roman" w:cs="Times New Roman"/>
          <w:sz w:val="24"/>
          <w:szCs w:val="24"/>
          <w:vertAlign w:val="superscript"/>
          <w:lang w:eastAsia="fr-FR"/>
        </w:rPr>
        <w:t>7</w:t>
      </w:r>
      <w:r w:rsidRPr="00CB34BF">
        <w:rPr>
          <w:rFonts w:ascii="Times New Roman" w:eastAsia="Times New Roman" w:hAnsi="Times New Roman" w:cs="Times New Roman"/>
          <w:sz w:val="24"/>
          <w:szCs w:val="24"/>
          <w:lang w:eastAsia="fr-FR"/>
        </w:rPr>
        <w:t xml:space="preserve">. La chaleur libérée par la radioactivité est fondamentale pour : </w:t>
      </w:r>
    </w:p>
    <w:p w14:paraId="62876A48" w14:textId="2E0C292D" w:rsidR="00CB34BF" w:rsidRPr="00CB34BF" w:rsidRDefault="00CB34BF" w:rsidP="00CB34BF">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B34BF">
        <w:rPr>
          <w:rFonts w:ascii="Times New Roman" w:eastAsia="Times New Roman" w:hAnsi="Times New Roman" w:cs="Times New Roman"/>
          <w:sz w:val="24"/>
          <w:szCs w:val="24"/>
          <w:lang w:eastAsia="fr-FR"/>
        </w:rPr>
        <w:t xml:space="preserve">l'activité géologique des planètes telluriques (la Terre et Vénus jusqu'à aujourd'hui, Mars et peut-être la Lune dans le passé). Il s'agit surtout de l'énergie libérée par la décomposition radioactive de l'uranium (isotopes </w:t>
      </w:r>
      <w:r w:rsidRPr="00CB34BF">
        <w:rPr>
          <w:rFonts w:ascii="Times New Roman" w:eastAsia="Times New Roman" w:hAnsi="Times New Roman" w:cs="Times New Roman"/>
          <w:sz w:val="24"/>
          <w:szCs w:val="24"/>
          <w:vertAlign w:val="superscript"/>
          <w:lang w:eastAsia="fr-FR"/>
        </w:rPr>
        <w:t>235</w:t>
      </w:r>
      <w:r w:rsidRPr="00CB34BF">
        <w:rPr>
          <w:rFonts w:ascii="Times New Roman" w:eastAsia="Times New Roman" w:hAnsi="Times New Roman" w:cs="Times New Roman"/>
          <w:sz w:val="24"/>
          <w:szCs w:val="24"/>
          <w:lang w:eastAsia="fr-FR"/>
        </w:rPr>
        <w:t xml:space="preserve">U et </w:t>
      </w:r>
      <w:r w:rsidRPr="00CB34BF">
        <w:rPr>
          <w:rFonts w:ascii="Times New Roman" w:eastAsia="Times New Roman" w:hAnsi="Times New Roman" w:cs="Times New Roman"/>
          <w:sz w:val="24"/>
          <w:szCs w:val="24"/>
          <w:vertAlign w:val="superscript"/>
          <w:lang w:eastAsia="fr-FR"/>
        </w:rPr>
        <w:t>238</w:t>
      </w:r>
      <w:r w:rsidRPr="00CB34BF">
        <w:rPr>
          <w:rFonts w:ascii="Times New Roman" w:eastAsia="Times New Roman" w:hAnsi="Times New Roman" w:cs="Times New Roman"/>
          <w:sz w:val="24"/>
          <w:szCs w:val="24"/>
          <w:lang w:eastAsia="fr-FR"/>
        </w:rPr>
        <w:t>U), du thorium (</w:t>
      </w:r>
      <w:r w:rsidRPr="00CB34BF">
        <w:rPr>
          <w:rFonts w:ascii="Times New Roman" w:eastAsia="Times New Roman" w:hAnsi="Times New Roman" w:cs="Times New Roman"/>
          <w:sz w:val="24"/>
          <w:szCs w:val="24"/>
          <w:vertAlign w:val="superscript"/>
          <w:lang w:eastAsia="fr-FR"/>
        </w:rPr>
        <w:t>232</w:t>
      </w:r>
      <w:r w:rsidRPr="00CB34BF">
        <w:rPr>
          <w:rFonts w:ascii="Times New Roman" w:eastAsia="Times New Roman" w:hAnsi="Times New Roman" w:cs="Times New Roman"/>
          <w:sz w:val="24"/>
          <w:szCs w:val="24"/>
          <w:lang w:eastAsia="fr-FR"/>
        </w:rPr>
        <w:t xml:space="preserve">Th) et du potassium (via son isotope radioactif </w:t>
      </w:r>
      <w:r w:rsidRPr="00CB34BF">
        <w:rPr>
          <w:rFonts w:ascii="Times New Roman" w:eastAsia="Times New Roman" w:hAnsi="Times New Roman" w:cs="Times New Roman"/>
          <w:sz w:val="24"/>
          <w:szCs w:val="24"/>
          <w:vertAlign w:val="superscript"/>
          <w:lang w:eastAsia="fr-FR"/>
        </w:rPr>
        <w:t>40</w:t>
      </w:r>
      <w:r w:rsidRPr="00CB34BF">
        <w:rPr>
          <w:rFonts w:ascii="Times New Roman" w:eastAsia="Times New Roman" w:hAnsi="Times New Roman" w:cs="Times New Roman"/>
          <w:sz w:val="24"/>
          <w:szCs w:val="24"/>
          <w:lang w:eastAsia="fr-FR"/>
        </w:rPr>
        <w:t>K) ;</w:t>
      </w:r>
    </w:p>
    <w:p w14:paraId="750E0F1A" w14:textId="70A8A337" w:rsidR="00D078BD" w:rsidRDefault="00CB34BF" w:rsidP="00D078BD">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B34BF">
        <w:rPr>
          <w:rFonts w:ascii="Times New Roman" w:eastAsia="Times New Roman" w:hAnsi="Times New Roman" w:cs="Times New Roman"/>
          <w:sz w:val="24"/>
          <w:szCs w:val="24"/>
          <w:lang w:eastAsia="fr-FR"/>
        </w:rPr>
        <w:t xml:space="preserve">la différenciation des petits corps formés suffisamment tôt, en comparaison des demi-vies d'isotopes de courte demi-vie mais initialement abondants, comme </w:t>
      </w:r>
      <w:r w:rsidRPr="00CB34BF">
        <w:rPr>
          <w:rFonts w:ascii="Times New Roman" w:eastAsia="Times New Roman" w:hAnsi="Times New Roman" w:cs="Times New Roman"/>
          <w:sz w:val="24"/>
          <w:szCs w:val="24"/>
          <w:vertAlign w:val="superscript"/>
          <w:lang w:eastAsia="fr-FR"/>
        </w:rPr>
        <w:t>26</w:t>
      </w:r>
      <w:r w:rsidRPr="00CB34BF">
        <w:rPr>
          <w:rFonts w:ascii="Times New Roman" w:eastAsia="Times New Roman" w:hAnsi="Times New Roman" w:cs="Times New Roman"/>
          <w:sz w:val="24"/>
          <w:szCs w:val="24"/>
          <w:lang w:eastAsia="fr-FR"/>
        </w:rPr>
        <w:t xml:space="preserve">Al et </w:t>
      </w:r>
      <w:r w:rsidRPr="00CB34BF">
        <w:rPr>
          <w:rFonts w:ascii="Times New Roman" w:eastAsia="Times New Roman" w:hAnsi="Times New Roman" w:cs="Times New Roman"/>
          <w:sz w:val="24"/>
          <w:szCs w:val="24"/>
          <w:vertAlign w:val="superscript"/>
          <w:lang w:eastAsia="fr-FR"/>
        </w:rPr>
        <w:t>60</w:t>
      </w:r>
      <w:r w:rsidRPr="00CB34BF">
        <w:rPr>
          <w:rFonts w:ascii="Times New Roman" w:eastAsia="Times New Roman" w:hAnsi="Times New Roman" w:cs="Times New Roman"/>
          <w:sz w:val="24"/>
          <w:szCs w:val="24"/>
          <w:lang w:eastAsia="fr-FR"/>
        </w:rPr>
        <w:t>Fe.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7"/>
        <w:gridCol w:w="1182"/>
        <w:gridCol w:w="1604"/>
        <w:gridCol w:w="1659"/>
      </w:tblGrid>
      <w:tr w:rsidR="00B96866" w:rsidRPr="00B96866" w14:paraId="098AE4DE" w14:textId="77777777" w:rsidTr="00B96866">
        <w:trPr>
          <w:tblCellSpacing w:w="15" w:type="dxa"/>
        </w:trPr>
        <w:tc>
          <w:tcPr>
            <w:tcW w:w="0" w:type="auto"/>
            <w:vMerge w:val="restart"/>
            <w:vAlign w:val="center"/>
            <w:hideMark/>
          </w:tcPr>
          <w:p w14:paraId="329ABC41" w14:textId="5B9FEE4A"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Nature de la source</w:t>
            </w:r>
          </w:p>
        </w:tc>
        <w:tc>
          <w:tcPr>
            <w:tcW w:w="0" w:type="auto"/>
            <w:gridSpan w:val="3"/>
            <w:vAlign w:val="center"/>
            <w:hideMark/>
          </w:tcPr>
          <w:p w14:paraId="7534E6E5" w14:textId="60840AA1"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Exposition humaine à la radioactivité selon l'OMS</w:t>
            </w:r>
            <w:r w:rsidRPr="00B96866">
              <w:rPr>
                <w:rFonts w:ascii="Times New Roman" w:eastAsia="Times New Roman" w:hAnsi="Times New Roman" w:cs="Times New Roman"/>
                <w:sz w:val="24"/>
                <w:szCs w:val="24"/>
                <w:vertAlign w:val="superscript"/>
                <w:lang w:eastAsia="fr-FR"/>
              </w:rPr>
              <w:t>8</w:t>
            </w:r>
          </w:p>
        </w:tc>
      </w:tr>
      <w:tr w:rsidR="00B96866" w:rsidRPr="00B96866" w14:paraId="4FCCE58C" w14:textId="77777777" w:rsidTr="00B96866">
        <w:trPr>
          <w:tblCellSpacing w:w="15" w:type="dxa"/>
        </w:trPr>
        <w:tc>
          <w:tcPr>
            <w:tcW w:w="0" w:type="auto"/>
            <w:vMerge/>
            <w:vAlign w:val="center"/>
            <w:hideMark/>
          </w:tcPr>
          <w:p w14:paraId="307ACDEC"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723AB631" w14:textId="1549DE50"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 xml:space="preserve">mSv par personne </w:t>
            </w:r>
            <w:r w:rsidRPr="00B96866">
              <w:rPr>
                <w:rFonts w:ascii="Times New Roman" w:eastAsia="Times New Roman" w:hAnsi="Times New Roman" w:cs="Times New Roman"/>
                <w:sz w:val="24"/>
                <w:szCs w:val="24"/>
                <w:lang w:eastAsia="fr-FR"/>
              </w:rPr>
              <w:br/>
              <w:t>et par an</w:t>
            </w:r>
          </w:p>
        </w:tc>
        <w:tc>
          <w:tcPr>
            <w:tcW w:w="0" w:type="auto"/>
            <w:vAlign w:val="center"/>
            <w:hideMark/>
          </w:tcPr>
          <w:p w14:paraId="516C5F60" w14:textId="4DE269B8"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 xml:space="preserve">Radioactivité naturelle </w:t>
            </w:r>
            <w:r w:rsidRPr="00B96866">
              <w:rPr>
                <w:rFonts w:ascii="Times New Roman" w:eastAsia="Times New Roman" w:hAnsi="Times New Roman" w:cs="Times New Roman"/>
                <w:sz w:val="24"/>
                <w:szCs w:val="24"/>
                <w:lang w:eastAsia="fr-FR"/>
              </w:rPr>
              <w:br/>
              <w:t>(en %)</w:t>
            </w:r>
          </w:p>
        </w:tc>
        <w:tc>
          <w:tcPr>
            <w:tcW w:w="0" w:type="auto"/>
            <w:vAlign w:val="center"/>
            <w:hideMark/>
          </w:tcPr>
          <w:p w14:paraId="4593BD2B" w14:textId="01FE9CB4"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 xml:space="preserve">Radioactivité artificielle </w:t>
            </w:r>
            <w:r w:rsidRPr="00B96866">
              <w:rPr>
                <w:rFonts w:ascii="Times New Roman" w:eastAsia="Times New Roman" w:hAnsi="Times New Roman" w:cs="Times New Roman"/>
                <w:sz w:val="24"/>
                <w:szCs w:val="24"/>
                <w:lang w:eastAsia="fr-FR"/>
              </w:rPr>
              <w:br/>
              <w:t>(en %)</w:t>
            </w:r>
          </w:p>
        </w:tc>
      </w:tr>
      <w:tr w:rsidR="00B96866" w:rsidRPr="00B96866" w14:paraId="1BC9643D" w14:textId="77777777" w:rsidTr="00B96866">
        <w:trPr>
          <w:tblCellSpacing w:w="15" w:type="dxa"/>
        </w:trPr>
        <w:tc>
          <w:tcPr>
            <w:tcW w:w="0" w:type="auto"/>
            <w:vAlign w:val="center"/>
            <w:hideMark/>
          </w:tcPr>
          <w:p w14:paraId="028F1E47" w14:textId="7C961DDD"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Radon (gaz radioactif naturel dense souvent présent dans les rez-de-chaussées)</w:t>
            </w:r>
          </w:p>
        </w:tc>
        <w:tc>
          <w:tcPr>
            <w:tcW w:w="0" w:type="auto"/>
            <w:vAlign w:val="center"/>
            <w:hideMark/>
          </w:tcPr>
          <w:p w14:paraId="47894B48"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1,3</w:t>
            </w:r>
          </w:p>
        </w:tc>
        <w:tc>
          <w:tcPr>
            <w:tcW w:w="0" w:type="auto"/>
            <w:vAlign w:val="center"/>
            <w:hideMark/>
          </w:tcPr>
          <w:p w14:paraId="7919D98E"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42</w:t>
            </w:r>
          </w:p>
        </w:tc>
        <w:tc>
          <w:tcPr>
            <w:tcW w:w="0" w:type="auto"/>
            <w:vAlign w:val="center"/>
            <w:hideMark/>
          </w:tcPr>
          <w:p w14:paraId="6FBC099B"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p>
        </w:tc>
      </w:tr>
      <w:tr w:rsidR="00B96866" w:rsidRPr="00B96866" w14:paraId="13CEEAB6" w14:textId="77777777" w:rsidTr="00B96866">
        <w:trPr>
          <w:tblCellSpacing w:w="15" w:type="dxa"/>
        </w:trPr>
        <w:tc>
          <w:tcPr>
            <w:tcW w:w="0" w:type="auto"/>
            <w:vAlign w:val="center"/>
            <w:hideMark/>
          </w:tcPr>
          <w:p w14:paraId="1817456A" w14:textId="34649189"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Irradiation d'origine médicale (radiographies, scanners, radiothérapies, etc.)</w:t>
            </w:r>
          </w:p>
        </w:tc>
        <w:tc>
          <w:tcPr>
            <w:tcW w:w="0" w:type="auto"/>
            <w:vAlign w:val="center"/>
            <w:hideMark/>
          </w:tcPr>
          <w:p w14:paraId="4FCEB166"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0,6</w:t>
            </w:r>
          </w:p>
        </w:tc>
        <w:tc>
          <w:tcPr>
            <w:tcW w:w="0" w:type="auto"/>
            <w:vAlign w:val="center"/>
            <w:hideMark/>
          </w:tcPr>
          <w:p w14:paraId="4778713E"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729D3388" w14:textId="1FCE453D"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20</w:t>
            </w:r>
          </w:p>
        </w:tc>
      </w:tr>
      <w:tr w:rsidR="00B96866" w:rsidRPr="00B96866" w14:paraId="4E94062D" w14:textId="77777777" w:rsidTr="00B96866">
        <w:trPr>
          <w:tblCellSpacing w:w="15" w:type="dxa"/>
        </w:trPr>
        <w:tc>
          <w:tcPr>
            <w:tcW w:w="0" w:type="auto"/>
            <w:vAlign w:val="center"/>
            <w:hideMark/>
          </w:tcPr>
          <w:p w14:paraId="040EF6CD" w14:textId="339D4E76"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Éléments absorbés par alimentation (essentiellement du potassium 40 contenu naturellement dans les aliments)</w:t>
            </w:r>
          </w:p>
        </w:tc>
        <w:tc>
          <w:tcPr>
            <w:tcW w:w="0" w:type="auto"/>
            <w:vAlign w:val="center"/>
            <w:hideMark/>
          </w:tcPr>
          <w:p w14:paraId="4D1ED02B"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0,5</w:t>
            </w:r>
          </w:p>
        </w:tc>
        <w:tc>
          <w:tcPr>
            <w:tcW w:w="0" w:type="auto"/>
            <w:vAlign w:val="center"/>
            <w:hideMark/>
          </w:tcPr>
          <w:p w14:paraId="3224D637"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16</w:t>
            </w:r>
          </w:p>
        </w:tc>
        <w:tc>
          <w:tcPr>
            <w:tcW w:w="0" w:type="auto"/>
            <w:vAlign w:val="center"/>
            <w:hideMark/>
          </w:tcPr>
          <w:p w14:paraId="4A3AD897"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p>
        </w:tc>
      </w:tr>
      <w:tr w:rsidR="00B96866" w:rsidRPr="00B96866" w14:paraId="71664F77" w14:textId="77777777" w:rsidTr="00B96866">
        <w:trPr>
          <w:tblCellSpacing w:w="15" w:type="dxa"/>
        </w:trPr>
        <w:tc>
          <w:tcPr>
            <w:tcW w:w="0" w:type="auto"/>
            <w:vAlign w:val="center"/>
            <w:hideMark/>
          </w:tcPr>
          <w:p w14:paraId="1FBDC6B7" w14:textId="6B57C665"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Rayonnement cosmique</w:t>
            </w:r>
          </w:p>
        </w:tc>
        <w:tc>
          <w:tcPr>
            <w:tcW w:w="0" w:type="auto"/>
            <w:vAlign w:val="center"/>
            <w:hideMark/>
          </w:tcPr>
          <w:p w14:paraId="4E7D1034"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0,4</w:t>
            </w:r>
          </w:p>
        </w:tc>
        <w:tc>
          <w:tcPr>
            <w:tcW w:w="0" w:type="auto"/>
            <w:vAlign w:val="center"/>
            <w:hideMark/>
          </w:tcPr>
          <w:p w14:paraId="2EE37DCC"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13</w:t>
            </w:r>
          </w:p>
        </w:tc>
        <w:tc>
          <w:tcPr>
            <w:tcW w:w="0" w:type="auto"/>
            <w:vAlign w:val="center"/>
            <w:hideMark/>
          </w:tcPr>
          <w:p w14:paraId="685DCBF4"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p>
        </w:tc>
      </w:tr>
      <w:tr w:rsidR="00B96866" w:rsidRPr="00B96866" w14:paraId="2019EB89" w14:textId="77777777" w:rsidTr="00B96866">
        <w:trPr>
          <w:tblCellSpacing w:w="15" w:type="dxa"/>
        </w:trPr>
        <w:tc>
          <w:tcPr>
            <w:tcW w:w="0" w:type="auto"/>
            <w:vAlign w:val="center"/>
            <w:hideMark/>
          </w:tcPr>
          <w:p w14:paraId="7D0383C9"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Rayonnement interne</w:t>
            </w:r>
          </w:p>
        </w:tc>
        <w:tc>
          <w:tcPr>
            <w:tcW w:w="0" w:type="auto"/>
            <w:vAlign w:val="center"/>
            <w:hideMark/>
          </w:tcPr>
          <w:p w14:paraId="0AE3A418"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0,2</w:t>
            </w:r>
          </w:p>
        </w:tc>
        <w:tc>
          <w:tcPr>
            <w:tcW w:w="0" w:type="auto"/>
            <w:vAlign w:val="center"/>
            <w:hideMark/>
          </w:tcPr>
          <w:p w14:paraId="5A1AD9C0"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6</w:t>
            </w:r>
          </w:p>
        </w:tc>
        <w:tc>
          <w:tcPr>
            <w:tcW w:w="0" w:type="auto"/>
            <w:vAlign w:val="center"/>
            <w:hideMark/>
          </w:tcPr>
          <w:p w14:paraId="53207AF5"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p>
        </w:tc>
      </w:tr>
      <w:tr w:rsidR="00B96866" w:rsidRPr="00B96866" w14:paraId="6D0FE81E" w14:textId="77777777" w:rsidTr="00B96866">
        <w:trPr>
          <w:tblCellSpacing w:w="15" w:type="dxa"/>
        </w:trPr>
        <w:tc>
          <w:tcPr>
            <w:tcW w:w="0" w:type="auto"/>
            <w:vAlign w:val="center"/>
            <w:hideMark/>
          </w:tcPr>
          <w:p w14:paraId="1D6DBB24" w14:textId="372A039D"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lastRenderedPageBreak/>
              <w:t xml:space="preserve">Autres origines artificielles sauf énergie nucléaire civile (industries minières diverses, retombées atmosphériques </w:t>
            </w:r>
            <w:r w:rsidRPr="00B96866">
              <w:rPr>
                <w:rFonts w:ascii="Times New Roman" w:eastAsia="Times New Roman" w:hAnsi="Times New Roman" w:cs="Times New Roman"/>
                <w:sz w:val="24"/>
                <w:szCs w:val="24"/>
                <w:lang w:eastAsia="fr-FR"/>
              </w:rPr>
              <w:br/>
              <w:t xml:space="preserve">des essais nucléaires militaires, instruments de mesure, certaines méthodes de mesure industrielles (telles le contrôle </w:t>
            </w:r>
            <w:r w:rsidRPr="00B96866">
              <w:rPr>
                <w:rFonts w:ascii="Times New Roman" w:eastAsia="Times New Roman" w:hAnsi="Times New Roman" w:cs="Times New Roman"/>
                <w:sz w:val="24"/>
                <w:szCs w:val="24"/>
                <w:lang w:eastAsia="fr-FR"/>
              </w:rPr>
              <w:br/>
              <w:t>de soudures par gammagraphie), etc.)</w:t>
            </w:r>
          </w:p>
        </w:tc>
        <w:tc>
          <w:tcPr>
            <w:tcW w:w="0" w:type="auto"/>
            <w:vAlign w:val="center"/>
            <w:hideMark/>
          </w:tcPr>
          <w:p w14:paraId="15B11BCA"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0,1</w:t>
            </w:r>
          </w:p>
        </w:tc>
        <w:tc>
          <w:tcPr>
            <w:tcW w:w="0" w:type="auto"/>
            <w:vAlign w:val="center"/>
            <w:hideMark/>
          </w:tcPr>
          <w:p w14:paraId="4683C157"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479CFFD8" w14:textId="4742F035"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3</w:t>
            </w:r>
          </w:p>
        </w:tc>
      </w:tr>
      <w:tr w:rsidR="00B96866" w:rsidRPr="00B96866" w14:paraId="786510B7" w14:textId="77777777" w:rsidTr="00B96866">
        <w:trPr>
          <w:tblCellSpacing w:w="15" w:type="dxa"/>
        </w:trPr>
        <w:tc>
          <w:tcPr>
            <w:tcW w:w="0" w:type="auto"/>
            <w:vAlign w:val="center"/>
            <w:hideMark/>
          </w:tcPr>
          <w:p w14:paraId="1648C142" w14:textId="7969D73B"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Énergie nucléaire civile</w:t>
            </w:r>
          </w:p>
        </w:tc>
        <w:tc>
          <w:tcPr>
            <w:tcW w:w="0" w:type="auto"/>
            <w:vAlign w:val="center"/>
            <w:hideMark/>
          </w:tcPr>
          <w:p w14:paraId="002ACC49"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0,01</w:t>
            </w:r>
          </w:p>
        </w:tc>
        <w:tc>
          <w:tcPr>
            <w:tcW w:w="0" w:type="auto"/>
            <w:vAlign w:val="center"/>
            <w:hideMark/>
          </w:tcPr>
          <w:p w14:paraId="04EBAEB1"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14:paraId="6099692F" w14:textId="6E05F0D3"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0,3</w:t>
            </w:r>
          </w:p>
        </w:tc>
      </w:tr>
      <w:tr w:rsidR="00B96866" w:rsidRPr="00B96866" w14:paraId="3EE6F4CE" w14:textId="77777777" w:rsidTr="00B96866">
        <w:trPr>
          <w:tblCellSpacing w:w="15" w:type="dxa"/>
        </w:trPr>
        <w:tc>
          <w:tcPr>
            <w:tcW w:w="0" w:type="auto"/>
            <w:vAlign w:val="center"/>
            <w:hideMark/>
          </w:tcPr>
          <w:p w14:paraId="583F31F8" w14:textId="74F4CB1B"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Total</w:t>
            </w:r>
          </w:p>
        </w:tc>
        <w:tc>
          <w:tcPr>
            <w:tcW w:w="0" w:type="auto"/>
            <w:vAlign w:val="center"/>
            <w:hideMark/>
          </w:tcPr>
          <w:p w14:paraId="0B6CC9BE"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3,1</w:t>
            </w:r>
          </w:p>
        </w:tc>
        <w:tc>
          <w:tcPr>
            <w:tcW w:w="0" w:type="auto"/>
            <w:vAlign w:val="center"/>
            <w:hideMark/>
          </w:tcPr>
          <w:p w14:paraId="67843EE9"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77</w:t>
            </w:r>
          </w:p>
        </w:tc>
        <w:tc>
          <w:tcPr>
            <w:tcW w:w="0" w:type="auto"/>
            <w:vAlign w:val="center"/>
            <w:hideMark/>
          </w:tcPr>
          <w:p w14:paraId="576E5605" w14:textId="77777777" w:rsidR="00B96866" w:rsidRPr="00B96866" w:rsidRDefault="00B96866" w:rsidP="00B96866">
            <w:pPr>
              <w:spacing w:after="0" w:line="240" w:lineRule="auto"/>
              <w:jc w:val="center"/>
              <w:rPr>
                <w:rFonts w:ascii="Times New Roman" w:eastAsia="Times New Roman" w:hAnsi="Times New Roman" w:cs="Times New Roman"/>
                <w:sz w:val="24"/>
                <w:szCs w:val="24"/>
                <w:lang w:eastAsia="fr-FR"/>
              </w:rPr>
            </w:pPr>
            <w:r w:rsidRPr="00B96866">
              <w:rPr>
                <w:rFonts w:ascii="Times New Roman" w:eastAsia="Times New Roman" w:hAnsi="Times New Roman" w:cs="Times New Roman"/>
                <w:sz w:val="24"/>
                <w:szCs w:val="24"/>
                <w:lang w:eastAsia="fr-FR"/>
              </w:rPr>
              <w:t>23</w:t>
            </w:r>
          </w:p>
        </w:tc>
      </w:tr>
    </w:tbl>
    <w:p w14:paraId="21F6F28C" w14:textId="77777777" w:rsidR="00B96866" w:rsidRPr="00CB34BF" w:rsidRDefault="00B96866" w:rsidP="00B96866">
      <w:pPr>
        <w:spacing w:before="100" w:beforeAutospacing="1" w:after="100" w:afterAutospacing="1" w:line="240" w:lineRule="auto"/>
        <w:jc w:val="both"/>
        <w:rPr>
          <w:rFonts w:ascii="Times New Roman" w:eastAsia="Times New Roman" w:hAnsi="Times New Roman" w:cs="Times New Roman"/>
          <w:sz w:val="24"/>
          <w:szCs w:val="24"/>
          <w:lang w:eastAsia="fr-FR"/>
        </w:rPr>
      </w:pPr>
    </w:p>
    <w:sectPr w:rsidR="00B96866" w:rsidRPr="00CB34BF">
      <w:headerReference w:type="default" r:id="rId20"/>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3988D" w14:textId="77777777" w:rsidR="0038537D" w:rsidRDefault="0038537D" w:rsidP="00D078BD">
      <w:pPr>
        <w:spacing w:after="0" w:line="240" w:lineRule="auto"/>
      </w:pPr>
      <w:r>
        <w:separator/>
      </w:r>
    </w:p>
  </w:endnote>
  <w:endnote w:type="continuationSeparator" w:id="0">
    <w:p w14:paraId="1BDE4536" w14:textId="77777777" w:rsidR="0038537D" w:rsidRDefault="0038537D"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6BBDA" w14:textId="77777777" w:rsidR="0038537D" w:rsidRDefault="0038537D" w:rsidP="00D078BD">
      <w:pPr>
        <w:spacing w:after="0" w:line="240" w:lineRule="auto"/>
      </w:pPr>
      <w:r>
        <w:separator/>
      </w:r>
    </w:p>
  </w:footnote>
  <w:footnote w:type="continuationSeparator" w:id="0">
    <w:p w14:paraId="7AD26CF1" w14:textId="77777777" w:rsidR="0038537D" w:rsidRDefault="0038537D"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68AB5FF0" w:rsidR="00D078BD" w:rsidRDefault="00D078BD">
    <w:pPr>
      <w:pStyle w:val="En-tte"/>
    </w:pPr>
    <w:r>
      <w:t xml:space="preserve">PHYSIQUE – </w:t>
    </w:r>
    <w:r w:rsidR="00C76ADC" w:rsidRPr="00C76ADC">
      <w:t>Radioactivité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807E5"/>
    <w:multiLevelType w:val="multilevel"/>
    <w:tmpl w:val="2864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B42B9"/>
    <w:multiLevelType w:val="multilevel"/>
    <w:tmpl w:val="F07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64C46"/>
    <w:multiLevelType w:val="multilevel"/>
    <w:tmpl w:val="CDA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E4550"/>
    <w:multiLevelType w:val="multilevel"/>
    <w:tmpl w:val="BFF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813E9"/>
    <w:multiLevelType w:val="multilevel"/>
    <w:tmpl w:val="243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227E3"/>
    <w:multiLevelType w:val="multilevel"/>
    <w:tmpl w:val="BB706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D1C18"/>
    <w:multiLevelType w:val="multilevel"/>
    <w:tmpl w:val="ECB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77C5A"/>
    <w:multiLevelType w:val="multilevel"/>
    <w:tmpl w:val="AFC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9543A"/>
    <w:multiLevelType w:val="multilevel"/>
    <w:tmpl w:val="DD64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82087"/>
    <w:multiLevelType w:val="multilevel"/>
    <w:tmpl w:val="1C48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06027"/>
    <w:multiLevelType w:val="multilevel"/>
    <w:tmpl w:val="FA48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82A02"/>
    <w:multiLevelType w:val="multilevel"/>
    <w:tmpl w:val="A29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44018">
    <w:abstractNumId w:val="0"/>
  </w:num>
  <w:num w:numId="2" w16cid:durableId="455176040">
    <w:abstractNumId w:val="3"/>
  </w:num>
  <w:num w:numId="3" w16cid:durableId="874345128">
    <w:abstractNumId w:val="2"/>
  </w:num>
  <w:num w:numId="4" w16cid:durableId="1784765755">
    <w:abstractNumId w:val="6"/>
  </w:num>
  <w:num w:numId="5" w16cid:durableId="1784378633">
    <w:abstractNumId w:val="10"/>
  </w:num>
  <w:num w:numId="6" w16cid:durableId="875432716">
    <w:abstractNumId w:val="1"/>
  </w:num>
  <w:num w:numId="7" w16cid:durableId="2042247382">
    <w:abstractNumId w:val="7"/>
  </w:num>
  <w:num w:numId="8" w16cid:durableId="979385080">
    <w:abstractNumId w:val="11"/>
  </w:num>
  <w:num w:numId="9" w16cid:durableId="1812670514">
    <w:abstractNumId w:val="8"/>
  </w:num>
  <w:num w:numId="10" w16cid:durableId="1115825219">
    <w:abstractNumId w:val="4"/>
  </w:num>
  <w:num w:numId="11" w16cid:durableId="1159537167">
    <w:abstractNumId w:val="9"/>
  </w:num>
  <w:num w:numId="12" w16cid:durableId="1891488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835FB"/>
    <w:rsid w:val="0038537D"/>
    <w:rsid w:val="003B22A5"/>
    <w:rsid w:val="004455E5"/>
    <w:rsid w:val="00526030"/>
    <w:rsid w:val="00536533"/>
    <w:rsid w:val="00550C8D"/>
    <w:rsid w:val="006246EC"/>
    <w:rsid w:val="006F5E90"/>
    <w:rsid w:val="00813A80"/>
    <w:rsid w:val="00960BC2"/>
    <w:rsid w:val="00975931"/>
    <w:rsid w:val="00B96866"/>
    <w:rsid w:val="00B96967"/>
    <w:rsid w:val="00BB69D5"/>
    <w:rsid w:val="00C76ADC"/>
    <w:rsid w:val="00CB34BF"/>
    <w:rsid w:val="00CD3710"/>
    <w:rsid w:val="00D078BD"/>
    <w:rsid w:val="00D90C02"/>
    <w:rsid w:val="00FE77D8"/>
    <w:rsid w:val="00FF72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6A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FE77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76ADC"/>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6F5E90"/>
    <w:rPr>
      <w:color w:val="0000FF"/>
      <w:u w:val="single"/>
    </w:rPr>
  </w:style>
  <w:style w:type="paragraph" w:styleId="NormalWeb">
    <w:name w:val="Normal (Web)"/>
    <w:basedOn w:val="Normal"/>
    <w:uiPriority w:val="99"/>
    <w:unhideWhenUsed/>
    <w:rsid w:val="003835F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FE77D8"/>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FE77D8"/>
  </w:style>
  <w:style w:type="character" w:customStyle="1" w:styleId="nowrap">
    <w:name w:val="nowrap"/>
    <w:basedOn w:val="Policepardfaut"/>
    <w:rsid w:val="00FE77D8"/>
  </w:style>
  <w:style w:type="character" w:customStyle="1" w:styleId="texhtml">
    <w:name w:val="texhtml"/>
    <w:basedOn w:val="Policepardfaut"/>
    <w:rsid w:val="00FE77D8"/>
  </w:style>
  <w:style w:type="character" w:customStyle="1" w:styleId="unicode">
    <w:name w:val="unicode"/>
    <w:basedOn w:val="Policepardfaut"/>
    <w:rsid w:val="00FE77D8"/>
  </w:style>
  <w:style w:type="character" w:customStyle="1" w:styleId="mwe-math-mathml-inline">
    <w:name w:val="mwe-math-mathml-inline"/>
    <w:basedOn w:val="Policepardfaut"/>
    <w:rsid w:val="00813A80"/>
  </w:style>
  <w:style w:type="paragraph" w:styleId="En-ttedetabledesmatires">
    <w:name w:val="TOC Heading"/>
    <w:basedOn w:val="Titre1"/>
    <w:next w:val="Normal"/>
    <w:uiPriority w:val="39"/>
    <w:unhideWhenUsed/>
    <w:qFormat/>
    <w:rsid w:val="00960BC2"/>
    <w:pPr>
      <w:outlineLvl w:val="9"/>
    </w:pPr>
    <w:rPr>
      <w:lang w:eastAsia="fr-FR"/>
    </w:rPr>
  </w:style>
  <w:style w:type="paragraph" w:styleId="TM1">
    <w:name w:val="toc 1"/>
    <w:basedOn w:val="Normal"/>
    <w:next w:val="Normal"/>
    <w:autoRedefine/>
    <w:uiPriority w:val="39"/>
    <w:unhideWhenUsed/>
    <w:rsid w:val="00960BC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9501">
      <w:bodyDiv w:val="1"/>
      <w:marLeft w:val="0"/>
      <w:marRight w:val="0"/>
      <w:marTop w:val="0"/>
      <w:marBottom w:val="0"/>
      <w:divBdr>
        <w:top w:val="none" w:sz="0" w:space="0" w:color="auto"/>
        <w:left w:val="none" w:sz="0" w:space="0" w:color="auto"/>
        <w:bottom w:val="none" w:sz="0" w:space="0" w:color="auto"/>
        <w:right w:val="none" w:sz="0" w:space="0" w:color="auto"/>
      </w:divBdr>
    </w:div>
    <w:div w:id="433744110">
      <w:bodyDiv w:val="1"/>
      <w:marLeft w:val="0"/>
      <w:marRight w:val="0"/>
      <w:marTop w:val="0"/>
      <w:marBottom w:val="0"/>
      <w:divBdr>
        <w:top w:val="none" w:sz="0" w:space="0" w:color="auto"/>
        <w:left w:val="none" w:sz="0" w:space="0" w:color="auto"/>
        <w:bottom w:val="none" w:sz="0" w:space="0" w:color="auto"/>
        <w:right w:val="none" w:sz="0" w:space="0" w:color="auto"/>
      </w:divBdr>
    </w:div>
    <w:div w:id="690225373">
      <w:bodyDiv w:val="1"/>
      <w:marLeft w:val="0"/>
      <w:marRight w:val="0"/>
      <w:marTop w:val="0"/>
      <w:marBottom w:val="0"/>
      <w:divBdr>
        <w:top w:val="none" w:sz="0" w:space="0" w:color="auto"/>
        <w:left w:val="none" w:sz="0" w:space="0" w:color="auto"/>
        <w:bottom w:val="none" w:sz="0" w:space="0" w:color="auto"/>
        <w:right w:val="none" w:sz="0" w:space="0" w:color="auto"/>
      </w:divBdr>
    </w:div>
    <w:div w:id="864564806">
      <w:bodyDiv w:val="1"/>
      <w:marLeft w:val="0"/>
      <w:marRight w:val="0"/>
      <w:marTop w:val="0"/>
      <w:marBottom w:val="0"/>
      <w:divBdr>
        <w:top w:val="none" w:sz="0" w:space="0" w:color="auto"/>
        <w:left w:val="none" w:sz="0" w:space="0" w:color="auto"/>
        <w:bottom w:val="none" w:sz="0" w:space="0" w:color="auto"/>
        <w:right w:val="none" w:sz="0" w:space="0" w:color="auto"/>
      </w:divBdr>
    </w:div>
    <w:div w:id="1019503546">
      <w:bodyDiv w:val="1"/>
      <w:marLeft w:val="0"/>
      <w:marRight w:val="0"/>
      <w:marTop w:val="0"/>
      <w:marBottom w:val="0"/>
      <w:divBdr>
        <w:top w:val="none" w:sz="0" w:space="0" w:color="auto"/>
        <w:left w:val="none" w:sz="0" w:space="0" w:color="auto"/>
        <w:bottom w:val="none" w:sz="0" w:space="0" w:color="auto"/>
        <w:right w:val="none" w:sz="0" w:space="0" w:color="auto"/>
      </w:divBdr>
    </w:div>
    <w:div w:id="2010449713">
      <w:bodyDiv w:val="1"/>
      <w:marLeft w:val="0"/>
      <w:marRight w:val="0"/>
      <w:marTop w:val="0"/>
      <w:marBottom w:val="0"/>
      <w:divBdr>
        <w:top w:val="none" w:sz="0" w:space="0" w:color="auto"/>
        <w:left w:val="none" w:sz="0" w:space="0" w:color="auto"/>
        <w:bottom w:val="none" w:sz="0" w:space="0" w:color="auto"/>
        <w:right w:val="none" w:sz="0" w:space="0" w:color="auto"/>
      </w:divBdr>
    </w:div>
    <w:div w:id="2038195690">
      <w:bodyDiv w:val="1"/>
      <w:marLeft w:val="0"/>
      <w:marRight w:val="0"/>
      <w:marTop w:val="0"/>
      <w:marBottom w:val="0"/>
      <w:divBdr>
        <w:top w:val="none" w:sz="0" w:space="0" w:color="auto"/>
        <w:left w:val="none" w:sz="0" w:space="0" w:color="auto"/>
        <w:bottom w:val="none" w:sz="0" w:space="0" w:color="auto"/>
        <w:right w:val="none" w:sz="0" w:space="0" w:color="auto"/>
      </w:divBdr>
      <w:divsChild>
        <w:div w:id="528417823">
          <w:marLeft w:val="0"/>
          <w:marRight w:val="0"/>
          <w:marTop w:val="0"/>
          <w:marBottom w:val="0"/>
          <w:divBdr>
            <w:top w:val="none" w:sz="0" w:space="0" w:color="auto"/>
            <w:left w:val="none" w:sz="0" w:space="0" w:color="auto"/>
            <w:bottom w:val="none" w:sz="0" w:space="0" w:color="auto"/>
            <w:right w:val="none" w:sz="0" w:space="0" w:color="auto"/>
          </w:divBdr>
          <w:divsChild>
            <w:div w:id="297802938">
              <w:marLeft w:val="0"/>
              <w:marRight w:val="0"/>
              <w:marTop w:val="0"/>
              <w:marBottom w:val="0"/>
              <w:divBdr>
                <w:top w:val="none" w:sz="0" w:space="0" w:color="auto"/>
                <w:left w:val="none" w:sz="0" w:space="0" w:color="auto"/>
                <w:bottom w:val="none" w:sz="0" w:space="0" w:color="auto"/>
                <w:right w:val="none" w:sz="0" w:space="0" w:color="auto"/>
              </w:divBdr>
            </w:div>
          </w:divsChild>
        </w:div>
        <w:div w:id="1590968659">
          <w:marLeft w:val="0"/>
          <w:marRight w:val="0"/>
          <w:marTop w:val="0"/>
          <w:marBottom w:val="0"/>
          <w:divBdr>
            <w:top w:val="none" w:sz="0" w:space="0" w:color="auto"/>
            <w:left w:val="none" w:sz="0" w:space="0" w:color="auto"/>
            <w:bottom w:val="none" w:sz="0" w:space="0" w:color="auto"/>
            <w:right w:val="none" w:sz="0" w:space="0" w:color="auto"/>
          </w:divBdr>
          <w:divsChild>
            <w:div w:id="544026753">
              <w:marLeft w:val="0"/>
              <w:marRight w:val="0"/>
              <w:marTop w:val="0"/>
              <w:marBottom w:val="0"/>
              <w:divBdr>
                <w:top w:val="none" w:sz="0" w:space="0" w:color="auto"/>
                <w:left w:val="none" w:sz="0" w:space="0" w:color="auto"/>
                <w:bottom w:val="none" w:sz="0" w:space="0" w:color="auto"/>
                <w:right w:val="none" w:sz="0" w:space="0" w:color="auto"/>
              </w:divBdr>
            </w:div>
          </w:divsChild>
        </w:div>
        <w:div w:id="792603154">
          <w:marLeft w:val="0"/>
          <w:marRight w:val="0"/>
          <w:marTop w:val="0"/>
          <w:marBottom w:val="0"/>
          <w:divBdr>
            <w:top w:val="none" w:sz="0" w:space="0" w:color="auto"/>
            <w:left w:val="none" w:sz="0" w:space="0" w:color="auto"/>
            <w:bottom w:val="none" w:sz="0" w:space="0" w:color="auto"/>
            <w:right w:val="none" w:sz="0" w:space="0" w:color="auto"/>
          </w:divBdr>
          <w:divsChild>
            <w:div w:id="1265573898">
              <w:marLeft w:val="0"/>
              <w:marRight w:val="0"/>
              <w:marTop w:val="0"/>
              <w:marBottom w:val="0"/>
              <w:divBdr>
                <w:top w:val="none" w:sz="0" w:space="0" w:color="auto"/>
                <w:left w:val="none" w:sz="0" w:space="0" w:color="auto"/>
                <w:bottom w:val="none" w:sz="0" w:space="0" w:color="auto"/>
                <w:right w:val="none" w:sz="0" w:space="0" w:color="auto"/>
              </w:divBdr>
              <w:divsChild>
                <w:div w:id="85048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3159">
          <w:marLeft w:val="0"/>
          <w:marRight w:val="0"/>
          <w:marTop w:val="0"/>
          <w:marBottom w:val="0"/>
          <w:divBdr>
            <w:top w:val="none" w:sz="0" w:space="0" w:color="auto"/>
            <w:left w:val="none" w:sz="0" w:space="0" w:color="auto"/>
            <w:bottom w:val="none" w:sz="0" w:space="0" w:color="auto"/>
            <w:right w:val="none" w:sz="0" w:space="0" w:color="auto"/>
          </w:divBdr>
          <w:divsChild>
            <w:div w:id="137384921">
              <w:marLeft w:val="0"/>
              <w:marRight w:val="0"/>
              <w:marTop w:val="0"/>
              <w:marBottom w:val="0"/>
              <w:divBdr>
                <w:top w:val="none" w:sz="0" w:space="0" w:color="auto"/>
                <w:left w:val="none" w:sz="0" w:space="0" w:color="auto"/>
                <w:bottom w:val="none" w:sz="0" w:space="0" w:color="auto"/>
                <w:right w:val="none" w:sz="0" w:space="0" w:color="auto"/>
              </w:divBdr>
            </w:div>
          </w:divsChild>
        </w:div>
        <w:div w:id="490801506">
          <w:marLeft w:val="0"/>
          <w:marRight w:val="0"/>
          <w:marTop w:val="0"/>
          <w:marBottom w:val="0"/>
          <w:divBdr>
            <w:top w:val="none" w:sz="0" w:space="0" w:color="auto"/>
            <w:left w:val="none" w:sz="0" w:space="0" w:color="auto"/>
            <w:bottom w:val="none" w:sz="0" w:space="0" w:color="auto"/>
            <w:right w:val="none" w:sz="0" w:space="0" w:color="auto"/>
          </w:divBdr>
          <w:divsChild>
            <w:div w:id="846018107">
              <w:marLeft w:val="0"/>
              <w:marRight w:val="0"/>
              <w:marTop w:val="0"/>
              <w:marBottom w:val="0"/>
              <w:divBdr>
                <w:top w:val="none" w:sz="0" w:space="0" w:color="auto"/>
                <w:left w:val="none" w:sz="0" w:space="0" w:color="auto"/>
                <w:bottom w:val="none" w:sz="0" w:space="0" w:color="auto"/>
                <w:right w:val="none" w:sz="0" w:space="0" w:color="auto"/>
              </w:divBdr>
              <w:divsChild>
                <w:div w:id="10572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2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commons.wikimedia.org/wiki/File:Modes_de_d%C3%A9sint%C3%A9gration_radioactive.svg?uselang=fr"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commons.wikimedia.org/wiki/File:Table_isotopes.svg?uselang=fr"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2518</Words>
  <Characters>13850</Characters>
  <Application>Microsoft Office Word</Application>
  <DocSecurity>0</DocSecurity>
  <Lines>115</Lines>
  <Paragraphs>32</Paragraphs>
  <ScaleCrop>false</ScaleCrop>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16</cp:revision>
  <dcterms:created xsi:type="dcterms:W3CDTF">2022-12-21T14:44:00Z</dcterms:created>
  <dcterms:modified xsi:type="dcterms:W3CDTF">2023-04-22T13:42:00Z</dcterms:modified>
</cp:coreProperties>
</file>