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672D6" w14:textId="77777777" w:rsidR="004F5966" w:rsidRDefault="00A4008F" w:rsidP="00B83D61">
      <w:pPr>
        <w:pStyle w:val="Titre1"/>
        <w:jc w:val="both"/>
      </w:pPr>
      <w:bookmarkStart w:id="0" w:name="_Toc133070602"/>
      <w:r>
        <w:t>Radiotélescope</w:t>
      </w:r>
      <w:bookmarkEnd w:id="0"/>
    </w:p>
    <w:sdt>
      <w:sdtPr>
        <w:id w:val="-1288587145"/>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373A4C3" w14:textId="4A040CB7" w:rsidR="004F5966" w:rsidRDefault="004F5966">
          <w:pPr>
            <w:pStyle w:val="En-ttedetabledesmatires"/>
          </w:pPr>
          <w:r>
            <w:t>Table des matières</w:t>
          </w:r>
        </w:p>
        <w:p w14:paraId="59829282" w14:textId="52BBA827" w:rsidR="004F5966" w:rsidRDefault="004F5966">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133070602" w:history="1">
            <w:r w:rsidRPr="00983A95">
              <w:rPr>
                <w:rStyle w:val="Lienhypertexte"/>
                <w:noProof/>
              </w:rPr>
              <w:t>Radiotélescope</w:t>
            </w:r>
            <w:r>
              <w:rPr>
                <w:noProof/>
                <w:webHidden/>
              </w:rPr>
              <w:tab/>
            </w:r>
            <w:r>
              <w:rPr>
                <w:noProof/>
                <w:webHidden/>
              </w:rPr>
              <w:fldChar w:fldCharType="begin"/>
            </w:r>
            <w:r>
              <w:rPr>
                <w:noProof/>
                <w:webHidden/>
              </w:rPr>
              <w:instrText xml:space="preserve"> PAGEREF _Toc133070602 \h </w:instrText>
            </w:r>
            <w:r>
              <w:rPr>
                <w:noProof/>
                <w:webHidden/>
              </w:rPr>
            </w:r>
            <w:r>
              <w:rPr>
                <w:noProof/>
                <w:webHidden/>
              </w:rPr>
              <w:fldChar w:fldCharType="separate"/>
            </w:r>
            <w:r>
              <w:rPr>
                <w:noProof/>
                <w:webHidden/>
              </w:rPr>
              <w:t>1</w:t>
            </w:r>
            <w:r>
              <w:rPr>
                <w:noProof/>
                <w:webHidden/>
              </w:rPr>
              <w:fldChar w:fldCharType="end"/>
            </w:r>
          </w:hyperlink>
        </w:p>
        <w:p w14:paraId="013B7CE4" w14:textId="2FCD100D" w:rsidR="004F5966" w:rsidRDefault="004F5966">
          <w:pPr>
            <w:pStyle w:val="TM2"/>
            <w:tabs>
              <w:tab w:val="right" w:leader="dot" w:pos="9062"/>
            </w:tabs>
            <w:rPr>
              <w:rFonts w:eastAsiaTheme="minorEastAsia"/>
              <w:noProof/>
              <w:lang w:eastAsia="fr-FR"/>
            </w:rPr>
          </w:pPr>
          <w:hyperlink w:anchor="_Toc133070603" w:history="1">
            <w:r w:rsidRPr="00983A95">
              <w:rPr>
                <w:rStyle w:val="Lienhypertexte"/>
                <w:b/>
                <w:bCs/>
                <w:noProof/>
              </w:rPr>
              <w:t>Introduction</w:t>
            </w:r>
            <w:r>
              <w:rPr>
                <w:noProof/>
                <w:webHidden/>
              </w:rPr>
              <w:tab/>
            </w:r>
            <w:r>
              <w:rPr>
                <w:noProof/>
                <w:webHidden/>
              </w:rPr>
              <w:fldChar w:fldCharType="begin"/>
            </w:r>
            <w:r>
              <w:rPr>
                <w:noProof/>
                <w:webHidden/>
              </w:rPr>
              <w:instrText xml:space="preserve"> PAGEREF _Toc133070603 \h </w:instrText>
            </w:r>
            <w:r>
              <w:rPr>
                <w:noProof/>
                <w:webHidden/>
              </w:rPr>
            </w:r>
            <w:r>
              <w:rPr>
                <w:noProof/>
                <w:webHidden/>
              </w:rPr>
              <w:fldChar w:fldCharType="separate"/>
            </w:r>
            <w:r>
              <w:rPr>
                <w:noProof/>
                <w:webHidden/>
              </w:rPr>
              <w:t>1</w:t>
            </w:r>
            <w:r>
              <w:rPr>
                <w:noProof/>
                <w:webHidden/>
              </w:rPr>
              <w:fldChar w:fldCharType="end"/>
            </w:r>
          </w:hyperlink>
        </w:p>
        <w:p w14:paraId="6232ED60" w14:textId="1BA048D9" w:rsidR="004F5966" w:rsidRDefault="004F5966">
          <w:pPr>
            <w:pStyle w:val="TM2"/>
            <w:tabs>
              <w:tab w:val="right" w:leader="dot" w:pos="9062"/>
            </w:tabs>
            <w:rPr>
              <w:rFonts w:eastAsiaTheme="minorEastAsia"/>
              <w:noProof/>
              <w:lang w:eastAsia="fr-FR"/>
            </w:rPr>
          </w:pPr>
          <w:hyperlink w:anchor="_Toc133070604" w:history="1">
            <w:r w:rsidRPr="00983A95">
              <w:rPr>
                <w:rStyle w:val="Lienhypertexte"/>
                <w:b/>
                <w:bCs/>
                <w:noProof/>
              </w:rPr>
              <w:t>Collecteur</w:t>
            </w:r>
            <w:r>
              <w:rPr>
                <w:noProof/>
                <w:webHidden/>
              </w:rPr>
              <w:tab/>
            </w:r>
            <w:r>
              <w:rPr>
                <w:noProof/>
                <w:webHidden/>
              </w:rPr>
              <w:fldChar w:fldCharType="begin"/>
            </w:r>
            <w:r>
              <w:rPr>
                <w:noProof/>
                <w:webHidden/>
              </w:rPr>
              <w:instrText xml:space="preserve"> PAGEREF _Toc133070604 \h </w:instrText>
            </w:r>
            <w:r>
              <w:rPr>
                <w:noProof/>
                <w:webHidden/>
              </w:rPr>
            </w:r>
            <w:r>
              <w:rPr>
                <w:noProof/>
                <w:webHidden/>
              </w:rPr>
              <w:fldChar w:fldCharType="separate"/>
            </w:r>
            <w:r>
              <w:rPr>
                <w:noProof/>
                <w:webHidden/>
              </w:rPr>
              <w:t>1</w:t>
            </w:r>
            <w:r>
              <w:rPr>
                <w:noProof/>
                <w:webHidden/>
              </w:rPr>
              <w:fldChar w:fldCharType="end"/>
            </w:r>
          </w:hyperlink>
        </w:p>
        <w:p w14:paraId="56C95EB5" w14:textId="59F2FBA1" w:rsidR="004F5966" w:rsidRDefault="004F5966">
          <w:pPr>
            <w:pStyle w:val="TM2"/>
            <w:tabs>
              <w:tab w:val="right" w:leader="dot" w:pos="9062"/>
            </w:tabs>
            <w:rPr>
              <w:rFonts w:eastAsiaTheme="minorEastAsia"/>
              <w:noProof/>
              <w:lang w:eastAsia="fr-FR"/>
            </w:rPr>
          </w:pPr>
          <w:hyperlink w:anchor="_Toc133070605" w:history="1">
            <w:r w:rsidRPr="00983A95">
              <w:rPr>
                <w:rStyle w:val="Lienhypertexte"/>
                <w:b/>
                <w:bCs/>
                <w:noProof/>
              </w:rPr>
              <w:t>Radiotélescope interféromètre</w:t>
            </w:r>
            <w:r>
              <w:rPr>
                <w:noProof/>
                <w:webHidden/>
              </w:rPr>
              <w:tab/>
            </w:r>
            <w:r>
              <w:rPr>
                <w:noProof/>
                <w:webHidden/>
              </w:rPr>
              <w:fldChar w:fldCharType="begin"/>
            </w:r>
            <w:r>
              <w:rPr>
                <w:noProof/>
                <w:webHidden/>
              </w:rPr>
              <w:instrText xml:space="preserve"> PAGEREF _Toc133070605 \h </w:instrText>
            </w:r>
            <w:r>
              <w:rPr>
                <w:noProof/>
                <w:webHidden/>
              </w:rPr>
            </w:r>
            <w:r>
              <w:rPr>
                <w:noProof/>
                <w:webHidden/>
              </w:rPr>
              <w:fldChar w:fldCharType="separate"/>
            </w:r>
            <w:r>
              <w:rPr>
                <w:noProof/>
                <w:webHidden/>
              </w:rPr>
              <w:t>2</w:t>
            </w:r>
            <w:r>
              <w:rPr>
                <w:noProof/>
                <w:webHidden/>
              </w:rPr>
              <w:fldChar w:fldCharType="end"/>
            </w:r>
          </w:hyperlink>
        </w:p>
        <w:p w14:paraId="06431B1A" w14:textId="15489424" w:rsidR="004F5966" w:rsidRDefault="004F5966">
          <w:pPr>
            <w:pStyle w:val="TM2"/>
            <w:tabs>
              <w:tab w:val="right" w:leader="dot" w:pos="9062"/>
            </w:tabs>
            <w:rPr>
              <w:rFonts w:eastAsiaTheme="minorEastAsia"/>
              <w:noProof/>
              <w:lang w:eastAsia="fr-FR"/>
            </w:rPr>
          </w:pPr>
          <w:hyperlink w:anchor="_Toc133070606" w:history="1">
            <w:r w:rsidRPr="00983A95">
              <w:rPr>
                <w:rStyle w:val="Lienhypertexte"/>
                <w:b/>
                <w:bCs/>
                <w:noProof/>
              </w:rPr>
              <w:t>Bandes de radioastronomie</w:t>
            </w:r>
            <w:r>
              <w:rPr>
                <w:noProof/>
                <w:webHidden/>
              </w:rPr>
              <w:tab/>
            </w:r>
            <w:r>
              <w:rPr>
                <w:noProof/>
                <w:webHidden/>
              </w:rPr>
              <w:fldChar w:fldCharType="begin"/>
            </w:r>
            <w:r>
              <w:rPr>
                <w:noProof/>
                <w:webHidden/>
              </w:rPr>
              <w:instrText xml:space="preserve"> PAGEREF _Toc133070606 \h </w:instrText>
            </w:r>
            <w:r>
              <w:rPr>
                <w:noProof/>
                <w:webHidden/>
              </w:rPr>
            </w:r>
            <w:r>
              <w:rPr>
                <w:noProof/>
                <w:webHidden/>
              </w:rPr>
              <w:fldChar w:fldCharType="separate"/>
            </w:r>
            <w:r>
              <w:rPr>
                <w:noProof/>
                <w:webHidden/>
              </w:rPr>
              <w:t>2</w:t>
            </w:r>
            <w:r>
              <w:rPr>
                <w:noProof/>
                <w:webHidden/>
              </w:rPr>
              <w:fldChar w:fldCharType="end"/>
            </w:r>
          </w:hyperlink>
        </w:p>
        <w:p w14:paraId="577363A6" w14:textId="3CD40AE2" w:rsidR="004F5966" w:rsidRDefault="004F5966">
          <w:pPr>
            <w:pStyle w:val="TM2"/>
            <w:tabs>
              <w:tab w:val="right" w:leader="dot" w:pos="9062"/>
            </w:tabs>
            <w:rPr>
              <w:rFonts w:eastAsiaTheme="minorEastAsia"/>
              <w:noProof/>
              <w:lang w:eastAsia="fr-FR"/>
            </w:rPr>
          </w:pPr>
          <w:hyperlink w:anchor="_Toc133070607" w:history="1">
            <w:r w:rsidRPr="00983A95">
              <w:rPr>
                <w:rStyle w:val="Lienhypertexte"/>
                <w:b/>
                <w:bCs/>
                <w:noProof/>
                <w:lang w:val="en-US"/>
              </w:rPr>
              <w:t>L’</w:t>
            </w:r>
            <w:r w:rsidRPr="00983A95">
              <w:rPr>
                <w:rStyle w:val="Lienhypertexte"/>
                <w:b/>
                <w:bCs/>
                <w:i/>
                <w:iCs/>
                <w:noProof/>
                <w:lang w:val="en-US"/>
              </w:rPr>
              <w:t>Atacama Large Millimeter/submillimeter Array</w:t>
            </w:r>
            <w:r w:rsidRPr="00983A95">
              <w:rPr>
                <w:rStyle w:val="Lienhypertexte"/>
                <w:b/>
                <w:bCs/>
                <w:noProof/>
                <w:lang w:val="en-US"/>
              </w:rPr>
              <w:t xml:space="preserve"> (ALMA)</w:t>
            </w:r>
            <w:r>
              <w:rPr>
                <w:noProof/>
                <w:webHidden/>
              </w:rPr>
              <w:tab/>
            </w:r>
            <w:r>
              <w:rPr>
                <w:noProof/>
                <w:webHidden/>
              </w:rPr>
              <w:fldChar w:fldCharType="begin"/>
            </w:r>
            <w:r>
              <w:rPr>
                <w:noProof/>
                <w:webHidden/>
              </w:rPr>
              <w:instrText xml:space="preserve"> PAGEREF _Toc133070607 \h </w:instrText>
            </w:r>
            <w:r>
              <w:rPr>
                <w:noProof/>
                <w:webHidden/>
              </w:rPr>
            </w:r>
            <w:r>
              <w:rPr>
                <w:noProof/>
                <w:webHidden/>
              </w:rPr>
              <w:fldChar w:fldCharType="separate"/>
            </w:r>
            <w:r>
              <w:rPr>
                <w:noProof/>
                <w:webHidden/>
              </w:rPr>
              <w:t>4</w:t>
            </w:r>
            <w:r>
              <w:rPr>
                <w:noProof/>
                <w:webHidden/>
              </w:rPr>
              <w:fldChar w:fldCharType="end"/>
            </w:r>
          </w:hyperlink>
        </w:p>
        <w:p w14:paraId="00C2C1C8" w14:textId="64CF699E" w:rsidR="004F5966" w:rsidRDefault="004F5966">
          <w:pPr>
            <w:pStyle w:val="TM2"/>
            <w:tabs>
              <w:tab w:val="right" w:leader="dot" w:pos="9062"/>
            </w:tabs>
            <w:rPr>
              <w:rFonts w:eastAsiaTheme="minorEastAsia"/>
              <w:noProof/>
              <w:lang w:eastAsia="fr-FR"/>
            </w:rPr>
          </w:pPr>
          <w:hyperlink w:anchor="_Toc133070608" w:history="1">
            <w:r w:rsidRPr="00983A95">
              <w:rPr>
                <w:rStyle w:val="Lienhypertexte"/>
                <w:b/>
                <w:bCs/>
                <w:noProof/>
              </w:rPr>
              <w:t xml:space="preserve">Le </w:t>
            </w:r>
            <w:r w:rsidRPr="00983A95">
              <w:rPr>
                <w:rStyle w:val="Lienhypertexte"/>
                <w:b/>
                <w:bCs/>
                <w:i/>
                <w:iCs/>
                <w:noProof/>
              </w:rPr>
              <w:t>Square Kilometre Array</w:t>
            </w:r>
            <w:r w:rsidRPr="00983A95">
              <w:rPr>
                <w:rStyle w:val="Lienhypertexte"/>
                <w:b/>
                <w:bCs/>
                <w:noProof/>
              </w:rPr>
              <w:t xml:space="preserve"> (SKA)</w:t>
            </w:r>
            <w:r>
              <w:rPr>
                <w:noProof/>
                <w:webHidden/>
              </w:rPr>
              <w:tab/>
            </w:r>
            <w:r>
              <w:rPr>
                <w:noProof/>
                <w:webHidden/>
              </w:rPr>
              <w:fldChar w:fldCharType="begin"/>
            </w:r>
            <w:r>
              <w:rPr>
                <w:noProof/>
                <w:webHidden/>
              </w:rPr>
              <w:instrText xml:space="preserve"> PAGEREF _Toc133070608 \h </w:instrText>
            </w:r>
            <w:r>
              <w:rPr>
                <w:noProof/>
                <w:webHidden/>
              </w:rPr>
            </w:r>
            <w:r>
              <w:rPr>
                <w:noProof/>
                <w:webHidden/>
              </w:rPr>
              <w:fldChar w:fldCharType="separate"/>
            </w:r>
            <w:r>
              <w:rPr>
                <w:noProof/>
                <w:webHidden/>
              </w:rPr>
              <w:t>4</w:t>
            </w:r>
            <w:r>
              <w:rPr>
                <w:noProof/>
                <w:webHidden/>
              </w:rPr>
              <w:fldChar w:fldCharType="end"/>
            </w:r>
          </w:hyperlink>
        </w:p>
        <w:p w14:paraId="4A90CD67" w14:textId="1C79A462" w:rsidR="004F5966" w:rsidRDefault="004F5966">
          <w:pPr>
            <w:pStyle w:val="TM2"/>
            <w:tabs>
              <w:tab w:val="right" w:leader="dot" w:pos="9062"/>
            </w:tabs>
            <w:rPr>
              <w:rFonts w:eastAsiaTheme="minorEastAsia"/>
              <w:noProof/>
              <w:lang w:eastAsia="fr-FR"/>
            </w:rPr>
          </w:pPr>
          <w:hyperlink w:anchor="_Toc133070609" w:history="1">
            <w:r w:rsidRPr="00983A95">
              <w:rPr>
                <w:rStyle w:val="Lienhypertexte"/>
                <w:b/>
                <w:bCs/>
                <w:noProof/>
              </w:rPr>
              <w:t>La station de radioastronomie de Nançay</w:t>
            </w:r>
            <w:r>
              <w:rPr>
                <w:noProof/>
                <w:webHidden/>
              </w:rPr>
              <w:tab/>
            </w:r>
            <w:r>
              <w:rPr>
                <w:noProof/>
                <w:webHidden/>
              </w:rPr>
              <w:fldChar w:fldCharType="begin"/>
            </w:r>
            <w:r>
              <w:rPr>
                <w:noProof/>
                <w:webHidden/>
              </w:rPr>
              <w:instrText xml:space="preserve"> PAGEREF _Toc133070609 \h </w:instrText>
            </w:r>
            <w:r>
              <w:rPr>
                <w:noProof/>
                <w:webHidden/>
              </w:rPr>
            </w:r>
            <w:r>
              <w:rPr>
                <w:noProof/>
                <w:webHidden/>
              </w:rPr>
              <w:fldChar w:fldCharType="separate"/>
            </w:r>
            <w:r>
              <w:rPr>
                <w:noProof/>
                <w:webHidden/>
              </w:rPr>
              <w:t>5</w:t>
            </w:r>
            <w:r>
              <w:rPr>
                <w:noProof/>
                <w:webHidden/>
              </w:rPr>
              <w:fldChar w:fldCharType="end"/>
            </w:r>
          </w:hyperlink>
        </w:p>
        <w:p w14:paraId="3024C7A7" w14:textId="6C59C7DF" w:rsidR="004F5966" w:rsidRDefault="004F5966">
          <w:pPr>
            <w:pStyle w:val="TM2"/>
            <w:tabs>
              <w:tab w:val="right" w:leader="dot" w:pos="9062"/>
            </w:tabs>
            <w:rPr>
              <w:rFonts w:eastAsiaTheme="minorEastAsia"/>
              <w:noProof/>
              <w:lang w:eastAsia="fr-FR"/>
            </w:rPr>
          </w:pPr>
          <w:hyperlink w:anchor="_Toc133070610" w:history="1">
            <w:r w:rsidRPr="00983A95">
              <w:rPr>
                <w:rStyle w:val="Lienhypertexte"/>
                <w:b/>
                <w:bCs/>
                <w:noProof/>
              </w:rPr>
              <w:t>Telescope (GBT)</w:t>
            </w:r>
            <w:r>
              <w:rPr>
                <w:noProof/>
                <w:webHidden/>
              </w:rPr>
              <w:tab/>
            </w:r>
            <w:r>
              <w:rPr>
                <w:noProof/>
                <w:webHidden/>
              </w:rPr>
              <w:fldChar w:fldCharType="begin"/>
            </w:r>
            <w:r>
              <w:rPr>
                <w:noProof/>
                <w:webHidden/>
              </w:rPr>
              <w:instrText xml:space="preserve"> PAGEREF _Toc133070610 \h </w:instrText>
            </w:r>
            <w:r>
              <w:rPr>
                <w:noProof/>
                <w:webHidden/>
              </w:rPr>
            </w:r>
            <w:r>
              <w:rPr>
                <w:noProof/>
                <w:webHidden/>
              </w:rPr>
              <w:fldChar w:fldCharType="separate"/>
            </w:r>
            <w:r>
              <w:rPr>
                <w:noProof/>
                <w:webHidden/>
              </w:rPr>
              <w:t>6</w:t>
            </w:r>
            <w:r>
              <w:rPr>
                <w:noProof/>
                <w:webHidden/>
              </w:rPr>
              <w:fldChar w:fldCharType="end"/>
            </w:r>
          </w:hyperlink>
        </w:p>
        <w:p w14:paraId="0E0C31CE" w14:textId="615176D3" w:rsidR="004F5966" w:rsidRDefault="004F5966">
          <w:pPr>
            <w:pStyle w:val="TM2"/>
            <w:tabs>
              <w:tab w:val="right" w:leader="dot" w:pos="9062"/>
            </w:tabs>
            <w:rPr>
              <w:rFonts w:eastAsiaTheme="minorEastAsia"/>
              <w:noProof/>
              <w:lang w:eastAsia="fr-FR"/>
            </w:rPr>
          </w:pPr>
          <w:hyperlink w:anchor="_Toc133070611" w:history="1">
            <w:r w:rsidRPr="00983A95">
              <w:rPr>
                <w:rStyle w:val="Lienhypertexte"/>
                <w:b/>
                <w:bCs/>
                <w:noProof/>
              </w:rPr>
              <w:t>Radiotélescope sphérique de cinq cents mètres d'ouverture (FAST)</w:t>
            </w:r>
            <w:r>
              <w:rPr>
                <w:noProof/>
                <w:webHidden/>
              </w:rPr>
              <w:tab/>
            </w:r>
            <w:r>
              <w:rPr>
                <w:noProof/>
                <w:webHidden/>
              </w:rPr>
              <w:fldChar w:fldCharType="begin"/>
            </w:r>
            <w:r>
              <w:rPr>
                <w:noProof/>
                <w:webHidden/>
              </w:rPr>
              <w:instrText xml:space="preserve"> PAGEREF _Toc133070611 \h </w:instrText>
            </w:r>
            <w:r>
              <w:rPr>
                <w:noProof/>
                <w:webHidden/>
              </w:rPr>
            </w:r>
            <w:r>
              <w:rPr>
                <w:noProof/>
                <w:webHidden/>
              </w:rPr>
              <w:fldChar w:fldCharType="separate"/>
            </w:r>
            <w:r>
              <w:rPr>
                <w:noProof/>
                <w:webHidden/>
              </w:rPr>
              <w:t>6</w:t>
            </w:r>
            <w:r>
              <w:rPr>
                <w:noProof/>
                <w:webHidden/>
              </w:rPr>
              <w:fldChar w:fldCharType="end"/>
            </w:r>
          </w:hyperlink>
        </w:p>
        <w:p w14:paraId="56848D34" w14:textId="04DF610A" w:rsidR="004F5966" w:rsidRDefault="004F5966">
          <w:r>
            <w:rPr>
              <w:b/>
              <w:bCs/>
            </w:rPr>
            <w:fldChar w:fldCharType="end"/>
          </w:r>
        </w:p>
      </w:sdtContent>
    </w:sdt>
    <w:p w14:paraId="56A823F8" w14:textId="6D5EC8B3" w:rsidR="00B33482" w:rsidRPr="007E575E" w:rsidRDefault="00A4008F" w:rsidP="00B83D61">
      <w:pPr>
        <w:pStyle w:val="Titre1"/>
        <w:jc w:val="both"/>
      </w:pPr>
      <w:r>
        <w:t xml:space="preserve"> </w:t>
      </w:r>
    </w:p>
    <w:p w14:paraId="23ECA171" w14:textId="73D83C5A" w:rsidR="002D54BA" w:rsidRPr="004C5EB4" w:rsidRDefault="003D5A98" w:rsidP="00B83D61">
      <w:pPr>
        <w:pStyle w:val="Titre2"/>
        <w:jc w:val="both"/>
        <w:rPr>
          <w:b/>
          <w:bCs/>
        </w:rPr>
      </w:pPr>
      <w:bookmarkStart w:id="1" w:name="_Toc133070603"/>
      <w:r w:rsidRPr="004C5EB4">
        <w:rPr>
          <w:b/>
          <w:bCs/>
        </w:rPr>
        <w:t>Introduction</w:t>
      </w:r>
      <w:bookmarkEnd w:id="1"/>
    </w:p>
    <w:p w14:paraId="30BFE607" w14:textId="14CDB4A7" w:rsidR="00624379" w:rsidRPr="004C5EB4" w:rsidRDefault="00624379" w:rsidP="00B83D61">
      <w:pPr>
        <w:jc w:val="both"/>
        <w:rPr>
          <w:rFonts w:ascii="Arial" w:hAnsi="Arial" w:cs="Arial"/>
        </w:rPr>
      </w:pPr>
      <w:r w:rsidRPr="004C5EB4">
        <w:rPr>
          <w:rFonts w:ascii="Arial" w:hAnsi="Arial" w:cs="Arial"/>
        </w:rPr>
        <w:t>Un radiotélescope est un télescope spécifique utilisé en radioastronomie pour capter les ondes radioélectriques émises par les astres. Ces ondes radio, bien que plus ou moins prédites par certains physiciens comme Thomas Edison et Oliver Lodge, ne sont véritablement découvertes qu'au début des années 1930 par Karl Jansky lorsqu'il cherche l'origine de certaines interférences avec les transmissions radio terrestres. Depuis cette époque qui marque le début de la radioastronomie, les radiotélescopes sont utilisés en fonction des longueurs d'onde, aussi bien pour l'étude du Soleil, que pour celle des régions de formations stellaires, des jets de microquasars et de noyaux actifs de galaxies, ou des études cosmologiques</w:t>
      </w:r>
    </w:p>
    <w:p w14:paraId="7E9C9933" w14:textId="77777777" w:rsidR="004C5EB4" w:rsidRDefault="00624379" w:rsidP="00B83D61">
      <w:pPr>
        <w:pStyle w:val="Titre2"/>
        <w:jc w:val="both"/>
        <w:rPr>
          <w:rStyle w:val="mw-headline"/>
          <w:b/>
          <w:bCs/>
        </w:rPr>
      </w:pPr>
      <w:bookmarkStart w:id="2" w:name="_Toc133070604"/>
      <w:r w:rsidRPr="004C5EB4">
        <w:rPr>
          <w:rStyle w:val="mw-headline"/>
          <w:b/>
          <w:bCs/>
        </w:rPr>
        <w:t>Collecteur</w:t>
      </w:r>
      <w:bookmarkEnd w:id="2"/>
    </w:p>
    <w:p w14:paraId="0B3BD6FF" w14:textId="70BEB76D" w:rsidR="00624379" w:rsidRPr="004F5966" w:rsidRDefault="00624379" w:rsidP="004F5966">
      <w:pPr>
        <w:jc w:val="both"/>
        <w:rPr>
          <w:rFonts w:ascii="Arial" w:hAnsi="Arial" w:cs="Arial"/>
        </w:rPr>
      </w:pPr>
      <w:r w:rsidRPr="004F5966">
        <w:rPr>
          <w:rFonts w:ascii="Arial" w:hAnsi="Arial" w:cs="Arial"/>
        </w:rPr>
        <w:t xml:space="preserve">Les radiotélescopes sont formés d'un collecteur de forme parabolique qui concentre les ondes radio vers le foyer où se situe le détecteur. Le collecteur du radiotélescope doit vérifier les mêmes contraintes en ce qui concerne la forme de la surface réfléchissante que les télescopes optiques. Les plus gros défauts doivent avoir une taille inférieure au dixième de la longueur d'onde. Cette précision contraignante pour l'instrumentation optique (longueur d'onde de l'ordre de quelques centaines de nanomètres) permet un lissage grossier du collecteur des radiotélescopes car les longueurs d'onde les plus courantes sont de l'ordre du décimètre (la longueur d'onde la plus observée est la raie de transition de l'hydrogène neutre à 21 centimètres). Aussi le collecteur est constitué souvent de grillages métalliques, dont le maillage doit seulement être inférieur à la longueur d'onde captée. La forme du miroir sphérique du radiotélescope de Nançay ne s'éloigne jamais de plus de 5 mm de la forme d'une sphère. La résolution spatiale (pouvoir séparateur) d'un radiotélescope augmente avec le diamètre du collecteur : </w:t>
      </w:r>
    </w:p>
    <w:p w14:paraId="11B39CCD" w14:textId="77777777" w:rsidR="00624379" w:rsidRDefault="00624379" w:rsidP="00B83D61">
      <w:pPr>
        <w:pStyle w:val="NormalWeb"/>
        <w:jc w:val="both"/>
      </w:pPr>
      <w:proofErr w:type="gramStart"/>
      <w:r>
        <w:rPr>
          <w:b/>
          <w:bCs/>
        </w:rPr>
        <w:lastRenderedPageBreak/>
        <w:t>p</w:t>
      </w:r>
      <w:proofErr w:type="gramEnd"/>
      <w:r>
        <w:rPr>
          <w:b/>
          <w:bCs/>
        </w:rPr>
        <w:t xml:space="preserve"> = 59,42 λ / D</w:t>
      </w:r>
      <w:r>
        <w:t xml:space="preserve"> </w:t>
      </w:r>
      <w:r w:rsidRPr="004C5EB4">
        <w:rPr>
          <w:rFonts w:ascii="Arial" w:eastAsiaTheme="minorHAnsi" w:hAnsi="Arial" w:cs="Arial"/>
          <w:sz w:val="22"/>
          <w:szCs w:val="22"/>
          <w:lang w:eastAsia="en-US"/>
        </w:rPr>
        <w:t xml:space="preserve">avec p exprimé en degrés, λ longueur d'onde et D diamètre de la parabole exprimé dans le même unité de longueur (mètres ou centimètres). </w:t>
      </w:r>
    </w:p>
    <w:p w14:paraId="329325BD" w14:textId="375C5446" w:rsidR="00624379" w:rsidRPr="004C5EB4" w:rsidRDefault="00624379" w:rsidP="00B83D61">
      <w:pPr>
        <w:pStyle w:val="NormalWeb"/>
        <w:jc w:val="both"/>
        <w:rPr>
          <w:rFonts w:ascii="Arial" w:eastAsiaTheme="minorHAnsi" w:hAnsi="Arial" w:cs="Arial"/>
          <w:sz w:val="22"/>
          <w:szCs w:val="22"/>
          <w:lang w:eastAsia="en-US"/>
        </w:rPr>
      </w:pPr>
      <w:r w:rsidRPr="004C5EB4">
        <w:rPr>
          <w:rFonts w:ascii="Arial" w:eastAsiaTheme="minorHAnsi" w:hAnsi="Arial" w:cs="Arial"/>
          <w:sz w:val="22"/>
          <w:szCs w:val="22"/>
          <w:lang w:eastAsia="en-US"/>
        </w:rPr>
        <w:t xml:space="preserve">Un radiotélescope ayant un collecteur de 100 mètres et utilisé pour observer la raie de transition de l'hydrogène neutre à 21 centimètres aura donc une résolution spatiale de 0,12 degré (59,42*0,21/100) soit 7 minutes d'arc une performance très mauvaise pour un instrument optique qui aurait la même taille. Les radiotélescopes sont donc caractérisés par des antennes collectrices de très grande taille. Celle-ci est d'autant plus importante que la fréquence de l'onde captée est basse. Ainsi, pour des signaux de basse fréquence (grande longueur d’onde), les radiotélescopes devront avoir une surface collectrice suffisamment grande pour reconstituer une image radio nette. </w:t>
      </w:r>
    </w:p>
    <w:p w14:paraId="521B7F27" w14:textId="2B3075C4" w:rsidR="00624379" w:rsidRPr="004C5EB4" w:rsidRDefault="00624379" w:rsidP="00B83D61">
      <w:pPr>
        <w:pStyle w:val="NormalWeb"/>
        <w:jc w:val="both"/>
        <w:rPr>
          <w:rFonts w:ascii="Arial" w:eastAsiaTheme="minorHAnsi" w:hAnsi="Arial" w:cs="Arial"/>
          <w:sz w:val="22"/>
          <w:szCs w:val="22"/>
          <w:lang w:eastAsia="en-US"/>
        </w:rPr>
      </w:pPr>
      <w:r w:rsidRPr="004C5EB4">
        <w:rPr>
          <w:rFonts w:ascii="Arial" w:eastAsiaTheme="minorHAnsi" w:hAnsi="Arial" w:cs="Arial"/>
          <w:sz w:val="22"/>
          <w:szCs w:val="22"/>
          <w:lang w:eastAsia="en-US"/>
        </w:rPr>
        <w:t>Pour pointer le radiotélescope vers la source observée, le collecteur est dans la majorité des cas fixé sur une monture mobile qui permet de l'orienter en azimut (direction) et en élévation. La sensibilité est proportionnelle à la taille du collecteur. Le diamètre des plus grands radiotélescopes orientables est compris entre cinquante et cent mètres ; leur résolution atteint environ une minute d'arc, soit sensiblement celle de l'œil humain aux longueurs d'onde visibles. Au-delà de cette taille la masse à déplacer devient trop importante. Pour contourner cette limitation, quelques radiotélescopes à collecteur fixe ont été construits. Le plus grand radiotélescope fixe du monde depuis 2016 est le Télescope sphérique de cinq cents mètres d'ouverture : son antenne sphérique mesure 500 m de diamètre. Il a surpassé le radiotélescope d'Arecibo (Porto Rico) inauguré par les États-Unis au début des années 1960 et dont le diamètre est d'environ 300 mètres. Le radiotélescope de Nançay (dans le Cher, en France) est un compromis entre collecteur fixe et mobile : un grand collecteur plan inclinable recueille les ondes radio, qui se réfléchissent vers un second miroir formant une portion de sphère. Après réflexion sur ce deuxième miroir, les ondes convergent vers le foyer, disposé sur un chariot qui se déplace en fonction de la trajectoire de la source dans l'espace</w:t>
      </w:r>
    </w:p>
    <w:p w14:paraId="03E9DD8E" w14:textId="77777777" w:rsidR="00624379" w:rsidRPr="004C5EB4" w:rsidRDefault="00624379" w:rsidP="00B83D61">
      <w:pPr>
        <w:pStyle w:val="Titre2"/>
        <w:jc w:val="both"/>
        <w:rPr>
          <w:b/>
          <w:bCs/>
        </w:rPr>
      </w:pPr>
      <w:bookmarkStart w:id="3" w:name="_Toc133070605"/>
      <w:r w:rsidRPr="004C5EB4">
        <w:rPr>
          <w:rStyle w:val="mw-headline"/>
          <w:b/>
          <w:bCs/>
        </w:rPr>
        <w:t>Radiotélescope interféromètre</w:t>
      </w:r>
      <w:bookmarkEnd w:id="3"/>
    </w:p>
    <w:p w14:paraId="1C886CFB" w14:textId="2E3F9D04" w:rsidR="00624379" w:rsidRPr="004C5EB4" w:rsidRDefault="00624379" w:rsidP="00B83D61">
      <w:pPr>
        <w:pStyle w:val="NormalWeb"/>
        <w:jc w:val="both"/>
        <w:rPr>
          <w:rFonts w:ascii="Arial" w:eastAsiaTheme="minorHAnsi" w:hAnsi="Arial" w:cs="Arial"/>
          <w:sz w:val="22"/>
          <w:szCs w:val="22"/>
          <w:lang w:eastAsia="en-US"/>
        </w:rPr>
      </w:pPr>
      <w:r w:rsidRPr="004C5EB4">
        <w:rPr>
          <w:rFonts w:ascii="Arial" w:eastAsiaTheme="minorHAnsi" w:hAnsi="Arial" w:cs="Arial"/>
          <w:sz w:val="22"/>
          <w:szCs w:val="22"/>
          <w:lang w:eastAsia="en-US"/>
        </w:rPr>
        <w:t xml:space="preserve">Seul le recours à l'interférométrie permet d'atteindre la résolution nécessaire à la plupart des objectifs scientifiques. Cette technique consiste à combiner les signaux recueillis par plusieurs radiotélescopes distants les uns des autres en intégrant des observations effectuées à plusieurs moments pour bénéficier de la rotation de la Terre qui modifie l'angle de visée. Cette technique permet de démultiplier la résolution spatiale. Le premier interféromètre, le VLA dont les antennes s'étalent sur 27 kilomètres, a une résolution d'une seconde d'arc alors que pour les radiotélescopes géants cette valeur tourne autour de la minute d'arc. L'interférométrie à très longue base met en œuvre des radiotélescopes qui peuvent être distants de plusieurs milliers de kilomètres dans le cadre de sessions d'observation qui peuvent durer plusieurs semaines. Les réseaux de radiotélescopes utilisant </w:t>
      </w:r>
      <w:proofErr w:type="gramStart"/>
      <w:r w:rsidRPr="004C5EB4">
        <w:rPr>
          <w:rFonts w:ascii="Arial" w:eastAsiaTheme="minorHAnsi" w:hAnsi="Arial" w:cs="Arial"/>
          <w:sz w:val="22"/>
          <w:szCs w:val="22"/>
          <w:lang w:eastAsia="en-US"/>
        </w:rPr>
        <w:t>cette techniques</w:t>
      </w:r>
      <w:proofErr w:type="gramEnd"/>
      <w:r w:rsidRPr="004C5EB4">
        <w:rPr>
          <w:rFonts w:ascii="Arial" w:eastAsiaTheme="minorHAnsi" w:hAnsi="Arial" w:cs="Arial"/>
          <w:sz w:val="22"/>
          <w:szCs w:val="22"/>
          <w:lang w:eastAsia="en-US"/>
        </w:rPr>
        <w:t xml:space="preserve"> les plus connus sont le </w:t>
      </w:r>
      <w:proofErr w:type="spellStart"/>
      <w:r w:rsidRPr="004C5EB4">
        <w:rPr>
          <w:rFonts w:ascii="Arial" w:eastAsiaTheme="minorHAnsi" w:hAnsi="Arial" w:cs="Arial"/>
          <w:sz w:val="22"/>
          <w:szCs w:val="22"/>
          <w:lang w:eastAsia="en-US"/>
        </w:rPr>
        <w:t>European</w:t>
      </w:r>
      <w:proofErr w:type="spellEnd"/>
      <w:r w:rsidRPr="004C5EB4">
        <w:rPr>
          <w:rFonts w:ascii="Arial" w:eastAsiaTheme="minorHAnsi" w:hAnsi="Arial" w:cs="Arial"/>
          <w:sz w:val="22"/>
          <w:szCs w:val="22"/>
          <w:lang w:eastAsia="en-US"/>
        </w:rPr>
        <w:t xml:space="preserve"> VLBI Network européen et le VLBA américain. </w:t>
      </w:r>
    </w:p>
    <w:p w14:paraId="7BA32E8C" w14:textId="77777777" w:rsidR="00624379" w:rsidRPr="004C5EB4" w:rsidRDefault="00624379" w:rsidP="00B83D61">
      <w:pPr>
        <w:pStyle w:val="Titre2"/>
        <w:jc w:val="both"/>
        <w:rPr>
          <w:b/>
          <w:bCs/>
        </w:rPr>
      </w:pPr>
      <w:bookmarkStart w:id="4" w:name="_Toc133070606"/>
      <w:r w:rsidRPr="004C5EB4">
        <w:rPr>
          <w:rStyle w:val="mw-headline"/>
          <w:b/>
          <w:bCs/>
        </w:rPr>
        <w:t>Bandes de radioastronomie</w:t>
      </w:r>
      <w:bookmarkEnd w:id="4"/>
    </w:p>
    <w:p w14:paraId="5DC49B52" w14:textId="4C2E6896" w:rsidR="00624379" w:rsidRPr="004C5EB4" w:rsidRDefault="00624379" w:rsidP="00B83D61">
      <w:pPr>
        <w:pStyle w:val="NormalWeb"/>
        <w:jc w:val="both"/>
        <w:rPr>
          <w:rFonts w:ascii="Arial" w:eastAsiaTheme="minorHAnsi" w:hAnsi="Arial" w:cs="Arial"/>
          <w:sz w:val="22"/>
          <w:szCs w:val="22"/>
          <w:lang w:eastAsia="en-US"/>
        </w:rPr>
      </w:pPr>
      <w:r w:rsidRPr="004C5EB4">
        <w:rPr>
          <w:rFonts w:ascii="Arial" w:eastAsiaTheme="minorHAnsi" w:hAnsi="Arial" w:cs="Arial"/>
          <w:sz w:val="22"/>
          <w:szCs w:val="22"/>
          <w:lang w:eastAsia="en-US"/>
        </w:rPr>
        <w:t xml:space="preserve">Les bandes radio dédiées au service de radioastronomie ont des assignations spécifiques pour être reçues par les radiotélescopes sans perturbation radioélectrique. Ces fenêtres radio donnent accès à divers corps célestes car les répartitions des bandes protègent des brouillages d’autres services.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8"/>
        <w:gridCol w:w="2886"/>
      </w:tblGrid>
      <w:tr w:rsidR="00624379" w14:paraId="61A78C05" w14:textId="77777777" w:rsidTr="004C5EB4">
        <w:trPr>
          <w:tblCellSpacing w:w="15" w:type="dxa"/>
        </w:trPr>
        <w:tc>
          <w:tcPr>
            <w:tcW w:w="0" w:type="auto"/>
            <w:vAlign w:val="center"/>
            <w:hideMark/>
          </w:tcPr>
          <w:p w14:paraId="5A87758D" w14:textId="73D711C8" w:rsidR="00624379" w:rsidRDefault="00624379" w:rsidP="00B83D61">
            <w:pPr>
              <w:jc w:val="both"/>
              <w:rPr>
                <w:b/>
                <w:bCs/>
              </w:rPr>
            </w:pPr>
            <w:r>
              <w:rPr>
                <w:b/>
                <w:bCs/>
              </w:rPr>
              <w:t xml:space="preserve">Bandes </w:t>
            </w:r>
            <w:r w:rsidRPr="0016590A">
              <w:rPr>
                <w:b/>
                <w:bCs/>
              </w:rPr>
              <w:t>ITU</w:t>
            </w:r>
            <w:r>
              <w:rPr>
                <w:b/>
                <w:bCs/>
              </w:rPr>
              <w:t xml:space="preserve"> </w:t>
            </w:r>
          </w:p>
        </w:tc>
        <w:tc>
          <w:tcPr>
            <w:tcW w:w="0" w:type="auto"/>
            <w:vAlign w:val="center"/>
            <w:hideMark/>
          </w:tcPr>
          <w:p w14:paraId="19B5771E" w14:textId="77777777" w:rsidR="00624379" w:rsidRDefault="00624379" w:rsidP="00B83D61">
            <w:pPr>
              <w:jc w:val="both"/>
              <w:rPr>
                <w:b/>
                <w:bCs/>
              </w:rPr>
            </w:pPr>
            <w:r>
              <w:rPr>
                <w:b/>
                <w:bCs/>
              </w:rPr>
              <w:t xml:space="preserve">Types d’observation </w:t>
            </w:r>
          </w:p>
        </w:tc>
      </w:tr>
      <w:tr w:rsidR="00624379" w14:paraId="76F1818E" w14:textId="77777777" w:rsidTr="004C5EB4">
        <w:trPr>
          <w:tblCellSpacing w:w="15" w:type="dxa"/>
        </w:trPr>
        <w:tc>
          <w:tcPr>
            <w:tcW w:w="0" w:type="auto"/>
            <w:shd w:val="clear" w:color="auto" w:fill="DDFFDD"/>
            <w:vAlign w:val="center"/>
            <w:hideMark/>
          </w:tcPr>
          <w:p w14:paraId="73B378A6" w14:textId="77777777" w:rsidR="00624379" w:rsidRDefault="00624379" w:rsidP="00B83D61">
            <w:pPr>
              <w:jc w:val="both"/>
            </w:pPr>
            <w:r>
              <w:t>13,36 MHz à 13,41 MHz</w:t>
            </w:r>
          </w:p>
        </w:tc>
        <w:tc>
          <w:tcPr>
            <w:tcW w:w="0" w:type="auto"/>
            <w:shd w:val="clear" w:color="auto" w:fill="DDFFDD"/>
            <w:vAlign w:val="center"/>
            <w:hideMark/>
          </w:tcPr>
          <w:p w14:paraId="47287A88" w14:textId="5637558C" w:rsidR="00624379" w:rsidRDefault="00624379" w:rsidP="00B83D61">
            <w:pPr>
              <w:jc w:val="both"/>
            </w:pPr>
            <w:r w:rsidRPr="0016590A">
              <w:t>Soleil</w:t>
            </w:r>
            <w:r>
              <w:t xml:space="preserve">, </w:t>
            </w:r>
            <w:r w:rsidRPr="0016590A">
              <w:t>Jupiter</w:t>
            </w:r>
            <w:r>
              <w:t xml:space="preserve"> </w:t>
            </w:r>
          </w:p>
        </w:tc>
      </w:tr>
      <w:tr w:rsidR="00624379" w14:paraId="3BB015F1" w14:textId="77777777" w:rsidTr="004C5EB4">
        <w:trPr>
          <w:tblCellSpacing w:w="15" w:type="dxa"/>
        </w:trPr>
        <w:tc>
          <w:tcPr>
            <w:tcW w:w="0" w:type="auto"/>
            <w:shd w:val="clear" w:color="auto" w:fill="DDDDFF"/>
            <w:vAlign w:val="center"/>
            <w:hideMark/>
          </w:tcPr>
          <w:p w14:paraId="2A040FBC" w14:textId="77777777" w:rsidR="00624379" w:rsidRDefault="00624379" w:rsidP="00B83D61">
            <w:pPr>
              <w:jc w:val="both"/>
            </w:pPr>
            <w:r>
              <w:lastRenderedPageBreak/>
              <w:t>25,55 MHz à 25,67 MHz</w:t>
            </w:r>
          </w:p>
        </w:tc>
        <w:tc>
          <w:tcPr>
            <w:tcW w:w="0" w:type="auto"/>
            <w:shd w:val="clear" w:color="auto" w:fill="DDDDFF"/>
            <w:vAlign w:val="center"/>
            <w:hideMark/>
          </w:tcPr>
          <w:p w14:paraId="78DC6F8B" w14:textId="77777777" w:rsidR="00624379" w:rsidRDefault="00624379" w:rsidP="00B83D61">
            <w:pPr>
              <w:jc w:val="both"/>
            </w:pPr>
            <w:r>
              <w:t xml:space="preserve">Soleil, Jupiter </w:t>
            </w:r>
          </w:p>
        </w:tc>
      </w:tr>
      <w:tr w:rsidR="00624379" w14:paraId="0B116DFA" w14:textId="77777777" w:rsidTr="004C5EB4">
        <w:trPr>
          <w:tblCellSpacing w:w="15" w:type="dxa"/>
        </w:trPr>
        <w:tc>
          <w:tcPr>
            <w:tcW w:w="0" w:type="auto"/>
            <w:shd w:val="clear" w:color="auto" w:fill="DDFFDD"/>
            <w:vAlign w:val="center"/>
            <w:hideMark/>
          </w:tcPr>
          <w:p w14:paraId="6D468E7F" w14:textId="77777777" w:rsidR="00624379" w:rsidRDefault="00624379" w:rsidP="00B83D61">
            <w:pPr>
              <w:jc w:val="both"/>
            </w:pPr>
            <w:r>
              <w:t>37,5 MHz à 38,25 MHz</w:t>
            </w:r>
          </w:p>
        </w:tc>
        <w:tc>
          <w:tcPr>
            <w:tcW w:w="0" w:type="auto"/>
            <w:shd w:val="clear" w:color="auto" w:fill="DDFFDD"/>
            <w:vAlign w:val="center"/>
            <w:hideMark/>
          </w:tcPr>
          <w:p w14:paraId="46D59712" w14:textId="77777777" w:rsidR="00624379" w:rsidRDefault="00624379" w:rsidP="00B83D61">
            <w:pPr>
              <w:jc w:val="both"/>
            </w:pPr>
            <w:r>
              <w:t xml:space="preserve">Jupiter </w:t>
            </w:r>
          </w:p>
        </w:tc>
      </w:tr>
      <w:tr w:rsidR="00624379" w14:paraId="09769A57" w14:textId="77777777" w:rsidTr="004C5EB4">
        <w:trPr>
          <w:tblCellSpacing w:w="15" w:type="dxa"/>
        </w:trPr>
        <w:tc>
          <w:tcPr>
            <w:tcW w:w="0" w:type="auto"/>
            <w:shd w:val="clear" w:color="auto" w:fill="DDDDFF"/>
            <w:vAlign w:val="center"/>
            <w:hideMark/>
          </w:tcPr>
          <w:p w14:paraId="36B4BA88" w14:textId="77777777" w:rsidR="00624379" w:rsidRDefault="00624379" w:rsidP="00B83D61">
            <w:pPr>
              <w:jc w:val="both"/>
            </w:pPr>
            <w:r>
              <w:t>73 MHz à 74,6 MHz</w:t>
            </w:r>
          </w:p>
        </w:tc>
        <w:tc>
          <w:tcPr>
            <w:tcW w:w="0" w:type="auto"/>
            <w:shd w:val="clear" w:color="auto" w:fill="DDDDFF"/>
            <w:vAlign w:val="center"/>
            <w:hideMark/>
          </w:tcPr>
          <w:p w14:paraId="4E64BB69" w14:textId="77777777" w:rsidR="00624379" w:rsidRDefault="00624379" w:rsidP="00B83D61">
            <w:pPr>
              <w:jc w:val="both"/>
            </w:pPr>
            <w:r>
              <w:t xml:space="preserve">Soleil </w:t>
            </w:r>
          </w:p>
        </w:tc>
      </w:tr>
      <w:tr w:rsidR="00624379" w14:paraId="350BFE50" w14:textId="77777777" w:rsidTr="004C5EB4">
        <w:trPr>
          <w:tblCellSpacing w:w="15" w:type="dxa"/>
        </w:trPr>
        <w:tc>
          <w:tcPr>
            <w:tcW w:w="0" w:type="auto"/>
            <w:shd w:val="clear" w:color="auto" w:fill="DDFFDD"/>
            <w:vAlign w:val="center"/>
            <w:hideMark/>
          </w:tcPr>
          <w:p w14:paraId="260BC45D" w14:textId="77777777" w:rsidR="00624379" w:rsidRDefault="00624379" w:rsidP="00B83D61">
            <w:pPr>
              <w:jc w:val="both"/>
            </w:pPr>
            <w:r>
              <w:t>150,05 MHz à 153 MHz</w:t>
            </w:r>
          </w:p>
        </w:tc>
        <w:tc>
          <w:tcPr>
            <w:tcW w:w="0" w:type="auto"/>
            <w:shd w:val="clear" w:color="auto" w:fill="DDFFDD"/>
            <w:vAlign w:val="center"/>
            <w:hideMark/>
          </w:tcPr>
          <w:p w14:paraId="2C78E593" w14:textId="28F21D55" w:rsidR="00624379" w:rsidRDefault="00624379" w:rsidP="00B83D61">
            <w:pPr>
              <w:jc w:val="both"/>
            </w:pPr>
            <w:r w:rsidRPr="0016590A">
              <w:t>Continuum</w:t>
            </w:r>
            <w:r>
              <w:t xml:space="preserve">, </w:t>
            </w:r>
            <w:r w:rsidRPr="0016590A">
              <w:t>pulsar</w:t>
            </w:r>
            <w:r>
              <w:t xml:space="preserve">, Soleil </w:t>
            </w:r>
          </w:p>
        </w:tc>
      </w:tr>
      <w:tr w:rsidR="00624379" w14:paraId="5178B0E0" w14:textId="77777777" w:rsidTr="004C5EB4">
        <w:trPr>
          <w:tblCellSpacing w:w="15" w:type="dxa"/>
        </w:trPr>
        <w:tc>
          <w:tcPr>
            <w:tcW w:w="0" w:type="auto"/>
            <w:shd w:val="clear" w:color="auto" w:fill="DDDDFF"/>
            <w:vAlign w:val="center"/>
            <w:hideMark/>
          </w:tcPr>
          <w:p w14:paraId="28280899" w14:textId="77777777" w:rsidR="00624379" w:rsidRDefault="00624379" w:rsidP="00B83D61">
            <w:pPr>
              <w:jc w:val="both"/>
            </w:pPr>
            <w:r>
              <w:t>322 MHz à 328,6 MHz</w:t>
            </w:r>
          </w:p>
        </w:tc>
        <w:tc>
          <w:tcPr>
            <w:tcW w:w="0" w:type="auto"/>
            <w:shd w:val="clear" w:color="auto" w:fill="DDDDFF"/>
            <w:vAlign w:val="center"/>
            <w:hideMark/>
          </w:tcPr>
          <w:p w14:paraId="22DE9EA4" w14:textId="7F027267" w:rsidR="00624379" w:rsidRDefault="00624379" w:rsidP="00B83D61">
            <w:pPr>
              <w:jc w:val="both"/>
            </w:pPr>
            <w:r>
              <w:t xml:space="preserve">Continuum, </w:t>
            </w:r>
            <w:r w:rsidRPr="0016590A">
              <w:t>deutérium</w:t>
            </w:r>
            <w:r>
              <w:t xml:space="preserve"> </w:t>
            </w:r>
          </w:p>
        </w:tc>
      </w:tr>
      <w:tr w:rsidR="00624379" w14:paraId="27798737" w14:textId="77777777" w:rsidTr="004C5EB4">
        <w:trPr>
          <w:tblCellSpacing w:w="15" w:type="dxa"/>
        </w:trPr>
        <w:tc>
          <w:tcPr>
            <w:tcW w:w="0" w:type="auto"/>
            <w:shd w:val="clear" w:color="auto" w:fill="DDFFDD"/>
            <w:vAlign w:val="center"/>
            <w:hideMark/>
          </w:tcPr>
          <w:p w14:paraId="1E265D2A" w14:textId="77777777" w:rsidR="00624379" w:rsidRDefault="00624379" w:rsidP="00B83D61">
            <w:pPr>
              <w:jc w:val="both"/>
            </w:pPr>
            <w:r>
              <w:t>406,1 MHz à 410 MHz</w:t>
            </w:r>
          </w:p>
        </w:tc>
        <w:tc>
          <w:tcPr>
            <w:tcW w:w="0" w:type="auto"/>
            <w:shd w:val="clear" w:color="auto" w:fill="DDFFDD"/>
            <w:vAlign w:val="center"/>
            <w:hideMark/>
          </w:tcPr>
          <w:p w14:paraId="40D0DB4A" w14:textId="77777777" w:rsidR="00624379" w:rsidRDefault="00624379" w:rsidP="00B83D61">
            <w:pPr>
              <w:jc w:val="both"/>
            </w:pPr>
            <w:r>
              <w:t xml:space="preserve">Continuum </w:t>
            </w:r>
          </w:p>
        </w:tc>
      </w:tr>
      <w:tr w:rsidR="00624379" w14:paraId="429F9691" w14:textId="77777777" w:rsidTr="004C5EB4">
        <w:trPr>
          <w:tblCellSpacing w:w="15" w:type="dxa"/>
        </w:trPr>
        <w:tc>
          <w:tcPr>
            <w:tcW w:w="0" w:type="auto"/>
            <w:shd w:val="clear" w:color="auto" w:fill="DDDDFF"/>
            <w:vAlign w:val="center"/>
            <w:hideMark/>
          </w:tcPr>
          <w:p w14:paraId="7C4520F1" w14:textId="77777777" w:rsidR="00624379" w:rsidRDefault="00624379" w:rsidP="00B83D61">
            <w:pPr>
              <w:jc w:val="both"/>
            </w:pPr>
            <w:r>
              <w:t>608 MHz à 614 MHz</w:t>
            </w:r>
          </w:p>
        </w:tc>
        <w:tc>
          <w:tcPr>
            <w:tcW w:w="0" w:type="auto"/>
            <w:shd w:val="clear" w:color="auto" w:fill="DDDDFF"/>
            <w:vAlign w:val="center"/>
            <w:hideMark/>
          </w:tcPr>
          <w:p w14:paraId="030DC733" w14:textId="77777777" w:rsidR="00624379" w:rsidRDefault="00624379" w:rsidP="00B83D61">
            <w:pPr>
              <w:jc w:val="both"/>
            </w:pPr>
            <w:r>
              <w:t xml:space="preserve">VLBI </w:t>
            </w:r>
          </w:p>
        </w:tc>
      </w:tr>
      <w:tr w:rsidR="00624379" w14:paraId="206DA969" w14:textId="77777777" w:rsidTr="004C5EB4">
        <w:trPr>
          <w:tblCellSpacing w:w="15" w:type="dxa"/>
        </w:trPr>
        <w:tc>
          <w:tcPr>
            <w:tcW w:w="0" w:type="auto"/>
            <w:shd w:val="clear" w:color="auto" w:fill="DDFFDD"/>
            <w:vAlign w:val="center"/>
            <w:hideMark/>
          </w:tcPr>
          <w:p w14:paraId="7F600481" w14:textId="77777777" w:rsidR="00624379" w:rsidRDefault="00624379" w:rsidP="00B83D61">
            <w:pPr>
              <w:jc w:val="both"/>
            </w:pPr>
            <w:r>
              <w:t>1 330 MHz à 1 400 MHz</w:t>
            </w:r>
          </w:p>
        </w:tc>
        <w:tc>
          <w:tcPr>
            <w:tcW w:w="0" w:type="auto"/>
            <w:shd w:val="clear" w:color="auto" w:fill="DDFFDD"/>
            <w:vAlign w:val="center"/>
            <w:hideMark/>
          </w:tcPr>
          <w:p w14:paraId="2199B2D0" w14:textId="77777777" w:rsidR="00624379" w:rsidRDefault="00624379" w:rsidP="00B83D61">
            <w:pPr>
              <w:jc w:val="both"/>
            </w:pPr>
            <w:r>
              <w:t xml:space="preserve">Raie HI </w:t>
            </w:r>
            <w:proofErr w:type="spellStart"/>
            <w:r>
              <w:t>red-shiftée</w:t>
            </w:r>
            <w:proofErr w:type="spellEnd"/>
            <w:r>
              <w:t xml:space="preserve"> </w:t>
            </w:r>
          </w:p>
        </w:tc>
      </w:tr>
      <w:tr w:rsidR="00624379" w14:paraId="07661065" w14:textId="77777777" w:rsidTr="004C5EB4">
        <w:trPr>
          <w:tblCellSpacing w:w="15" w:type="dxa"/>
        </w:trPr>
        <w:tc>
          <w:tcPr>
            <w:tcW w:w="0" w:type="auto"/>
            <w:shd w:val="clear" w:color="auto" w:fill="DDDDFF"/>
            <w:vAlign w:val="center"/>
            <w:hideMark/>
          </w:tcPr>
          <w:p w14:paraId="2A08DE70" w14:textId="77777777" w:rsidR="00624379" w:rsidRDefault="00624379" w:rsidP="00B83D61">
            <w:pPr>
              <w:jc w:val="both"/>
            </w:pPr>
            <w:r>
              <w:t>1 400 MHz à 1 427 MHz</w:t>
            </w:r>
          </w:p>
        </w:tc>
        <w:tc>
          <w:tcPr>
            <w:tcW w:w="0" w:type="auto"/>
            <w:shd w:val="clear" w:color="auto" w:fill="DDDDFF"/>
            <w:vAlign w:val="center"/>
            <w:hideMark/>
          </w:tcPr>
          <w:p w14:paraId="314A387E" w14:textId="77777777" w:rsidR="00624379" w:rsidRDefault="00624379" w:rsidP="00B83D61">
            <w:pPr>
              <w:jc w:val="both"/>
            </w:pPr>
            <w:r>
              <w:t xml:space="preserve">Raie HI </w:t>
            </w:r>
          </w:p>
        </w:tc>
      </w:tr>
      <w:tr w:rsidR="00624379" w14:paraId="3313CD19" w14:textId="77777777" w:rsidTr="004C5EB4">
        <w:trPr>
          <w:tblCellSpacing w:w="15" w:type="dxa"/>
        </w:trPr>
        <w:tc>
          <w:tcPr>
            <w:tcW w:w="0" w:type="auto"/>
            <w:shd w:val="clear" w:color="auto" w:fill="DDFFDD"/>
            <w:vAlign w:val="center"/>
            <w:hideMark/>
          </w:tcPr>
          <w:p w14:paraId="718FA544" w14:textId="77777777" w:rsidR="00624379" w:rsidRDefault="00624379" w:rsidP="00B83D61">
            <w:pPr>
              <w:jc w:val="both"/>
            </w:pPr>
            <w:r>
              <w:t>1 610,6 MHz à 1 613,8 MHz</w:t>
            </w:r>
          </w:p>
        </w:tc>
        <w:tc>
          <w:tcPr>
            <w:tcW w:w="0" w:type="auto"/>
            <w:shd w:val="clear" w:color="auto" w:fill="DDFFDD"/>
            <w:vAlign w:val="center"/>
            <w:hideMark/>
          </w:tcPr>
          <w:p w14:paraId="2EC412D9" w14:textId="77777777" w:rsidR="00624379" w:rsidRDefault="00624379" w:rsidP="00B83D61">
            <w:pPr>
              <w:jc w:val="both"/>
            </w:pPr>
            <w:r>
              <w:t xml:space="preserve">Raies OH </w:t>
            </w:r>
          </w:p>
        </w:tc>
      </w:tr>
      <w:tr w:rsidR="00624379" w14:paraId="7B67DC57" w14:textId="77777777" w:rsidTr="004C5EB4">
        <w:trPr>
          <w:tblCellSpacing w:w="15" w:type="dxa"/>
        </w:trPr>
        <w:tc>
          <w:tcPr>
            <w:tcW w:w="0" w:type="auto"/>
            <w:shd w:val="clear" w:color="auto" w:fill="DDDDFF"/>
            <w:vAlign w:val="center"/>
            <w:hideMark/>
          </w:tcPr>
          <w:p w14:paraId="19B00FC0" w14:textId="77777777" w:rsidR="00624379" w:rsidRDefault="00624379" w:rsidP="00B83D61">
            <w:pPr>
              <w:jc w:val="both"/>
            </w:pPr>
            <w:r>
              <w:t>1 660 MHz à 1 670 MHz</w:t>
            </w:r>
          </w:p>
        </w:tc>
        <w:tc>
          <w:tcPr>
            <w:tcW w:w="0" w:type="auto"/>
            <w:shd w:val="clear" w:color="auto" w:fill="DDDDFF"/>
            <w:vAlign w:val="center"/>
            <w:hideMark/>
          </w:tcPr>
          <w:p w14:paraId="12590029" w14:textId="77777777" w:rsidR="00624379" w:rsidRDefault="00624379" w:rsidP="00B83D61">
            <w:pPr>
              <w:jc w:val="both"/>
            </w:pPr>
            <w:r>
              <w:t xml:space="preserve">Raies OH </w:t>
            </w:r>
          </w:p>
        </w:tc>
      </w:tr>
      <w:tr w:rsidR="00624379" w14:paraId="595B2812" w14:textId="77777777" w:rsidTr="004C5EB4">
        <w:trPr>
          <w:tblCellSpacing w:w="15" w:type="dxa"/>
        </w:trPr>
        <w:tc>
          <w:tcPr>
            <w:tcW w:w="0" w:type="auto"/>
            <w:shd w:val="clear" w:color="auto" w:fill="DDFFDD"/>
            <w:vAlign w:val="center"/>
            <w:hideMark/>
          </w:tcPr>
          <w:p w14:paraId="5A7CDF54" w14:textId="77777777" w:rsidR="00624379" w:rsidRDefault="00624379" w:rsidP="00B83D61">
            <w:pPr>
              <w:jc w:val="both"/>
            </w:pPr>
            <w:r>
              <w:t>1 718,8 MHz à 1 722,2 MHz</w:t>
            </w:r>
          </w:p>
        </w:tc>
        <w:tc>
          <w:tcPr>
            <w:tcW w:w="0" w:type="auto"/>
            <w:shd w:val="clear" w:color="auto" w:fill="DDFFDD"/>
            <w:vAlign w:val="center"/>
            <w:hideMark/>
          </w:tcPr>
          <w:p w14:paraId="03907EBF" w14:textId="77777777" w:rsidR="00624379" w:rsidRDefault="00624379" w:rsidP="00B83D61">
            <w:pPr>
              <w:jc w:val="both"/>
            </w:pPr>
            <w:r>
              <w:t xml:space="preserve">Raies OH </w:t>
            </w:r>
          </w:p>
        </w:tc>
      </w:tr>
      <w:tr w:rsidR="00624379" w14:paraId="380BF914" w14:textId="77777777" w:rsidTr="004C5EB4">
        <w:trPr>
          <w:tblCellSpacing w:w="15" w:type="dxa"/>
        </w:trPr>
        <w:tc>
          <w:tcPr>
            <w:tcW w:w="0" w:type="auto"/>
            <w:shd w:val="clear" w:color="auto" w:fill="DDDDFF"/>
            <w:vAlign w:val="center"/>
            <w:hideMark/>
          </w:tcPr>
          <w:p w14:paraId="191D2DB5" w14:textId="77777777" w:rsidR="00624379" w:rsidRDefault="00624379" w:rsidP="00B83D61">
            <w:pPr>
              <w:jc w:val="both"/>
            </w:pPr>
            <w:r>
              <w:t>2 655 MHz à 2 700 MHz</w:t>
            </w:r>
          </w:p>
        </w:tc>
        <w:tc>
          <w:tcPr>
            <w:tcW w:w="0" w:type="auto"/>
            <w:shd w:val="clear" w:color="auto" w:fill="DDDDFF"/>
            <w:vAlign w:val="center"/>
            <w:hideMark/>
          </w:tcPr>
          <w:p w14:paraId="0F6F3334" w14:textId="77777777" w:rsidR="00624379" w:rsidRDefault="00624379" w:rsidP="00B83D61">
            <w:pPr>
              <w:jc w:val="both"/>
            </w:pPr>
            <w:r>
              <w:t xml:space="preserve">Continuum, HII </w:t>
            </w:r>
          </w:p>
        </w:tc>
      </w:tr>
      <w:tr w:rsidR="00624379" w14:paraId="0A316530" w14:textId="77777777" w:rsidTr="004C5EB4">
        <w:trPr>
          <w:tblCellSpacing w:w="15" w:type="dxa"/>
        </w:trPr>
        <w:tc>
          <w:tcPr>
            <w:tcW w:w="0" w:type="auto"/>
            <w:shd w:val="clear" w:color="auto" w:fill="DDFFDD"/>
            <w:vAlign w:val="center"/>
            <w:hideMark/>
          </w:tcPr>
          <w:p w14:paraId="3E5F4E08" w14:textId="77777777" w:rsidR="00624379" w:rsidRDefault="00624379" w:rsidP="00B83D61">
            <w:pPr>
              <w:jc w:val="both"/>
            </w:pPr>
            <w:r>
              <w:t>3 100 MHz à 3 400 MHz</w:t>
            </w:r>
          </w:p>
        </w:tc>
        <w:tc>
          <w:tcPr>
            <w:tcW w:w="0" w:type="auto"/>
            <w:shd w:val="clear" w:color="auto" w:fill="DDFFDD"/>
            <w:vAlign w:val="center"/>
            <w:hideMark/>
          </w:tcPr>
          <w:p w14:paraId="6941539C" w14:textId="77777777" w:rsidR="00624379" w:rsidRDefault="00624379" w:rsidP="00B83D61">
            <w:pPr>
              <w:jc w:val="both"/>
            </w:pPr>
            <w:r>
              <w:t xml:space="preserve">Raies CH </w:t>
            </w:r>
          </w:p>
        </w:tc>
      </w:tr>
      <w:tr w:rsidR="00624379" w14:paraId="41E6D518" w14:textId="77777777" w:rsidTr="004C5EB4">
        <w:trPr>
          <w:tblCellSpacing w:w="15" w:type="dxa"/>
        </w:trPr>
        <w:tc>
          <w:tcPr>
            <w:tcW w:w="0" w:type="auto"/>
            <w:shd w:val="clear" w:color="auto" w:fill="DDDDFF"/>
            <w:vAlign w:val="center"/>
            <w:hideMark/>
          </w:tcPr>
          <w:p w14:paraId="240389ED" w14:textId="77777777" w:rsidR="00624379" w:rsidRDefault="00624379" w:rsidP="00B83D61">
            <w:pPr>
              <w:jc w:val="both"/>
            </w:pPr>
            <w:r>
              <w:t>4 800 MHz à 5 000 MHz</w:t>
            </w:r>
          </w:p>
        </w:tc>
        <w:tc>
          <w:tcPr>
            <w:tcW w:w="0" w:type="auto"/>
            <w:shd w:val="clear" w:color="auto" w:fill="DDDDFF"/>
            <w:vAlign w:val="center"/>
            <w:hideMark/>
          </w:tcPr>
          <w:p w14:paraId="36CF185F" w14:textId="77777777" w:rsidR="00624379" w:rsidRDefault="00624379" w:rsidP="00B83D61">
            <w:pPr>
              <w:jc w:val="both"/>
            </w:pPr>
            <w:r>
              <w:t>VLBI, HII, raies H</w:t>
            </w:r>
            <w:r>
              <w:rPr>
                <w:vertAlign w:val="subscript"/>
              </w:rPr>
              <w:t>2</w:t>
            </w:r>
            <w:r>
              <w:t xml:space="preserve">CO et HCOH </w:t>
            </w:r>
          </w:p>
        </w:tc>
      </w:tr>
      <w:tr w:rsidR="00624379" w14:paraId="65E7C59B" w14:textId="77777777" w:rsidTr="004C5EB4">
        <w:trPr>
          <w:tblCellSpacing w:w="15" w:type="dxa"/>
        </w:trPr>
        <w:tc>
          <w:tcPr>
            <w:tcW w:w="0" w:type="auto"/>
            <w:shd w:val="clear" w:color="auto" w:fill="DDFFDD"/>
            <w:vAlign w:val="center"/>
            <w:hideMark/>
          </w:tcPr>
          <w:p w14:paraId="4F89D8BA" w14:textId="77777777" w:rsidR="00624379" w:rsidRDefault="00624379" w:rsidP="00B83D61">
            <w:pPr>
              <w:jc w:val="both"/>
            </w:pPr>
            <w:r>
              <w:t>6 650 MHz à 6 675,2 MHz</w:t>
            </w:r>
          </w:p>
        </w:tc>
        <w:tc>
          <w:tcPr>
            <w:tcW w:w="0" w:type="auto"/>
            <w:shd w:val="clear" w:color="auto" w:fill="DDFFDD"/>
            <w:vAlign w:val="center"/>
            <w:hideMark/>
          </w:tcPr>
          <w:p w14:paraId="764C3DB2" w14:textId="77777777" w:rsidR="00624379" w:rsidRDefault="00624379" w:rsidP="00B83D61">
            <w:pPr>
              <w:jc w:val="both"/>
            </w:pPr>
            <w:r>
              <w:t>CH</w:t>
            </w:r>
            <w:r>
              <w:rPr>
                <w:vertAlign w:val="subscript"/>
              </w:rPr>
              <w:t>3</w:t>
            </w:r>
            <w:r>
              <w:t xml:space="preserve">OH, VLBI </w:t>
            </w:r>
          </w:p>
        </w:tc>
      </w:tr>
      <w:tr w:rsidR="00624379" w14:paraId="31A0B0B8" w14:textId="77777777" w:rsidTr="004C5EB4">
        <w:trPr>
          <w:tblCellSpacing w:w="15" w:type="dxa"/>
        </w:trPr>
        <w:tc>
          <w:tcPr>
            <w:tcW w:w="0" w:type="auto"/>
            <w:shd w:val="clear" w:color="auto" w:fill="DDDDFF"/>
            <w:vAlign w:val="center"/>
            <w:hideMark/>
          </w:tcPr>
          <w:p w14:paraId="0794B38A" w14:textId="77777777" w:rsidR="00624379" w:rsidRDefault="00624379" w:rsidP="00B83D61">
            <w:pPr>
              <w:jc w:val="both"/>
            </w:pPr>
            <w:r>
              <w:t>10,60 GHz à 10,70 GHz</w:t>
            </w:r>
          </w:p>
        </w:tc>
        <w:tc>
          <w:tcPr>
            <w:tcW w:w="0" w:type="auto"/>
            <w:shd w:val="clear" w:color="auto" w:fill="DDDDFF"/>
            <w:vAlign w:val="center"/>
            <w:hideMark/>
          </w:tcPr>
          <w:p w14:paraId="6EB85BA5" w14:textId="77777777" w:rsidR="00624379" w:rsidRDefault="00624379" w:rsidP="00B83D61">
            <w:pPr>
              <w:jc w:val="both"/>
            </w:pPr>
            <w:r>
              <w:t>Quasar, raies H</w:t>
            </w:r>
            <w:r>
              <w:rPr>
                <w:vertAlign w:val="subscript"/>
              </w:rPr>
              <w:t>2</w:t>
            </w:r>
            <w:r>
              <w:t xml:space="preserve">CO, Continuum </w:t>
            </w:r>
          </w:p>
        </w:tc>
      </w:tr>
      <w:tr w:rsidR="00624379" w14:paraId="2C0D591D" w14:textId="77777777" w:rsidTr="004C5EB4">
        <w:trPr>
          <w:tblCellSpacing w:w="15" w:type="dxa"/>
        </w:trPr>
        <w:tc>
          <w:tcPr>
            <w:tcW w:w="0" w:type="auto"/>
            <w:shd w:val="clear" w:color="auto" w:fill="DDFFDD"/>
            <w:vAlign w:val="center"/>
            <w:hideMark/>
          </w:tcPr>
          <w:p w14:paraId="7CA84C58" w14:textId="77777777" w:rsidR="00624379" w:rsidRDefault="00624379" w:rsidP="00B83D61">
            <w:pPr>
              <w:jc w:val="both"/>
            </w:pPr>
            <w:r>
              <w:t>14,47 GHz à 14,50 GHz</w:t>
            </w:r>
          </w:p>
        </w:tc>
        <w:tc>
          <w:tcPr>
            <w:tcW w:w="0" w:type="auto"/>
            <w:shd w:val="clear" w:color="auto" w:fill="DDFFDD"/>
            <w:vAlign w:val="center"/>
            <w:hideMark/>
          </w:tcPr>
          <w:p w14:paraId="5F85D370" w14:textId="77777777" w:rsidR="00624379" w:rsidRDefault="00624379" w:rsidP="00B83D61">
            <w:pPr>
              <w:jc w:val="both"/>
            </w:pPr>
            <w:r>
              <w:t>Quasar, raies H</w:t>
            </w:r>
            <w:r>
              <w:rPr>
                <w:vertAlign w:val="subscript"/>
              </w:rPr>
              <w:t>2</w:t>
            </w:r>
            <w:r>
              <w:t xml:space="preserve">CO, Continuum </w:t>
            </w:r>
          </w:p>
        </w:tc>
      </w:tr>
      <w:tr w:rsidR="00624379" w14:paraId="30274D6A" w14:textId="77777777" w:rsidTr="004C5EB4">
        <w:trPr>
          <w:tblCellSpacing w:w="15" w:type="dxa"/>
        </w:trPr>
        <w:tc>
          <w:tcPr>
            <w:tcW w:w="0" w:type="auto"/>
            <w:shd w:val="clear" w:color="auto" w:fill="DDDDFF"/>
            <w:vAlign w:val="center"/>
            <w:hideMark/>
          </w:tcPr>
          <w:p w14:paraId="172076D1" w14:textId="77777777" w:rsidR="00624379" w:rsidRDefault="00624379" w:rsidP="00B83D61">
            <w:pPr>
              <w:jc w:val="both"/>
            </w:pPr>
            <w:r>
              <w:t>15,35 GHz à 15,40 GHz</w:t>
            </w:r>
          </w:p>
        </w:tc>
        <w:tc>
          <w:tcPr>
            <w:tcW w:w="0" w:type="auto"/>
            <w:shd w:val="clear" w:color="auto" w:fill="DDDDFF"/>
            <w:vAlign w:val="center"/>
            <w:hideMark/>
          </w:tcPr>
          <w:p w14:paraId="537AFC21" w14:textId="77777777" w:rsidR="00624379" w:rsidRDefault="00624379" w:rsidP="00B83D61">
            <w:pPr>
              <w:jc w:val="both"/>
            </w:pPr>
            <w:r>
              <w:t>Quasar, raies H</w:t>
            </w:r>
            <w:r>
              <w:rPr>
                <w:vertAlign w:val="subscript"/>
              </w:rPr>
              <w:t>2</w:t>
            </w:r>
            <w:r>
              <w:t xml:space="preserve">CO, Continuum </w:t>
            </w:r>
          </w:p>
        </w:tc>
      </w:tr>
      <w:tr w:rsidR="00624379" w14:paraId="0CDC06B6" w14:textId="77777777" w:rsidTr="004C5EB4">
        <w:trPr>
          <w:tblCellSpacing w:w="15" w:type="dxa"/>
        </w:trPr>
        <w:tc>
          <w:tcPr>
            <w:tcW w:w="0" w:type="auto"/>
            <w:shd w:val="clear" w:color="auto" w:fill="DDFFDD"/>
            <w:vAlign w:val="center"/>
            <w:hideMark/>
          </w:tcPr>
          <w:p w14:paraId="6ED1A3A9" w14:textId="77777777" w:rsidR="00624379" w:rsidRDefault="00624379" w:rsidP="00B83D61">
            <w:pPr>
              <w:jc w:val="both"/>
            </w:pPr>
            <w:r>
              <w:t>22,01 GHz à 22,21 GHz</w:t>
            </w:r>
          </w:p>
        </w:tc>
        <w:tc>
          <w:tcPr>
            <w:tcW w:w="0" w:type="auto"/>
            <w:shd w:val="clear" w:color="auto" w:fill="DDFFDD"/>
            <w:vAlign w:val="center"/>
            <w:hideMark/>
          </w:tcPr>
          <w:p w14:paraId="7B808785" w14:textId="77777777" w:rsidR="00624379" w:rsidRDefault="00624379" w:rsidP="00B83D61">
            <w:pPr>
              <w:jc w:val="both"/>
            </w:pPr>
            <w:r>
              <w:t>Raie H</w:t>
            </w:r>
            <w:r>
              <w:rPr>
                <w:vertAlign w:val="subscript"/>
              </w:rPr>
              <w:t>2</w:t>
            </w:r>
            <w:r>
              <w:t xml:space="preserve">O </w:t>
            </w:r>
            <w:proofErr w:type="spellStart"/>
            <w:r>
              <w:t>red-shiftée</w:t>
            </w:r>
            <w:proofErr w:type="spellEnd"/>
            <w:r>
              <w:t xml:space="preserve"> </w:t>
            </w:r>
          </w:p>
        </w:tc>
      </w:tr>
      <w:tr w:rsidR="00624379" w14:paraId="08C590EE" w14:textId="77777777" w:rsidTr="004C5EB4">
        <w:trPr>
          <w:tblCellSpacing w:w="15" w:type="dxa"/>
        </w:trPr>
        <w:tc>
          <w:tcPr>
            <w:tcW w:w="0" w:type="auto"/>
            <w:shd w:val="clear" w:color="auto" w:fill="DDDDFF"/>
            <w:vAlign w:val="center"/>
            <w:hideMark/>
          </w:tcPr>
          <w:p w14:paraId="6FFA1E4D" w14:textId="77777777" w:rsidR="00624379" w:rsidRDefault="00624379" w:rsidP="00B83D61">
            <w:pPr>
              <w:jc w:val="both"/>
            </w:pPr>
            <w:r>
              <w:t>22,21 GHz à 22,5 GHz</w:t>
            </w:r>
          </w:p>
        </w:tc>
        <w:tc>
          <w:tcPr>
            <w:tcW w:w="0" w:type="auto"/>
            <w:shd w:val="clear" w:color="auto" w:fill="DDDDFF"/>
            <w:vAlign w:val="center"/>
            <w:hideMark/>
          </w:tcPr>
          <w:p w14:paraId="696953ED" w14:textId="77777777" w:rsidR="00624379" w:rsidRDefault="00624379" w:rsidP="00B83D61">
            <w:pPr>
              <w:jc w:val="both"/>
            </w:pPr>
            <w:r>
              <w:t>Raies H</w:t>
            </w:r>
            <w:r>
              <w:rPr>
                <w:vertAlign w:val="subscript"/>
              </w:rPr>
              <w:t>2</w:t>
            </w:r>
            <w:r>
              <w:t xml:space="preserve">O </w:t>
            </w:r>
          </w:p>
        </w:tc>
      </w:tr>
      <w:tr w:rsidR="00624379" w14:paraId="336674BB" w14:textId="77777777" w:rsidTr="004C5EB4">
        <w:trPr>
          <w:tblCellSpacing w:w="15" w:type="dxa"/>
        </w:trPr>
        <w:tc>
          <w:tcPr>
            <w:tcW w:w="0" w:type="auto"/>
            <w:shd w:val="clear" w:color="auto" w:fill="DDFFDD"/>
            <w:vAlign w:val="center"/>
            <w:hideMark/>
          </w:tcPr>
          <w:p w14:paraId="1E55A82B" w14:textId="77777777" w:rsidR="00624379" w:rsidRDefault="00624379" w:rsidP="00B83D61">
            <w:pPr>
              <w:jc w:val="both"/>
            </w:pPr>
            <w:r>
              <w:t>22,81 GHz à 22,86 GHz</w:t>
            </w:r>
          </w:p>
        </w:tc>
        <w:tc>
          <w:tcPr>
            <w:tcW w:w="0" w:type="auto"/>
            <w:shd w:val="clear" w:color="auto" w:fill="DDFFDD"/>
            <w:vAlign w:val="center"/>
            <w:hideMark/>
          </w:tcPr>
          <w:p w14:paraId="57214BD1" w14:textId="77777777" w:rsidR="00624379" w:rsidRDefault="00624379" w:rsidP="00B83D61">
            <w:pPr>
              <w:jc w:val="both"/>
            </w:pPr>
            <w:r>
              <w:t>Raies NH</w:t>
            </w:r>
            <w:r>
              <w:rPr>
                <w:vertAlign w:val="subscript"/>
              </w:rPr>
              <w:t>3</w:t>
            </w:r>
            <w:r>
              <w:t>, HCOOCH</w:t>
            </w:r>
            <w:r>
              <w:rPr>
                <w:vertAlign w:val="subscript"/>
              </w:rPr>
              <w:t>3</w:t>
            </w:r>
            <w:r>
              <w:t xml:space="preserve"> </w:t>
            </w:r>
          </w:p>
        </w:tc>
      </w:tr>
      <w:tr w:rsidR="00624379" w14:paraId="40C81C8C" w14:textId="77777777" w:rsidTr="004C5EB4">
        <w:trPr>
          <w:tblCellSpacing w:w="15" w:type="dxa"/>
        </w:trPr>
        <w:tc>
          <w:tcPr>
            <w:tcW w:w="0" w:type="auto"/>
            <w:shd w:val="clear" w:color="auto" w:fill="DDDDFF"/>
            <w:vAlign w:val="center"/>
            <w:hideMark/>
          </w:tcPr>
          <w:p w14:paraId="7C9901AC" w14:textId="77777777" w:rsidR="00624379" w:rsidRDefault="00624379" w:rsidP="00B83D61">
            <w:pPr>
              <w:jc w:val="both"/>
            </w:pPr>
            <w:r>
              <w:t>23,07 GHz à 23,12 GHz</w:t>
            </w:r>
          </w:p>
        </w:tc>
        <w:tc>
          <w:tcPr>
            <w:tcW w:w="0" w:type="auto"/>
            <w:shd w:val="clear" w:color="auto" w:fill="DDDDFF"/>
            <w:vAlign w:val="center"/>
            <w:hideMark/>
          </w:tcPr>
          <w:p w14:paraId="14E2183A" w14:textId="77777777" w:rsidR="00624379" w:rsidRDefault="00624379" w:rsidP="00B83D61">
            <w:pPr>
              <w:jc w:val="both"/>
            </w:pPr>
            <w:r>
              <w:t>Raies NH</w:t>
            </w:r>
            <w:r>
              <w:rPr>
                <w:vertAlign w:val="subscript"/>
              </w:rPr>
              <w:t>3</w:t>
            </w:r>
            <w:r>
              <w:t xml:space="preserve"> </w:t>
            </w:r>
          </w:p>
        </w:tc>
      </w:tr>
      <w:tr w:rsidR="00624379" w14:paraId="07C72A57" w14:textId="77777777" w:rsidTr="004C5EB4">
        <w:trPr>
          <w:tblCellSpacing w:w="15" w:type="dxa"/>
        </w:trPr>
        <w:tc>
          <w:tcPr>
            <w:tcW w:w="0" w:type="auto"/>
            <w:shd w:val="clear" w:color="auto" w:fill="DDFFDD"/>
            <w:vAlign w:val="center"/>
            <w:hideMark/>
          </w:tcPr>
          <w:p w14:paraId="57FBF888" w14:textId="77777777" w:rsidR="00624379" w:rsidRDefault="00624379" w:rsidP="00B83D61">
            <w:pPr>
              <w:jc w:val="both"/>
            </w:pPr>
            <w:r>
              <w:t>23,6 GHz à 24,0 GHz</w:t>
            </w:r>
          </w:p>
        </w:tc>
        <w:tc>
          <w:tcPr>
            <w:tcW w:w="0" w:type="auto"/>
            <w:shd w:val="clear" w:color="auto" w:fill="DDFFDD"/>
            <w:vAlign w:val="center"/>
            <w:hideMark/>
          </w:tcPr>
          <w:p w14:paraId="787A52CB" w14:textId="77777777" w:rsidR="00624379" w:rsidRDefault="00624379" w:rsidP="00B83D61">
            <w:pPr>
              <w:jc w:val="both"/>
            </w:pPr>
            <w:r>
              <w:t>Raie NH</w:t>
            </w:r>
            <w:r>
              <w:rPr>
                <w:vertAlign w:val="subscript"/>
              </w:rPr>
              <w:t>3</w:t>
            </w:r>
            <w:r>
              <w:t xml:space="preserve">, Continuum </w:t>
            </w:r>
          </w:p>
        </w:tc>
      </w:tr>
      <w:tr w:rsidR="00624379" w14:paraId="7B4B9210" w14:textId="77777777" w:rsidTr="004C5EB4">
        <w:trPr>
          <w:tblCellSpacing w:w="15" w:type="dxa"/>
        </w:trPr>
        <w:tc>
          <w:tcPr>
            <w:tcW w:w="0" w:type="auto"/>
            <w:shd w:val="clear" w:color="auto" w:fill="DDDDFF"/>
            <w:vAlign w:val="center"/>
            <w:hideMark/>
          </w:tcPr>
          <w:p w14:paraId="7EAFF0FE" w14:textId="77777777" w:rsidR="00624379" w:rsidRDefault="00624379" w:rsidP="00B83D61">
            <w:pPr>
              <w:jc w:val="both"/>
            </w:pPr>
            <w:r>
              <w:t>31,3 GHz à 31,8 GHz</w:t>
            </w:r>
          </w:p>
        </w:tc>
        <w:tc>
          <w:tcPr>
            <w:tcW w:w="0" w:type="auto"/>
            <w:shd w:val="clear" w:color="auto" w:fill="DDDDFF"/>
            <w:vAlign w:val="center"/>
            <w:hideMark/>
          </w:tcPr>
          <w:p w14:paraId="3EBD329D" w14:textId="77777777" w:rsidR="00624379" w:rsidRDefault="00624379" w:rsidP="00B83D61">
            <w:pPr>
              <w:jc w:val="both"/>
            </w:pPr>
            <w:r>
              <w:t xml:space="preserve">Continuum </w:t>
            </w:r>
          </w:p>
        </w:tc>
      </w:tr>
      <w:tr w:rsidR="00624379" w14:paraId="7669C52E" w14:textId="77777777" w:rsidTr="004C5EB4">
        <w:trPr>
          <w:tblCellSpacing w:w="15" w:type="dxa"/>
        </w:trPr>
        <w:tc>
          <w:tcPr>
            <w:tcW w:w="0" w:type="auto"/>
            <w:shd w:val="clear" w:color="auto" w:fill="DDFFDD"/>
            <w:vAlign w:val="center"/>
            <w:hideMark/>
          </w:tcPr>
          <w:p w14:paraId="1D2F78A2" w14:textId="77777777" w:rsidR="00624379" w:rsidRDefault="00624379" w:rsidP="00B83D61">
            <w:pPr>
              <w:jc w:val="both"/>
            </w:pPr>
            <w:r>
              <w:t>36,43 GHz à 36,5 GHz</w:t>
            </w:r>
          </w:p>
        </w:tc>
        <w:tc>
          <w:tcPr>
            <w:tcW w:w="0" w:type="auto"/>
            <w:shd w:val="clear" w:color="auto" w:fill="DDFFDD"/>
            <w:vAlign w:val="center"/>
            <w:hideMark/>
          </w:tcPr>
          <w:p w14:paraId="4133AC67" w14:textId="77777777" w:rsidR="00624379" w:rsidRDefault="00624379" w:rsidP="00B83D61">
            <w:pPr>
              <w:jc w:val="both"/>
            </w:pPr>
            <w:r>
              <w:t>Raies HC</w:t>
            </w:r>
            <w:r>
              <w:rPr>
                <w:vertAlign w:val="subscript"/>
              </w:rPr>
              <w:t>3</w:t>
            </w:r>
            <w:r>
              <w:t xml:space="preserve">N, OH </w:t>
            </w:r>
          </w:p>
        </w:tc>
      </w:tr>
      <w:tr w:rsidR="00624379" w14:paraId="7276358E" w14:textId="77777777" w:rsidTr="004C5EB4">
        <w:trPr>
          <w:tblCellSpacing w:w="15" w:type="dxa"/>
        </w:trPr>
        <w:tc>
          <w:tcPr>
            <w:tcW w:w="0" w:type="auto"/>
            <w:shd w:val="clear" w:color="auto" w:fill="DDDDFF"/>
            <w:vAlign w:val="center"/>
            <w:hideMark/>
          </w:tcPr>
          <w:p w14:paraId="52BE66C7" w14:textId="77777777" w:rsidR="00624379" w:rsidRDefault="00624379" w:rsidP="00B83D61">
            <w:pPr>
              <w:jc w:val="both"/>
            </w:pPr>
            <w:r>
              <w:lastRenderedPageBreak/>
              <w:t>42,5 GHz à 43,5 GHz</w:t>
            </w:r>
          </w:p>
        </w:tc>
        <w:tc>
          <w:tcPr>
            <w:tcW w:w="0" w:type="auto"/>
            <w:shd w:val="clear" w:color="auto" w:fill="DDDDFF"/>
            <w:vAlign w:val="center"/>
            <w:hideMark/>
          </w:tcPr>
          <w:p w14:paraId="6D79BDE0" w14:textId="77777777" w:rsidR="00624379" w:rsidRDefault="00624379" w:rsidP="00B83D61">
            <w:pPr>
              <w:jc w:val="both"/>
            </w:pPr>
            <w:r>
              <w:t xml:space="preserve">Raie </w:t>
            </w:r>
            <w:proofErr w:type="spellStart"/>
            <w:r>
              <w:t>SiO</w:t>
            </w:r>
            <w:proofErr w:type="spellEnd"/>
            <w:r>
              <w:t xml:space="preserve"> </w:t>
            </w:r>
          </w:p>
        </w:tc>
      </w:tr>
      <w:tr w:rsidR="00624379" w:rsidRPr="004F5966" w14:paraId="4B45E2C7" w14:textId="77777777" w:rsidTr="004C5EB4">
        <w:trPr>
          <w:tblCellSpacing w:w="15" w:type="dxa"/>
        </w:trPr>
        <w:tc>
          <w:tcPr>
            <w:tcW w:w="0" w:type="auto"/>
            <w:shd w:val="clear" w:color="auto" w:fill="DDFFDD"/>
            <w:vAlign w:val="center"/>
            <w:hideMark/>
          </w:tcPr>
          <w:p w14:paraId="3BF17A1A" w14:textId="77777777" w:rsidR="00624379" w:rsidRDefault="00624379" w:rsidP="00B83D61">
            <w:pPr>
              <w:jc w:val="both"/>
            </w:pPr>
            <w:r>
              <w:t>47,2 GHz à 50,2 GHz</w:t>
            </w:r>
          </w:p>
        </w:tc>
        <w:tc>
          <w:tcPr>
            <w:tcW w:w="0" w:type="auto"/>
            <w:shd w:val="clear" w:color="auto" w:fill="DDFFDD"/>
            <w:vAlign w:val="center"/>
            <w:hideMark/>
          </w:tcPr>
          <w:p w14:paraId="39E6187A" w14:textId="77777777" w:rsidR="00624379" w:rsidRPr="00624379" w:rsidRDefault="00624379" w:rsidP="00B83D61">
            <w:pPr>
              <w:jc w:val="both"/>
              <w:rPr>
                <w:lang w:val="en-US"/>
              </w:rPr>
            </w:pPr>
            <w:proofErr w:type="spellStart"/>
            <w:r w:rsidRPr="00624379">
              <w:rPr>
                <w:lang w:val="en-US"/>
              </w:rPr>
              <w:t>Raies</w:t>
            </w:r>
            <w:proofErr w:type="spellEnd"/>
            <w:r w:rsidRPr="00624379">
              <w:rPr>
                <w:lang w:val="en-US"/>
              </w:rPr>
              <w:t xml:space="preserve"> CS, H</w:t>
            </w:r>
            <w:r w:rsidRPr="00624379">
              <w:rPr>
                <w:vertAlign w:val="subscript"/>
                <w:lang w:val="en-US"/>
              </w:rPr>
              <w:t>2</w:t>
            </w:r>
            <w:r w:rsidRPr="00624379">
              <w:rPr>
                <w:lang w:val="en-US"/>
              </w:rPr>
              <w:t>CO, CH</w:t>
            </w:r>
            <w:r w:rsidRPr="00624379">
              <w:rPr>
                <w:vertAlign w:val="subscript"/>
                <w:lang w:val="en-US"/>
              </w:rPr>
              <w:t>3</w:t>
            </w:r>
            <w:r w:rsidRPr="00624379">
              <w:rPr>
                <w:lang w:val="en-US"/>
              </w:rPr>
              <w:t xml:space="preserve">OH, OCS </w:t>
            </w:r>
          </w:p>
        </w:tc>
      </w:tr>
      <w:tr w:rsidR="00624379" w14:paraId="180D8DB9" w14:textId="77777777" w:rsidTr="004C5EB4">
        <w:trPr>
          <w:tblCellSpacing w:w="15" w:type="dxa"/>
        </w:trPr>
        <w:tc>
          <w:tcPr>
            <w:tcW w:w="0" w:type="auto"/>
            <w:shd w:val="clear" w:color="auto" w:fill="DDDDFF"/>
            <w:vAlign w:val="center"/>
            <w:hideMark/>
          </w:tcPr>
          <w:p w14:paraId="5319B9B1" w14:textId="77777777" w:rsidR="00624379" w:rsidRDefault="00624379" w:rsidP="00B83D61">
            <w:pPr>
              <w:jc w:val="both"/>
            </w:pPr>
            <w:r>
              <w:t>51,4 GHz à 59 GHz</w:t>
            </w:r>
          </w:p>
        </w:tc>
        <w:tc>
          <w:tcPr>
            <w:tcW w:w="0" w:type="auto"/>
            <w:shd w:val="clear" w:color="auto" w:fill="DDDDFF"/>
            <w:vAlign w:val="center"/>
            <w:hideMark/>
          </w:tcPr>
          <w:p w14:paraId="1CF5AD7E" w14:textId="77777777" w:rsidR="00624379" w:rsidRDefault="00624379" w:rsidP="00B83D61">
            <w:pPr>
              <w:jc w:val="both"/>
            </w:pPr>
          </w:p>
        </w:tc>
      </w:tr>
      <w:tr w:rsidR="00624379" w14:paraId="1485F804" w14:textId="77777777" w:rsidTr="004C5EB4">
        <w:trPr>
          <w:tblCellSpacing w:w="15" w:type="dxa"/>
        </w:trPr>
        <w:tc>
          <w:tcPr>
            <w:tcW w:w="0" w:type="auto"/>
            <w:shd w:val="clear" w:color="auto" w:fill="DDFFDD"/>
            <w:vAlign w:val="center"/>
            <w:hideMark/>
          </w:tcPr>
          <w:p w14:paraId="5B02A89B" w14:textId="77777777" w:rsidR="00624379" w:rsidRDefault="00624379" w:rsidP="00B83D61">
            <w:pPr>
              <w:jc w:val="both"/>
              <w:rPr>
                <w:sz w:val="24"/>
                <w:szCs w:val="24"/>
              </w:rPr>
            </w:pPr>
            <w:r>
              <w:t>76 GHz à 116 GHz</w:t>
            </w:r>
          </w:p>
        </w:tc>
        <w:tc>
          <w:tcPr>
            <w:tcW w:w="0" w:type="auto"/>
            <w:shd w:val="clear" w:color="auto" w:fill="DDFFDD"/>
            <w:vAlign w:val="center"/>
            <w:hideMark/>
          </w:tcPr>
          <w:p w14:paraId="100B1735" w14:textId="77777777" w:rsidR="00624379" w:rsidRDefault="00624379" w:rsidP="00B83D61">
            <w:pPr>
              <w:jc w:val="both"/>
            </w:pPr>
            <w:r>
              <w:t xml:space="preserve">Continuum, raies moléculaires </w:t>
            </w:r>
          </w:p>
        </w:tc>
      </w:tr>
      <w:tr w:rsidR="00624379" w:rsidRPr="004F5966" w14:paraId="24020D85" w14:textId="77777777" w:rsidTr="004C5EB4">
        <w:trPr>
          <w:tblCellSpacing w:w="15" w:type="dxa"/>
        </w:trPr>
        <w:tc>
          <w:tcPr>
            <w:tcW w:w="0" w:type="auto"/>
            <w:shd w:val="clear" w:color="auto" w:fill="DDDDFF"/>
            <w:vAlign w:val="center"/>
            <w:hideMark/>
          </w:tcPr>
          <w:p w14:paraId="728867EC" w14:textId="77777777" w:rsidR="00624379" w:rsidRDefault="00624379" w:rsidP="00B83D61">
            <w:pPr>
              <w:jc w:val="both"/>
            </w:pPr>
            <w:r>
              <w:t>123 GHz à 158,5 GHz</w:t>
            </w:r>
          </w:p>
        </w:tc>
        <w:tc>
          <w:tcPr>
            <w:tcW w:w="0" w:type="auto"/>
            <w:shd w:val="clear" w:color="auto" w:fill="DDDDFF"/>
            <w:vAlign w:val="center"/>
            <w:hideMark/>
          </w:tcPr>
          <w:p w14:paraId="7607CAF5" w14:textId="77777777" w:rsidR="00624379" w:rsidRPr="00624379" w:rsidRDefault="00624379" w:rsidP="00B83D61">
            <w:pPr>
              <w:jc w:val="both"/>
              <w:rPr>
                <w:lang w:val="en-US"/>
              </w:rPr>
            </w:pPr>
            <w:proofErr w:type="spellStart"/>
            <w:r w:rsidRPr="00624379">
              <w:rPr>
                <w:lang w:val="en-US"/>
              </w:rPr>
              <w:t>Raies</w:t>
            </w:r>
            <w:proofErr w:type="spellEnd"/>
            <w:r w:rsidRPr="00624379">
              <w:rPr>
                <w:lang w:val="en-US"/>
              </w:rPr>
              <w:t xml:space="preserve"> H</w:t>
            </w:r>
            <w:r w:rsidRPr="00624379">
              <w:rPr>
                <w:vertAlign w:val="subscript"/>
                <w:lang w:val="en-US"/>
              </w:rPr>
              <w:t>2</w:t>
            </w:r>
            <w:r w:rsidRPr="00624379">
              <w:rPr>
                <w:lang w:val="en-US"/>
              </w:rPr>
              <w:t>CO, DCN, H</w:t>
            </w:r>
            <w:r w:rsidRPr="00624379">
              <w:rPr>
                <w:vertAlign w:val="subscript"/>
                <w:lang w:val="en-US"/>
              </w:rPr>
              <w:t>2</w:t>
            </w:r>
            <w:r w:rsidRPr="00624379">
              <w:rPr>
                <w:lang w:val="en-US"/>
              </w:rPr>
              <w:t xml:space="preserve">CO, CS </w:t>
            </w:r>
          </w:p>
        </w:tc>
      </w:tr>
      <w:tr w:rsidR="00624379" w14:paraId="5C5DAC0B" w14:textId="77777777" w:rsidTr="004C5EB4">
        <w:trPr>
          <w:tblCellSpacing w:w="15" w:type="dxa"/>
        </w:trPr>
        <w:tc>
          <w:tcPr>
            <w:tcW w:w="0" w:type="auto"/>
            <w:shd w:val="clear" w:color="auto" w:fill="DDFFDD"/>
            <w:vAlign w:val="center"/>
            <w:hideMark/>
          </w:tcPr>
          <w:p w14:paraId="7DCD6C2C" w14:textId="77777777" w:rsidR="00624379" w:rsidRDefault="00624379" w:rsidP="00B83D61">
            <w:pPr>
              <w:jc w:val="both"/>
            </w:pPr>
            <w:r>
              <w:t>164 GHz à 167 GHz</w:t>
            </w:r>
          </w:p>
        </w:tc>
        <w:tc>
          <w:tcPr>
            <w:tcW w:w="0" w:type="auto"/>
            <w:shd w:val="clear" w:color="auto" w:fill="DDFFDD"/>
            <w:vAlign w:val="center"/>
            <w:hideMark/>
          </w:tcPr>
          <w:p w14:paraId="4CBBD16A" w14:textId="77777777" w:rsidR="00624379" w:rsidRDefault="00624379" w:rsidP="00B83D61">
            <w:pPr>
              <w:jc w:val="both"/>
            </w:pPr>
            <w:r>
              <w:t xml:space="preserve">Continuum </w:t>
            </w:r>
          </w:p>
        </w:tc>
      </w:tr>
      <w:tr w:rsidR="00624379" w14:paraId="076559A4" w14:textId="77777777" w:rsidTr="004C5EB4">
        <w:trPr>
          <w:tblCellSpacing w:w="15" w:type="dxa"/>
        </w:trPr>
        <w:tc>
          <w:tcPr>
            <w:tcW w:w="0" w:type="auto"/>
            <w:shd w:val="clear" w:color="auto" w:fill="DDDDFF"/>
            <w:vAlign w:val="center"/>
            <w:hideMark/>
          </w:tcPr>
          <w:p w14:paraId="109E085A" w14:textId="77777777" w:rsidR="00624379" w:rsidRDefault="00624379" w:rsidP="00B83D61">
            <w:pPr>
              <w:jc w:val="both"/>
            </w:pPr>
            <w:r>
              <w:t>168 GHz à 185 GHz</w:t>
            </w:r>
          </w:p>
        </w:tc>
        <w:tc>
          <w:tcPr>
            <w:tcW w:w="0" w:type="auto"/>
            <w:shd w:val="clear" w:color="auto" w:fill="DDDDFF"/>
            <w:vAlign w:val="center"/>
            <w:hideMark/>
          </w:tcPr>
          <w:p w14:paraId="19B31CD2" w14:textId="77777777" w:rsidR="00624379" w:rsidRDefault="00624379" w:rsidP="00B83D61">
            <w:pPr>
              <w:jc w:val="both"/>
            </w:pPr>
            <w:r>
              <w:t>H</w:t>
            </w:r>
            <w:r>
              <w:rPr>
                <w:vertAlign w:val="subscript"/>
              </w:rPr>
              <w:t>2</w:t>
            </w:r>
            <w:r>
              <w:t>O, O</w:t>
            </w:r>
            <w:r>
              <w:rPr>
                <w:vertAlign w:val="subscript"/>
              </w:rPr>
              <w:t>3</w:t>
            </w:r>
            <w:r>
              <w:t xml:space="preserve">, multiples raies </w:t>
            </w:r>
          </w:p>
        </w:tc>
      </w:tr>
      <w:tr w:rsidR="00624379" w14:paraId="00B8E780" w14:textId="77777777" w:rsidTr="004C5EB4">
        <w:trPr>
          <w:tblCellSpacing w:w="15" w:type="dxa"/>
        </w:trPr>
        <w:tc>
          <w:tcPr>
            <w:tcW w:w="0" w:type="auto"/>
            <w:shd w:val="clear" w:color="auto" w:fill="DDFFDD"/>
            <w:vAlign w:val="center"/>
            <w:hideMark/>
          </w:tcPr>
          <w:p w14:paraId="562CA8A4" w14:textId="77777777" w:rsidR="00624379" w:rsidRDefault="00624379" w:rsidP="00B83D61">
            <w:pPr>
              <w:jc w:val="both"/>
            </w:pPr>
            <w:r>
              <w:t>191,8 GHz à 231,5 GHz</w:t>
            </w:r>
          </w:p>
        </w:tc>
        <w:tc>
          <w:tcPr>
            <w:tcW w:w="0" w:type="auto"/>
            <w:shd w:val="clear" w:color="auto" w:fill="DDFFDD"/>
            <w:vAlign w:val="center"/>
            <w:hideMark/>
          </w:tcPr>
          <w:p w14:paraId="0A4E8109" w14:textId="77777777" w:rsidR="00624379" w:rsidRDefault="00624379" w:rsidP="00B83D61">
            <w:pPr>
              <w:jc w:val="both"/>
            </w:pPr>
            <w:r>
              <w:t xml:space="preserve">Raie CO </w:t>
            </w:r>
            <w:proofErr w:type="spellStart"/>
            <w:r>
              <w:t>a</w:t>
            </w:r>
            <w:proofErr w:type="spellEnd"/>
            <w:r>
              <w:t xml:space="preserve"> 230,5 GHz </w:t>
            </w:r>
          </w:p>
        </w:tc>
      </w:tr>
      <w:tr w:rsidR="00624379" w14:paraId="09E2A9B7" w14:textId="77777777" w:rsidTr="004C5EB4">
        <w:trPr>
          <w:tblCellSpacing w:w="15" w:type="dxa"/>
        </w:trPr>
        <w:tc>
          <w:tcPr>
            <w:tcW w:w="0" w:type="auto"/>
            <w:shd w:val="clear" w:color="auto" w:fill="DDDDFF"/>
            <w:vAlign w:val="center"/>
            <w:hideMark/>
          </w:tcPr>
          <w:p w14:paraId="5095D9F0" w14:textId="77777777" w:rsidR="00624379" w:rsidRDefault="00624379" w:rsidP="00B83D61">
            <w:pPr>
              <w:jc w:val="both"/>
            </w:pPr>
            <w:r>
              <w:t>241 GHz à 275 GHz</w:t>
            </w:r>
          </w:p>
        </w:tc>
        <w:tc>
          <w:tcPr>
            <w:tcW w:w="0" w:type="auto"/>
            <w:shd w:val="clear" w:color="auto" w:fill="DDDDFF"/>
            <w:vAlign w:val="center"/>
            <w:hideMark/>
          </w:tcPr>
          <w:p w14:paraId="1FD6AE1F" w14:textId="77777777" w:rsidR="00624379" w:rsidRDefault="00624379" w:rsidP="00B83D61">
            <w:pPr>
              <w:jc w:val="both"/>
            </w:pPr>
            <w:r>
              <w:t>Raies C</w:t>
            </w:r>
            <w:r>
              <w:rPr>
                <w:vertAlign w:val="subscript"/>
              </w:rPr>
              <w:t>2</w:t>
            </w:r>
            <w:r>
              <w:t xml:space="preserve">H, HCN, HCO+ </w:t>
            </w:r>
          </w:p>
        </w:tc>
      </w:tr>
      <w:tr w:rsidR="00624379" w14:paraId="2C35764A" w14:textId="77777777" w:rsidTr="004C5EB4">
        <w:trPr>
          <w:tblCellSpacing w:w="15" w:type="dxa"/>
        </w:trPr>
        <w:tc>
          <w:tcPr>
            <w:tcW w:w="0" w:type="auto"/>
            <w:shd w:val="clear" w:color="auto" w:fill="DDFFDD"/>
            <w:vAlign w:val="center"/>
            <w:hideMark/>
          </w:tcPr>
          <w:p w14:paraId="57958BC6" w14:textId="77777777" w:rsidR="00624379" w:rsidRDefault="00624379" w:rsidP="00B83D61">
            <w:pPr>
              <w:jc w:val="both"/>
            </w:pPr>
            <w:r>
              <w:t>275 GHz à 1 000 GHz</w:t>
            </w:r>
          </w:p>
        </w:tc>
        <w:tc>
          <w:tcPr>
            <w:tcW w:w="0" w:type="auto"/>
            <w:shd w:val="clear" w:color="auto" w:fill="DDFFDD"/>
            <w:vAlign w:val="center"/>
            <w:hideMark/>
          </w:tcPr>
          <w:p w14:paraId="1F2010E9" w14:textId="77777777" w:rsidR="00624379" w:rsidRDefault="00624379" w:rsidP="00B83D61">
            <w:pPr>
              <w:jc w:val="both"/>
            </w:pPr>
            <w:r>
              <w:t xml:space="preserve">Continuum, raies moléculaires </w:t>
            </w:r>
          </w:p>
        </w:tc>
      </w:tr>
    </w:tbl>
    <w:p w14:paraId="702E2C10" w14:textId="776E38DA" w:rsidR="004C5EB4" w:rsidRDefault="004C5EB4" w:rsidP="00B83D61">
      <w:pPr>
        <w:jc w:val="both"/>
      </w:pPr>
    </w:p>
    <w:p w14:paraId="5A87F469" w14:textId="77777777" w:rsidR="004C5EB4" w:rsidRDefault="004C5EB4" w:rsidP="00B83D61">
      <w:pPr>
        <w:jc w:val="both"/>
      </w:pPr>
    </w:p>
    <w:p w14:paraId="46D1BDE1" w14:textId="77777777" w:rsidR="004C5EB4" w:rsidRPr="004C5EB4" w:rsidRDefault="00624379" w:rsidP="00B83D61">
      <w:pPr>
        <w:pStyle w:val="Titre2"/>
        <w:jc w:val="both"/>
        <w:rPr>
          <w:b/>
          <w:bCs/>
          <w:lang w:val="en-US"/>
        </w:rPr>
      </w:pPr>
      <w:bookmarkStart w:id="5" w:name="_Toc133070607"/>
      <w:proofErr w:type="spellStart"/>
      <w:r w:rsidRPr="004C5EB4">
        <w:rPr>
          <w:b/>
          <w:bCs/>
          <w:lang w:val="en-US"/>
        </w:rPr>
        <w:t>L’</w:t>
      </w:r>
      <w:r w:rsidRPr="004C5EB4">
        <w:rPr>
          <w:rStyle w:val="lang-en"/>
          <w:b/>
          <w:bCs/>
          <w:i/>
          <w:iCs/>
          <w:lang w:val="en-US"/>
        </w:rPr>
        <w:t>Atacama</w:t>
      </w:r>
      <w:proofErr w:type="spellEnd"/>
      <w:r w:rsidRPr="004C5EB4">
        <w:rPr>
          <w:rStyle w:val="lang-en"/>
          <w:b/>
          <w:bCs/>
          <w:i/>
          <w:iCs/>
          <w:lang w:val="en-US"/>
        </w:rPr>
        <w:t xml:space="preserve"> Large Millimeter/submillimeter Array</w:t>
      </w:r>
      <w:r w:rsidRPr="004C5EB4">
        <w:rPr>
          <w:b/>
          <w:bCs/>
          <w:lang w:val="en-US"/>
        </w:rPr>
        <w:t xml:space="preserve"> (ALMA</w:t>
      </w:r>
      <w:r w:rsidR="004C5EB4" w:rsidRPr="004C5EB4">
        <w:rPr>
          <w:b/>
          <w:bCs/>
          <w:lang w:val="en-US"/>
        </w:rPr>
        <w:t>)</w:t>
      </w:r>
      <w:bookmarkEnd w:id="5"/>
    </w:p>
    <w:p w14:paraId="542EA6B1" w14:textId="48373B4A" w:rsidR="00624379" w:rsidRPr="004C5EB4" w:rsidRDefault="004C5EB4" w:rsidP="00B83D61">
      <w:pPr>
        <w:jc w:val="both"/>
        <w:rPr>
          <w:rFonts w:ascii="Arial" w:hAnsi="Arial" w:cs="Arial"/>
        </w:rPr>
      </w:pPr>
      <w:r>
        <w:rPr>
          <w:noProof/>
        </w:rPr>
        <w:drawing>
          <wp:anchor distT="0" distB="0" distL="114300" distR="114300" simplePos="0" relativeHeight="251658240" behindDoc="0" locked="0" layoutInCell="1" allowOverlap="1" wp14:anchorId="0C5B2A15" wp14:editId="4BDA80BB">
            <wp:simplePos x="0" y="0"/>
            <wp:positionH relativeFrom="column">
              <wp:posOffset>2776855</wp:posOffset>
            </wp:positionH>
            <wp:positionV relativeFrom="paragraph">
              <wp:posOffset>34925</wp:posOffset>
            </wp:positionV>
            <wp:extent cx="3590925" cy="2389200"/>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90925" cy="2389200"/>
                    </a:xfrm>
                    <a:prstGeom prst="rect">
                      <a:avLst/>
                    </a:prstGeom>
                    <a:noFill/>
                    <a:ln>
                      <a:noFill/>
                    </a:ln>
                  </pic:spPr>
                </pic:pic>
              </a:graphicData>
            </a:graphic>
          </wp:anchor>
        </w:drawing>
      </w:r>
      <w:proofErr w:type="gramStart"/>
      <w:r w:rsidR="00624379" w:rsidRPr="004C5EB4">
        <w:rPr>
          <w:rFonts w:ascii="Arial" w:hAnsi="Arial" w:cs="Arial"/>
        </w:rPr>
        <w:t>est</w:t>
      </w:r>
      <w:proofErr w:type="gramEnd"/>
      <w:r w:rsidR="00624379" w:rsidRPr="004C5EB4">
        <w:rPr>
          <w:rFonts w:ascii="Arial" w:hAnsi="Arial" w:cs="Arial"/>
        </w:rPr>
        <w:t xml:space="preserve"> un radiotélescope géant observant les ondes millimétriques installé dans le désert d'Atacama dans le nord du Chili. Il est composé de 66 antennes d'un diamètre compris entre 7 et 12 mètres qui peuvent être écartées de 16 km à 150 m et qui fonctionnent en interférométrie. Pour obtenir les meilleures conditions d'observation, les antennes du radiotélescope sont installées sur le haut plateau de </w:t>
      </w:r>
      <w:proofErr w:type="spellStart"/>
      <w:r w:rsidR="00624379" w:rsidRPr="004C5EB4">
        <w:rPr>
          <w:rFonts w:ascii="Arial" w:hAnsi="Arial" w:cs="Arial"/>
        </w:rPr>
        <w:t>Chajnantor</w:t>
      </w:r>
      <w:proofErr w:type="spellEnd"/>
      <w:r w:rsidR="00624379" w:rsidRPr="004C5EB4">
        <w:rPr>
          <w:rFonts w:ascii="Arial" w:hAnsi="Arial" w:cs="Arial"/>
        </w:rPr>
        <w:t xml:space="preserve"> à environ 5 100 m d'altitude près de la ville de San Pedro de Atacama. ALMA est l'instrument le plus performant existant pour l'observation des nuages moléculaires dans lesquels naissent les étoiles qui ne peuvent être observés que dans les ondes millimétriques et submillimétriques. L'instrument est capable grâce à sa haute résolution d'étudier le processus de formation des planètes autour des jeunes étoiles. ALMA doit également observer les trous noirs supermassifs grâce à sa capacité à voir à travers les nuages interstellaires. Enfin ALMA permettra d'étudier comment se forment les galaxies</w:t>
      </w:r>
    </w:p>
    <w:p w14:paraId="224ABA63" w14:textId="77777777" w:rsidR="007A3A0E" w:rsidRDefault="007A3A0E" w:rsidP="00B83D61">
      <w:pPr>
        <w:jc w:val="both"/>
      </w:pPr>
    </w:p>
    <w:p w14:paraId="565D614A" w14:textId="77777777" w:rsidR="004C5EB4" w:rsidRPr="004F5966" w:rsidRDefault="00624379" w:rsidP="00B83D61">
      <w:pPr>
        <w:pStyle w:val="Titre2"/>
        <w:jc w:val="both"/>
        <w:rPr>
          <w:b/>
          <w:bCs/>
        </w:rPr>
      </w:pPr>
      <w:bookmarkStart w:id="6" w:name="_Toc133070608"/>
      <w:r w:rsidRPr="004F5966">
        <w:rPr>
          <w:b/>
          <w:bCs/>
        </w:rPr>
        <w:t xml:space="preserve">Le </w:t>
      </w:r>
      <w:r w:rsidRPr="004F5966">
        <w:rPr>
          <w:rStyle w:val="lang-en"/>
          <w:b/>
          <w:bCs/>
          <w:i/>
          <w:iCs/>
        </w:rPr>
        <w:t xml:space="preserve">Square </w:t>
      </w:r>
      <w:proofErr w:type="spellStart"/>
      <w:r w:rsidRPr="004F5966">
        <w:rPr>
          <w:rStyle w:val="lang-en"/>
          <w:b/>
          <w:bCs/>
          <w:i/>
          <w:iCs/>
        </w:rPr>
        <w:t>Kilometre</w:t>
      </w:r>
      <w:proofErr w:type="spellEnd"/>
      <w:r w:rsidRPr="004F5966">
        <w:rPr>
          <w:rStyle w:val="lang-en"/>
          <w:b/>
          <w:bCs/>
          <w:i/>
          <w:iCs/>
        </w:rPr>
        <w:t xml:space="preserve"> </w:t>
      </w:r>
      <w:proofErr w:type="spellStart"/>
      <w:r w:rsidRPr="004F5966">
        <w:rPr>
          <w:rStyle w:val="lang-en"/>
          <w:b/>
          <w:bCs/>
          <w:i/>
          <w:iCs/>
        </w:rPr>
        <w:t>Array</w:t>
      </w:r>
      <w:proofErr w:type="spellEnd"/>
      <w:r w:rsidRPr="004F5966">
        <w:rPr>
          <w:b/>
          <w:bCs/>
        </w:rPr>
        <w:t xml:space="preserve"> (SKA)</w:t>
      </w:r>
      <w:bookmarkEnd w:id="6"/>
      <w:r w:rsidRPr="004F5966">
        <w:rPr>
          <w:b/>
          <w:bCs/>
        </w:rPr>
        <w:t xml:space="preserve"> </w:t>
      </w:r>
    </w:p>
    <w:p w14:paraId="3B285DE0" w14:textId="1AB13BDC" w:rsidR="00624379" w:rsidRPr="004C5EB4" w:rsidRDefault="00624379" w:rsidP="00B83D61">
      <w:pPr>
        <w:jc w:val="both"/>
        <w:rPr>
          <w:rFonts w:ascii="Arial" w:hAnsi="Arial" w:cs="Arial"/>
        </w:rPr>
      </w:pPr>
      <w:proofErr w:type="gramStart"/>
      <w:r w:rsidRPr="004C5EB4">
        <w:rPr>
          <w:rFonts w:ascii="Arial" w:hAnsi="Arial" w:cs="Arial"/>
        </w:rPr>
        <w:t>est</w:t>
      </w:r>
      <w:proofErr w:type="gramEnd"/>
      <w:r w:rsidRPr="004C5EB4">
        <w:rPr>
          <w:rFonts w:ascii="Arial" w:hAnsi="Arial" w:cs="Arial"/>
        </w:rPr>
        <w:t xml:space="preserve"> un projet de radiotélescope géant, de surface collectrice équivalente d’un kilomètre carré (comme son nom l'indique), constitué de plusieurs réseaux interférométriques dans les longueurs d'onde</w:t>
      </w:r>
      <w:r w:rsidR="00765447">
        <w:rPr>
          <w:rFonts w:ascii="Arial" w:hAnsi="Arial" w:cs="Arial"/>
        </w:rPr>
        <w:t xml:space="preserve"> </w:t>
      </w:r>
      <w:r w:rsidRPr="004C5EB4">
        <w:rPr>
          <w:rFonts w:ascii="Arial" w:hAnsi="Arial" w:cs="Arial"/>
        </w:rPr>
        <w:t xml:space="preserve">métriques et centimétriques. SKA a été conçu par un consortium scientifique international pour étudier des questions scientifiques essentielles allant de la naissance de </w:t>
      </w:r>
      <w:r w:rsidRPr="004C5EB4">
        <w:rPr>
          <w:rFonts w:ascii="Arial" w:hAnsi="Arial" w:cs="Arial"/>
        </w:rPr>
        <w:lastRenderedPageBreak/>
        <w:t xml:space="preserve">notre Univers aux origines de la vie. Son déploiement est prévu successivement sur deux sites, en Afrique du Sud puis en Australie : </w:t>
      </w:r>
    </w:p>
    <w:p w14:paraId="16A63591" w14:textId="24571F1C" w:rsidR="00624379" w:rsidRPr="004C5EB4" w:rsidRDefault="00624379" w:rsidP="00B83D61">
      <w:pPr>
        <w:numPr>
          <w:ilvl w:val="0"/>
          <w:numId w:val="3"/>
        </w:numPr>
        <w:spacing w:before="100" w:beforeAutospacing="1" w:after="100" w:afterAutospacing="1" w:line="240" w:lineRule="auto"/>
        <w:jc w:val="both"/>
        <w:rPr>
          <w:rFonts w:ascii="Arial" w:hAnsi="Arial" w:cs="Arial"/>
        </w:rPr>
      </w:pPr>
      <w:proofErr w:type="gramStart"/>
      <w:r w:rsidRPr="004C5EB4">
        <w:rPr>
          <w:rFonts w:ascii="Arial" w:hAnsi="Arial" w:cs="Arial"/>
        </w:rPr>
        <w:t>la</w:t>
      </w:r>
      <w:proofErr w:type="gramEnd"/>
      <w:r w:rsidRPr="004C5EB4">
        <w:rPr>
          <w:rFonts w:ascii="Arial" w:hAnsi="Arial" w:cs="Arial"/>
        </w:rPr>
        <w:t xml:space="preserve"> Phase 1 (SKA1), dont le coût estimé est de 674 M€ (en valeur 2016) et le début de construction est prévu pour 2020, pour une mise en service à l'horizon 2024+, consiste à installer environ 10 % du réseau final, sous forme d'environ 200 télescopes paraboliques situés en Afrique du Sud (SKA1-MID), et de 130 000 antennes phasées fixes travaillant aux basses fréquences dans l'ouest de l’Australie (SKA1-LOW). SKA1 représentera un saut qualitatif immense par rapport aux instruments existants, et permettra des avancées décisives dans toutes les thématiques de l'astrophysique et de la physique modernes, comme la cosmologie, l'origine des champs magnétiques cosmiques, le milieu interstellaire, la formation des étoiles aux différentes époques de l'Univers, les ondes gravitationnelles, etc.</w:t>
      </w:r>
    </w:p>
    <w:p w14:paraId="0161B154" w14:textId="77777777" w:rsidR="00624379" w:rsidRPr="004C5EB4" w:rsidRDefault="00624379" w:rsidP="00B83D61">
      <w:pPr>
        <w:numPr>
          <w:ilvl w:val="0"/>
          <w:numId w:val="3"/>
        </w:numPr>
        <w:spacing w:before="100" w:beforeAutospacing="1" w:after="100" w:afterAutospacing="1" w:line="240" w:lineRule="auto"/>
        <w:jc w:val="both"/>
        <w:rPr>
          <w:rFonts w:ascii="Arial" w:hAnsi="Arial" w:cs="Arial"/>
        </w:rPr>
      </w:pPr>
      <w:proofErr w:type="gramStart"/>
      <w:r w:rsidRPr="004C5EB4">
        <w:rPr>
          <w:rFonts w:ascii="Arial" w:hAnsi="Arial" w:cs="Arial"/>
        </w:rPr>
        <w:t>la</w:t>
      </w:r>
      <w:proofErr w:type="gramEnd"/>
      <w:r w:rsidRPr="004C5EB4">
        <w:rPr>
          <w:rFonts w:ascii="Arial" w:hAnsi="Arial" w:cs="Arial"/>
        </w:rPr>
        <w:t xml:space="preserve"> Phase 2 (SKA2) est envisagée pour les années 2030. Dans cette configuration finale, SKA2 sera l'instrument ultime de la radioastronomie basse fréquence du XXIe siècle</w:t>
      </w:r>
    </w:p>
    <w:p w14:paraId="68F6C9C5" w14:textId="77777777" w:rsidR="007A3A0E" w:rsidRDefault="007A3A0E" w:rsidP="00B83D61">
      <w:pPr>
        <w:pStyle w:val="Paragraphedeliste"/>
        <w:jc w:val="both"/>
      </w:pPr>
    </w:p>
    <w:p w14:paraId="000B5614" w14:textId="77777777" w:rsidR="00765447" w:rsidRPr="00765447" w:rsidRDefault="00624379" w:rsidP="00B83D61">
      <w:pPr>
        <w:pStyle w:val="Titre2"/>
        <w:jc w:val="both"/>
        <w:rPr>
          <w:b/>
          <w:bCs/>
        </w:rPr>
      </w:pPr>
      <w:bookmarkStart w:id="7" w:name="_Toc133070609"/>
      <w:r w:rsidRPr="00765447">
        <w:rPr>
          <w:b/>
          <w:bCs/>
        </w:rPr>
        <w:t>La station de radioastronomie de Nançay</w:t>
      </w:r>
      <w:bookmarkEnd w:id="7"/>
      <w:r w:rsidRPr="00765447">
        <w:rPr>
          <w:b/>
          <w:bCs/>
        </w:rPr>
        <w:t xml:space="preserve"> </w:t>
      </w:r>
    </w:p>
    <w:p w14:paraId="048A4A4B" w14:textId="24672878" w:rsidR="00624379" w:rsidRPr="00765447" w:rsidRDefault="00624379" w:rsidP="00B83D61">
      <w:pPr>
        <w:pStyle w:val="Paragraphedeliste"/>
        <w:ind w:left="0"/>
        <w:jc w:val="both"/>
        <w:rPr>
          <w:rFonts w:ascii="Arial" w:hAnsi="Arial" w:cs="Arial"/>
        </w:rPr>
      </w:pPr>
      <w:proofErr w:type="gramStart"/>
      <w:r w:rsidRPr="00765447">
        <w:rPr>
          <w:rFonts w:ascii="Arial" w:hAnsi="Arial" w:cs="Arial"/>
        </w:rPr>
        <w:t>inaugurée</w:t>
      </w:r>
      <w:proofErr w:type="gramEnd"/>
      <w:r w:rsidRPr="00765447">
        <w:rPr>
          <w:rFonts w:ascii="Arial" w:hAnsi="Arial" w:cs="Arial"/>
        </w:rPr>
        <w:t xml:space="preserve"> en 1956, est l'un des trois laboratoires fondateurs de l'Observatoire des sciences de l'univers en région Centre (OSUC), également département de l'Observatoire de Paris et unité de recherche associée à l'INSU du CNRS (USR704) et à l’Université d'Orléans.</w:t>
      </w:r>
    </w:p>
    <w:p w14:paraId="6AE9FCE6" w14:textId="7D6D7E10" w:rsidR="00624379" w:rsidRDefault="00624379" w:rsidP="00B83D61">
      <w:pPr>
        <w:pStyle w:val="Paragraphedeliste"/>
        <w:jc w:val="both"/>
      </w:pPr>
      <w:r>
        <w:rPr>
          <w:noProof/>
        </w:rPr>
        <w:drawing>
          <wp:anchor distT="0" distB="0" distL="114300" distR="114300" simplePos="0" relativeHeight="251659264" behindDoc="0" locked="0" layoutInCell="1" allowOverlap="1" wp14:anchorId="1CDD93A8" wp14:editId="5F851DEA">
            <wp:simplePos x="0" y="0"/>
            <wp:positionH relativeFrom="column">
              <wp:posOffset>3691255</wp:posOffset>
            </wp:positionH>
            <wp:positionV relativeFrom="paragraph">
              <wp:posOffset>133350</wp:posOffset>
            </wp:positionV>
            <wp:extent cx="2590800" cy="193167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90800" cy="19316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50CCE1" w14:textId="00625C8F" w:rsidR="00624379" w:rsidRPr="00B83D61" w:rsidRDefault="00624379" w:rsidP="00B83D61">
      <w:pPr>
        <w:pStyle w:val="NormalWeb"/>
        <w:numPr>
          <w:ilvl w:val="0"/>
          <w:numId w:val="3"/>
        </w:numPr>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t xml:space="preserve">Équivalent, en surface collectrice à une antenne parabolique de près de 100 m de diamètre, il est constitué d'un miroir « radio » (en fait, une grille métallique) plan mobile selon un axe horizontal de 200 mètres sur 40 mètres et pesant 400 tonnes, permettant de pointer une source radio dans le ciel à différentes élévations, d'un miroir fixe représentant une portion de sphère de 300 m par 35 m, puis d'un ensemble de petits miroirs qui précédent deux récepteurs radio basses (1,0 à 1,7 GHz) et hautes (1,6 à 3,5 GHz) fréquences. Ces récepteurs sont placés sur un ensemble mobile le long d'une voie ferrée de 80 mètres de manière à pouvoir compenser le mouvement de rotation de la Terre sur elle-même et suivre ainsi les sources émettrices d'ondes radio pendant une durée d'un peu plus d'une heure autour de leur passage au méridien. </w:t>
      </w:r>
    </w:p>
    <w:p w14:paraId="5ED09EF7" w14:textId="4974B8F3" w:rsidR="00624379" w:rsidRPr="00B83D61" w:rsidRDefault="00624379" w:rsidP="00B83D61">
      <w:pPr>
        <w:pStyle w:val="NormalWeb"/>
        <w:numPr>
          <w:ilvl w:val="0"/>
          <w:numId w:val="3"/>
        </w:numPr>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t xml:space="preserve">Le radiotélescope de Nançay fait de l'observation centimétrique. Comme dans tout radiotélescope, le maillage des miroirs métalliques est tel que la dimension des mailles (ici, environ un centimètre) est inférieure à la longueur d'onde du rayonnement capté, afin de permettre la réflexion des ondes électromagnétiques. </w:t>
      </w:r>
    </w:p>
    <w:p w14:paraId="046F51A9" w14:textId="3CAEAE37" w:rsidR="00624379" w:rsidRPr="00B83D61" w:rsidRDefault="00624379" w:rsidP="00B83D61">
      <w:pPr>
        <w:pStyle w:val="NormalWeb"/>
        <w:numPr>
          <w:ilvl w:val="0"/>
          <w:numId w:val="3"/>
        </w:numPr>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t xml:space="preserve">Les longueurs d'onde étudiées sont essentiellement de 21, 18 et 9 cm, correspondant à des raies de l'atome d'hydrogène HI (1,41 GHz), du radical OH (1,66 GHz) et du radical CH (3,3 GHz). L'analyse du décalage de ces longueurs d'onde par effet Doppler permet de calculer la vitesse des structures observées. </w:t>
      </w:r>
    </w:p>
    <w:p w14:paraId="3D9C7166" w14:textId="1A8F0190" w:rsidR="00624379" w:rsidRPr="00B83D61" w:rsidRDefault="00624379" w:rsidP="00B83D61">
      <w:pPr>
        <w:pStyle w:val="NormalWeb"/>
        <w:numPr>
          <w:ilvl w:val="0"/>
          <w:numId w:val="3"/>
        </w:numPr>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t xml:space="preserve">Ce type de fonctionnement (par miroir plan mobile) permet d'examiner une grande partie de la voûte céleste, contrairement au radiotélescope d'Arecibo, nettement plus grand, mais dont la conception (parabole immobile) ne permet d'observer qu'au voisinage du zénith de l'instrument. </w:t>
      </w:r>
    </w:p>
    <w:p w14:paraId="323EFAA1" w14:textId="7F23796D" w:rsidR="007A3A0E" w:rsidRPr="00A54BCF" w:rsidRDefault="00624379" w:rsidP="00A54BCF">
      <w:pPr>
        <w:pStyle w:val="NormalWeb"/>
        <w:numPr>
          <w:ilvl w:val="0"/>
          <w:numId w:val="3"/>
        </w:numPr>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t xml:space="preserve">L'instrument reste très sensible aux rayonnements électromagnétiques générés par l'activité humaine : des mesures drastiques ont été prises pour en limiter l'effet, dont le recouvrement de tous les bâtiments techniques d'un grillage formant une cage de </w:t>
      </w:r>
      <w:r w:rsidRPr="00B83D61">
        <w:rPr>
          <w:rFonts w:ascii="Arial" w:eastAsiaTheme="minorHAnsi" w:hAnsi="Arial" w:cs="Arial"/>
          <w:sz w:val="22"/>
          <w:szCs w:val="22"/>
          <w:lang w:eastAsia="en-US"/>
        </w:rPr>
        <w:lastRenderedPageBreak/>
        <w:t xml:space="preserve">Faraday. Une antenne séparée permet également de capter le rayonnement artificiel pour le soustraire au signal étudié. </w:t>
      </w:r>
    </w:p>
    <w:p w14:paraId="4337F8A4" w14:textId="77777777" w:rsidR="00B83D61" w:rsidRPr="00B83D61" w:rsidRDefault="007A3A0E" w:rsidP="00B83D61">
      <w:pPr>
        <w:pStyle w:val="Titre2"/>
        <w:jc w:val="both"/>
        <w:rPr>
          <w:b/>
          <w:bCs/>
        </w:rPr>
      </w:pPr>
      <w:bookmarkStart w:id="8" w:name="_Toc133070610"/>
      <w:proofErr w:type="spellStart"/>
      <w:r w:rsidRPr="00B83D61">
        <w:rPr>
          <w:b/>
          <w:bCs/>
        </w:rPr>
        <w:t>Telescope</w:t>
      </w:r>
      <w:proofErr w:type="spellEnd"/>
      <w:r w:rsidRPr="00B83D61">
        <w:rPr>
          <w:b/>
          <w:bCs/>
        </w:rPr>
        <w:t xml:space="preserve"> (GBT)</w:t>
      </w:r>
      <w:bookmarkEnd w:id="8"/>
      <w:r w:rsidRPr="00B83D61">
        <w:rPr>
          <w:b/>
          <w:bCs/>
        </w:rPr>
        <w:t xml:space="preserve"> </w:t>
      </w:r>
    </w:p>
    <w:p w14:paraId="7D4E9973" w14:textId="5D5A3B0A" w:rsidR="007A3A0E" w:rsidRPr="00B83D61" w:rsidRDefault="00B83D61" w:rsidP="00B83D61">
      <w:pPr>
        <w:pStyle w:val="NormalWeb"/>
        <w:jc w:val="both"/>
        <w:rPr>
          <w:rFonts w:ascii="Arial" w:eastAsiaTheme="minorHAnsi" w:hAnsi="Arial" w:cs="Arial"/>
          <w:sz w:val="22"/>
          <w:szCs w:val="22"/>
          <w:lang w:eastAsia="en-US"/>
        </w:rPr>
      </w:pPr>
      <w:r>
        <w:rPr>
          <w:noProof/>
        </w:rPr>
        <w:drawing>
          <wp:anchor distT="0" distB="0" distL="114300" distR="114300" simplePos="0" relativeHeight="251660288" behindDoc="0" locked="0" layoutInCell="1" allowOverlap="1" wp14:anchorId="27951B30" wp14:editId="59E27240">
            <wp:simplePos x="0" y="0"/>
            <wp:positionH relativeFrom="column">
              <wp:posOffset>4405630</wp:posOffset>
            </wp:positionH>
            <wp:positionV relativeFrom="paragraph">
              <wp:posOffset>-179705</wp:posOffset>
            </wp:positionV>
            <wp:extent cx="1933289" cy="2886075"/>
            <wp:effectExtent l="0" t="0" r="0" b="0"/>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33289" cy="2886075"/>
                    </a:xfrm>
                    <a:prstGeom prst="rect">
                      <a:avLst/>
                    </a:prstGeom>
                    <a:noFill/>
                    <a:ln>
                      <a:noFill/>
                    </a:ln>
                  </pic:spPr>
                </pic:pic>
              </a:graphicData>
            </a:graphic>
          </wp:anchor>
        </w:drawing>
      </w:r>
      <w:proofErr w:type="gramStart"/>
      <w:r w:rsidR="007A3A0E" w:rsidRPr="00B83D61">
        <w:rPr>
          <w:rFonts w:ascii="Arial" w:eastAsiaTheme="minorHAnsi" w:hAnsi="Arial" w:cs="Arial"/>
          <w:sz w:val="22"/>
          <w:szCs w:val="22"/>
          <w:lang w:eastAsia="en-US"/>
        </w:rPr>
        <w:t>est</w:t>
      </w:r>
      <w:proofErr w:type="gramEnd"/>
      <w:r w:rsidR="007A3A0E" w:rsidRPr="00B83D61">
        <w:rPr>
          <w:rFonts w:ascii="Arial" w:eastAsiaTheme="minorHAnsi" w:hAnsi="Arial" w:cs="Arial"/>
          <w:sz w:val="22"/>
          <w:szCs w:val="22"/>
          <w:lang w:eastAsia="en-US"/>
        </w:rPr>
        <w:t xml:space="preserve"> le plus grand radiotélescope orientable du monde. Ses équipements font partie du réseau du National Radio </w:t>
      </w:r>
      <w:proofErr w:type="spellStart"/>
      <w:r w:rsidR="007A3A0E" w:rsidRPr="00B83D61">
        <w:rPr>
          <w:rFonts w:ascii="Arial" w:eastAsiaTheme="minorHAnsi" w:hAnsi="Arial" w:cs="Arial"/>
          <w:sz w:val="22"/>
          <w:szCs w:val="22"/>
          <w:lang w:eastAsia="en-US"/>
        </w:rPr>
        <w:t>Astronomy</w:t>
      </w:r>
      <w:proofErr w:type="spellEnd"/>
      <w:r w:rsidR="007A3A0E" w:rsidRPr="00B83D61">
        <w:rPr>
          <w:rFonts w:ascii="Arial" w:eastAsiaTheme="minorHAnsi" w:hAnsi="Arial" w:cs="Arial"/>
          <w:sz w:val="22"/>
          <w:szCs w:val="22"/>
          <w:lang w:eastAsia="en-US"/>
        </w:rPr>
        <w:t xml:space="preserve"> </w:t>
      </w:r>
      <w:proofErr w:type="spellStart"/>
      <w:r w:rsidR="007A3A0E" w:rsidRPr="00B83D61">
        <w:rPr>
          <w:rFonts w:ascii="Arial" w:eastAsiaTheme="minorHAnsi" w:hAnsi="Arial" w:cs="Arial"/>
          <w:sz w:val="22"/>
          <w:szCs w:val="22"/>
          <w:lang w:eastAsia="en-US"/>
        </w:rPr>
        <w:t>Observatory</w:t>
      </w:r>
      <w:proofErr w:type="spellEnd"/>
      <w:r w:rsidR="007A3A0E" w:rsidRPr="00B83D61">
        <w:rPr>
          <w:rFonts w:ascii="Arial" w:eastAsiaTheme="minorHAnsi" w:hAnsi="Arial" w:cs="Arial"/>
          <w:sz w:val="22"/>
          <w:szCs w:val="22"/>
          <w:lang w:eastAsia="en-US"/>
        </w:rPr>
        <w:t xml:space="preserve"> (NRAO) et se situe à Green Bank en Virginie-Occidentale aux États-Unis. L'observatoire est installé au centre de la zone de silence radio américaine (United States National Radio Quiet Zone), un rectangle de plus de 33 000 km2 où sont bannies ou sévèrement limitées les transmissions radio. </w:t>
      </w:r>
    </w:p>
    <w:p w14:paraId="4B61D8B2" w14:textId="599213BC" w:rsidR="007A3A0E" w:rsidRPr="00B83D61" w:rsidRDefault="007A3A0E" w:rsidP="00B83D61">
      <w:pPr>
        <w:pStyle w:val="NormalWeb"/>
        <w:numPr>
          <w:ilvl w:val="0"/>
          <w:numId w:val="3"/>
        </w:numPr>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t xml:space="preserve">La surface collectrice de 7 854 m2 mesure 100 par 110 mètres et est composée de 2 004 panneaux élémentaires ajustés activement par 2 209 actionneurs indépendants. Ces panneaux en aluminium sont façonnés avec une précision de ~75 µm RMS. Les mécanismes d'ajustement permettent de corriger les déformations mécaniques dues à la gravité lors des changements d'orientation du télescope. Sans cette « surface active », il serait impossible au GBT de travailler précisément dans les fréquences supérieures à 4 GHz, il peut être utilisé théoriquement jusqu'à 100 GHz. </w:t>
      </w:r>
    </w:p>
    <w:p w14:paraId="03C311B0" w14:textId="3B7D8C16" w:rsidR="007A3A0E" w:rsidRPr="00B83D61" w:rsidRDefault="007A3A0E" w:rsidP="00B83D61">
      <w:pPr>
        <w:pStyle w:val="NormalWeb"/>
        <w:numPr>
          <w:ilvl w:val="0"/>
          <w:numId w:val="3"/>
        </w:numPr>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t xml:space="preserve">Sa structure est inhabituelle dans le sens où le miroir n'a pas une forme symétrique mais est une section de paraboloïde qui n'inclut pas l'axe du foyer. La position désaxée des récepteurs aux foyers permet à leur support de ne pas être dans le champ d'observation, évitant ainsi les problèmes de réflexion et de diffraction parasites. </w:t>
      </w:r>
    </w:p>
    <w:p w14:paraId="01A1ACAB" w14:textId="34765981" w:rsidR="00624379" w:rsidRPr="00A54BCF" w:rsidRDefault="007A3A0E" w:rsidP="00B83D61">
      <w:pPr>
        <w:pStyle w:val="NormalWeb"/>
        <w:numPr>
          <w:ilvl w:val="0"/>
          <w:numId w:val="3"/>
        </w:numPr>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t>Au foyer primaire de l'antenne se trouve un cornet d'alimentation rétractable, et derrière lui se tient le réflecteur secondaire de 8 m constituant ainsi une monture grégorienne. Au foyer secondaire (grégorien) se trouvent huit cornets de plus grande précision, montés sur une tourelle rotative. Les fréquences exploitées vont de 290 MHz à 49,8 GHz2. Depuis septembre 2006, un instrument à 90 GHz nommé MUSTANG (</w:t>
      </w:r>
      <w:proofErr w:type="spellStart"/>
      <w:r w:rsidRPr="00B83D61">
        <w:rPr>
          <w:rFonts w:ascii="Arial" w:eastAsiaTheme="minorHAnsi" w:hAnsi="Arial" w:cs="Arial"/>
          <w:sz w:val="22"/>
          <w:szCs w:val="22"/>
          <w:lang w:eastAsia="en-US"/>
        </w:rPr>
        <w:t>Multiplexed</w:t>
      </w:r>
      <w:proofErr w:type="spellEnd"/>
      <w:r w:rsidRPr="00B83D61">
        <w:rPr>
          <w:rFonts w:ascii="Arial" w:eastAsiaTheme="minorHAnsi" w:hAnsi="Arial" w:cs="Arial"/>
          <w:sz w:val="22"/>
          <w:szCs w:val="22"/>
          <w:lang w:eastAsia="en-US"/>
        </w:rPr>
        <w:t xml:space="preserve"> SQUID/TES </w:t>
      </w:r>
      <w:proofErr w:type="spellStart"/>
      <w:r w:rsidRPr="00B83D61">
        <w:rPr>
          <w:rFonts w:ascii="Arial" w:eastAsiaTheme="minorHAnsi" w:hAnsi="Arial" w:cs="Arial"/>
          <w:sz w:val="22"/>
          <w:szCs w:val="22"/>
          <w:lang w:eastAsia="en-US"/>
        </w:rPr>
        <w:t>Array</w:t>
      </w:r>
      <w:proofErr w:type="spellEnd"/>
      <w:r w:rsidRPr="00B83D61">
        <w:rPr>
          <w:rFonts w:ascii="Arial" w:eastAsiaTheme="minorHAnsi" w:hAnsi="Arial" w:cs="Arial"/>
          <w:sz w:val="22"/>
          <w:szCs w:val="22"/>
          <w:lang w:eastAsia="en-US"/>
        </w:rPr>
        <w:t xml:space="preserve"> for </w:t>
      </w:r>
      <w:proofErr w:type="spellStart"/>
      <w:r w:rsidRPr="00B83D61">
        <w:rPr>
          <w:rFonts w:ascii="Arial" w:eastAsiaTheme="minorHAnsi" w:hAnsi="Arial" w:cs="Arial"/>
          <w:sz w:val="22"/>
          <w:szCs w:val="22"/>
          <w:lang w:eastAsia="en-US"/>
        </w:rPr>
        <w:t>Ninety</w:t>
      </w:r>
      <w:proofErr w:type="spellEnd"/>
      <w:r w:rsidRPr="00B83D61">
        <w:rPr>
          <w:rFonts w:ascii="Arial" w:eastAsiaTheme="minorHAnsi" w:hAnsi="Arial" w:cs="Arial"/>
          <w:sz w:val="22"/>
          <w:szCs w:val="22"/>
          <w:lang w:eastAsia="en-US"/>
        </w:rPr>
        <w:t xml:space="preserve"> Gigahertz) est testé : c'est la plus haute fréquence observée à ce jour sur le GBT et le premier imageur à pixel</w:t>
      </w:r>
    </w:p>
    <w:p w14:paraId="4EAA9988" w14:textId="2F7B9CF6" w:rsidR="00B83D61" w:rsidRDefault="00A54BCF" w:rsidP="00B83D61">
      <w:pPr>
        <w:pStyle w:val="Titre2"/>
        <w:jc w:val="both"/>
        <w:rPr>
          <w:b/>
          <w:bCs/>
        </w:rPr>
      </w:pPr>
      <w:bookmarkStart w:id="9" w:name="_Toc133070611"/>
      <w:r>
        <w:rPr>
          <w:b/>
          <w:bCs/>
        </w:rPr>
        <w:t>R</w:t>
      </w:r>
      <w:r w:rsidR="00B83D61" w:rsidRPr="00B83D61">
        <w:rPr>
          <w:b/>
          <w:bCs/>
        </w:rPr>
        <w:t>adiotélescope sphérique de cinq cents mètres d'ouverture (FAST)</w:t>
      </w:r>
      <w:bookmarkEnd w:id="9"/>
    </w:p>
    <w:p w14:paraId="76124E8E" w14:textId="1F3DAC29" w:rsidR="004C5EB4" w:rsidRPr="004F5966" w:rsidRDefault="00B83D61" w:rsidP="004F5966">
      <w:pPr>
        <w:jc w:val="both"/>
        <w:rPr>
          <w:rFonts w:ascii="Arial" w:hAnsi="Arial" w:cs="Arial"/>
        </w:rPr>
      </w:pPr>
      <w:r w:rsidRPr="004F5966">
        <w:rPr>
          <w:rFonts w:ascii="Arial" w:hAnsi="Arial" w:cs="Arial"/>
        </w:rPr>
        <w:drawing>
          <wp:anchor distT="0" distB="0" distL="114300" distR="114300" simplePos="0" relativeHeight="251662336" behindDoc="0" locked="0" layoutInCell="1" allowOverlap="1" wp14:anchorId="24B4532B" wp14:editId="06BAA16B">
            <wp:simplePos x="0" y="0"/>
            <wp:positionH relativeFrom="column">
              <wp:posOffset>4348480</wp:posOffset>
            </wp:positionH>
            <wp:positionV relativeFrom="paragraph">
              <wp:posOffset>45720</wp:posOffset>
            </wp:positionV>
            <wp:extent cx="2190750" cy="1231900"/>
            <wp:effectExtent l="0" t="0" r="0" b="635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190750" cy="1231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5EB4" w:rsidRPr="004F5966">
        <w:rPr>
          <w:rFonts w:ascii="Arial" w:hAnsi="Arial" w:cs="Arial"/>
        </w:rPr>
        <w:t xml:space="preserve">La conception de FAST reprend les principes du radiotélescope d'Arecibo avec un réflecteur fixe de très grande dimension utilisant une cuvette naturelle mais en introduisant trois améliorations majeures : </w:t>
      </w:r>
    </w:p>
    <w:p w14:paraId="375C861D" w14:textId="6CD5B5D7" w:rsidR="004C5EB4" w:rsidRPr="00B83D61" w:rsidRDefault="00B83D61" w:rsidP="00B83D61">
      <w:pPr>
        <w:pStyle w:val="NormalWeb"/>
        <w:numPr>
          <w:ilvl w:val="0"/>
          <w:numId w:val="3"/>
        </w:numPr>
        <w:jc w:val="both"/>
        <w:rPr>
          <w:rFonts w:ascii="Arial" w:eastAsiaTheme="minorHAnsi" w:hAnsi="Arial" w:cs="Arial"/>
          <w:sz w:val="22"/>
          <w:szCs w:val="22"/>
          <w:lang w:eastAsia="en-US"/>
        </w:rPr>
      </w:pPr>
      <w:r>
        <w:rPr>
          <w:noProof/>
          <w:color w:val="0000FF"/>
        </w:rPr>
        <w:drawing>
          <wp:anchor distT="0" distB="0" distL="114300" distR="114300" simplePos="0" relativeHeight="251661312" behindDoc="0" locked="0" layoutInCell="1" allowOverlap="1" wp14:anchorId="20C9BADC" wp14:editId="19A6D588">
            <wp:simplePos x="0" y="0"/>
            <wp:positionH relativeFrom="column">
              <wp:posOffset>4367530</wp:posOffset>
            </wp:positionH>
            <wp:positionV relativeFrom="paragraph">
              <wp:posOffset>641985</wp:posOffset>
            </wp:positionV>
            <wp:extent cx="2095500" cy="1409700"/>
            <wp:effectExtent l="0" t="0" r="0" b="0"/>
            <wp:wrapSquare wrapText="bothSides"/>
            <wp:docPr id="5" name="Image 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95500" cy="1409700"/>
                    </a:xfrm>
                    <a:prstGeom prst="rect">
                      <a:avLst/>
                    </a:prstGeom>
                    <a:noFill/>
                    <a:ln>
                      <a:noFill/>
                    </a:ln>
                  </pic:spPr>
                </pic:pic>
              </a:graphicData>
            </a:graphic>
          </wp:anchor>
        </w:drawing>
      </w:r>
      <w:proofErr w:type="gramStart"/>
      <w:r w:rsidR="004C5EB4" w:rsidRPr="00B83D61">
        <w:rPr>
          <w:rFonts w:ascii="Arial" w:eastAsiaTheme="minorHAnsi" w:hAnsi="Arial" w:cs="Arial"/>
          <w:sz w:val="22"/>
          <w:szCs w:val="22"/>
          <w:lang w:eastAsia="en-US"/>
        </w:rPr>
        <w:t>la</w:t>
      </w:r>
      <w:proofErr w:type="gramEnd"/>
      <w:r w:rsidR="004C5EB4" w:rsidRPr="00B83D61">
        <w:rPr>
          <w:rFonts w:ascii="Arial" w:eastAsiaTheme="minorHAnsi" w:hAnsi="Arial" w:cs="Arial"/>
          <w:sz w:val="22"/>
          <w:szCs w:val="22"/>
          <w:lang w:eastAsia="en-US"/>
        </w:rPr>
        <w:t xml:space="preserve"> cuvette permet au réflecteur d'atteindre un diamètre de 500 mètres (contre 300 mètres pour Arecibo) tandis que sa géométrie permet de pointer le radiotélescope à 40° du zénith ;</w:t>
      </w:r>
    </w:p>
    <w:p w14:paraId="7391C8FE" w14:textId="3254BE57" w:rsidR="004C5EB4" w:rsidRPr="00B83D61" w:rsidRDefault="004C5EB4" w:rsidP="00B83D61">
      <w:pPr>
        <w:pStyle w:val="NormalWeb"/>
        <w:numPr>
          <w:ilvl w:val="0"/>
          <w:numId w:val="3"/>
        </w:numPr>
        <w:jc w:val="both"/>
        <w:rPr>
          <w:rFonts w:ascii="Arial" w:eastAsiaTheme="minorHAnsi" w:hAnsi="Arial" w:cs="Arial"/>
          <w:sz w:val="22"/>
          <w:szCs w:val="22"/>
          <w:lang w:eastAsia="en-US"/>
        </w:rPr>
      </w:pPr>
      <w:proofErr w:type="gramStart"/>
      <w:r w:rsidRPr="00B83D61">
        <w:rPr>
          <w:rFonts w:ascii="Arial" w:eastAsiaTheme="minorHAnsi" w:hAnsi="Arial" w:cs="Arial"/>
          <w:sz w:val="22"/>
          <w:szCs w:val="22"/>
          <w:lang w:eastAsia="en-US"/>
        </w:rPr>
        <w:t>la</w:t>
      </w:r>
      <w:proofErr w:type="gramEnd"/>
      <w:r w:rsidRPr="00B83D61">
        <w:rPr>
          <w:rFonts w:ascii="Arial" w:eastAsiaTheme="minorHAnsi" w:hAnsi="Arial" w:cs="Arial"/>
          <w:sz w:val="22"/>
          <w:szCs w:val="22"/>
          <w:lang w:eastAsia="en-US"/>
        </w:rPr>
        <w:t xml:space="preserve"> surface du réflecteur est déformable pour corriger l'aberration de sphéricité ce qui permet d'obtenir une polarisation complète et d'observer une large bande spectrale sans système de réception complexe ;</w:t>
      </w:r>
    </w:p>
    <w:p w14:paraId="3AD8BCE6" w14:textId="54B459E6" w:rsidR="004C5EB4" w:rsidRPr="00B83D61" w:rsidRDefault="004C5EB4" w:rsidP="00B83D61">
      <w:pPr>
        <w:pStyle w:val="NormalWeb"/>
        <w:numPr>
          <w:ilvl w:val="0"/>
          <w:numId w:val="3"/>
        </w:numPr>
        <w:jc w:val="both"/>
        <w:rPr>
          <w:rFonts w:ascii="Arial" w:eastAsiaTheme="minorHAnsi" w:hAnsi="Arial" w:cs="Arial"/>
          <w:sz w:val="22"/>
          <w:szCs w:val="22"/>
          <w:lang w:eastAsia="en-US"/>
        </w:rPr>
      </w:pPr>
      <w:proofErr w:type="gramStart"/>
      <w:r w:rsidRPr="00B83D61">
        <w:rPr>
          <w:rFonts w:ascii="Arial" w:eastAsiaTheme="minorHAnsi" w:hAnsi="Arial" w:cs="Arial"/>
          <w:sz w:val="22"/>
          <w:szCs w:val="22"/>
          <w:lang w:eastAsia="en-US"/>
        </w:rPr>
        <w:t>la</w:t>
      </w:r>
      <w:proofErr w:type="gramEnd"/>
      <w:r w:rsidRPr="00B83D61">
        <w:rPr>
          <w:rFonts w:ascii="Arial" w:eastAsiaTheme="minorHAnsi" w:hAnsi="Arial" w:cs="Arial"/>
          <w:sz w:val="22"/>
          <w:szCs w:val="22"/>
          <w:lang w:eastAsia="en-US"/>
        </w:rPr>
        <w:t xml:space="preserve"> cabine focale supportant les antennes est positionnée à l'aide de câbles et de servomécanismes et dispose d'un système complémentaire permettant un positionnement très précis.</w:t>
      </w:r>
    </w:p>
    <w:p w14:paraId="193A500B" w14:textId="1D010764" w:rsidR="004C5EB4" w:rsidRPr="00B83D61" w:rsidRDefault="004C5EB4" w:rsidP="00B83D61">
      <w:pPr>
        <w:pStyle w:val="NormalWeb"/>
        <w:jc w:val="both"/>
        <w:rPr>
          <w:rFonts w:ascii="Arial" w:eastAsiaTheme="minorHAnsi" w:hAnsi="Arial" w:cs="Arial"/>
          <w:sz w:val="22"/>
          <w:szCs w:val="22"/>
          <w:lang w:eastAsia="en-US"/>
        </w:rPr>
      </w:pPr>
      <w:r w:rsidRPr="00B83D61">
        <w:rPr>
          <w:rFonts w:ascii="Arial" w:eastAsiaTheme="minorHAnsi" w:hAnsi="Arial" w:cs="Arial"/>
          <w:sz w:val="22"/>
          <w:szCs w:val="22"/>
          <w:lang w:eastAsia="en-US"/>
        </w:rPr>
        <w:lastRenderedPageBreak/>
        <w:t xml:space="preserve">Le réflecteur est formé par 4 450 panneaux triangulaires constitués d'une armature métallique recouverte d'un revêtement en aluminium jouant le rôle de surface réfléchissante. Les panneaux sont fixés à un réseau de câbles se croisant de manière orthogonale et suspendus à un anneau de 500 mètres de diamètre. Les nœuds du réseau de câbles se trouvent aux intersections des panneaux. </w:t>
      </w:r>
      <w:proofErr w:type="spellStart"/>
      <w:r w:rsidRPr="00B83D61">
        <w:rPr>
          <w:rFonts w:ascii="Arial" w:eastAsiaTheme="minorHAnsi" w:hAnsi="Arial" w:cs="Arial"/>
          <w:sz w:val="22"/>
          <w:szCs w:val="22"/>
          <w:lang w:eastAsia="en-US"/>
        </w:rPr>
        <w:t>Ceux ci</w:t>
      </w:r>
      <w:proofErr w:type="spellEnd"/>
      <w:r w:rsidRPr="00B83D61">
        <w:rPr>
          <w:rFonts w:ascii="Arial" w:eastAsiaTheme="minorHAnsi" w:hAnsi="Arial" w:cs="Arial"/>
          <w:sz w:val="22"/>
          <w:szCs w:val="22"/>
          <w:lang w:eastAsia="en-US"/>
        </w:rPr>
        <w:t xml:space="preserve"> sont fixés au sommet d'une pièce métallique tenue par ailleurs par 6 câbles du réseau et reliée au sol par un septième câble vertical dont la tension est ajustable. Ce dernier dispositif permet d'adapter la forme du réflecteur. Celui-ci a un diamètre efficace de 300 mètres. La superficie du réflecteur atteint environ 196 000 mètres carrés. </w:t>
      </w:r>
    </w:p>
    <w:p w14:paraId="6E442230" w14:textId="2004FC1B" w:rsidR="004C5EB4" w:rsidRPr="0016590A" w:rsidRDefault="004C5EB4" w:rsidP="00B83D61">
      <w:pPr>
        <w:jc w:val="both"/>
        <w:rPr>
          <w:rFonts w:ascii="Arial" w:hAnsi="Arial" w:cs="Arial"/>
        </w:rPr>
      </w:pPr>
      <w:r w:rsidRPr="00B83D61">
        <w:rPr>
          <w:rFonts w:ascii="Arial" w:hAnsi="Arial" w:cs="Arial"/>
        </w:rPr>
        <w:t>Le réflecteur renvoie le rayonnement électromagnétique vers la cabine focale sur laquelle sont fixées les antennes qui collectent le rayonnement électromagnétique. Celle-ci est suspendue au-dessus du réflecteur à l'aide de 6 câbles dont la longueur atteint environ 1 kilomètre. Ceux-ci passent par des poulies situées au sommet de tours métalliques dominant le radiotélescope d'une centaine de mètres et situées à la périphérie de celui-ci et sont ancrés au sol par l'intermédiaire de cabestans qui permettent d'effectuer un premier positionnement. La cabine focale d'un diamètre d'environ 10 mètres comprend une partie articulée qui permet de positionner les antennes avec une précision de 10 millimètres et de modifier l'orientation de celles-ci</w:t>
      </w:r>
    </w:p>
    <w:sectPr w:rsidR="004C5EB4" w:rsidRPr="0016590A">
      <w:headerReference w:type="default" r:id="rId13"/>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D5BE41" w14:textId="77777777" w:rsidR="00746222" w:rsidRDefault="00746222" w:rsidP="00B33482">
      <w:pPr>
        <w:spacing w:after="0" w:line="240" w:lineRule="auto"/>
      </w:pPr>
      <w:r>
        <w:separator/>
      </w:r>
    </w:p>
  </w:endnote>
  <w:endnote w:type="continuationSeparator" w:id="0">
    <w:p w14:paraId="466B0D1C" w14:textId="77777777" w:rsidR="00746222" w:rsidRDefault="00746222"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5C682" w14:textId="77777777" w:rsidR="00746222" w:rsidRDefault="00746222" w:rsidP="00B33482">
      <w:pPr>
        <w:spacing w:after="0" w:line="240" w:lineRule="auto"/>
      </w:pPr>
      <w:r>
        <w:separator/>
      </w:r>
    </w:p>
  </w:footnote>
  <w:footnote w:type="continuationSeparator" w:id="0">
    <w:p w14:paraId="06D33BC8" w14:textId="77777777" w:rsidR="00746222" w:rsidRDefault="00746222"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5BAA7EB2" w:rsidR="00B33482" w:rsidRPr="00F67AFF" w:rsidRDefault="00A4008F" w:rsidP="00F67AFF">
    <w:pPr>
      <w:pStyle w:val="En-tte"/>
    </w:pPr>
    <w:r>
      <w:t xml:space="preserve">PHYSIQUE – </w:t>
    </w:r>
    <w:proofErr w:type="spellStart"/>
    <w:r>
      <w:t>Radiotéléscope</w:t>
    </w:r>
    <w:proofErr w:type="spellEnd"/>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87CE4"/>
    <w:multiLevelType w:val="multilevel"/>
    <w:tmpl w:val="0916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621D82"/>
    <w:multiLevelType w:val="multilevel"/>
    <w:tmpl w:val="90DCC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3"/>
  </w:num>
  <w:num w:numId="2" w16cid:durableId="581375566">
    <w:abstractNumId w:val="2"/>
  </w:num>
  <w:num w:numId="3" w16cid:durableId="1719279951">
    <w:abstractNumId w:val="1"/>
  </w:num>
  <w:num w:numId="4" w16cid:durableId="8914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6590A"/>
    <w:rsid w:val="00275575"/>
    <w:rsid w:val="002D54BA"/>
    <w:rsid w:val="003618C1"/>
    <w:rsid w:val="003A01AC"/>
    <w:rsid w:val="003D5A98"/>
    <w:rsid w:val="004C5EB4"/>
    <w:rsid w:val="004F1599"/>
    <w:rsid w:val="004F5966"/>
    <w:rsid w:val="005C020A"/>
    <w:rsid w:val="00624379"/>
    <w:rsid w:val="00746222"/>
    <w:rsid w:val="00757B00"/>
    <w:rsid w:val="00765447"/>
    <w:rsid w:val="007A3A0E"/>
    <w:rsid w:val="007B298A"/>
    <w:rsid w:val="007E575E"/>
    <w:rsid w:val="00832021"/>
    <w:rsid w:val="008E7FE0"/>
    <w:rsid w:val="00A4008F"/>
    <w:rsid w:val="00A459FC"/>
    <w:rsid w:val="00A54BCF"/>
    <w:rsid w:val="00B33482"/>
    <w:rsid w:val="00B83D61"/>
    <w:rsid w:val="00B84C30"/>
    <w:rsid w:val="00B94464"/>
    <w:rsid w:val="00BF3640"/>
    <w:rsid w:val="00D51B0A"/>
    <w:rsid w:val="00E016DE"/>
    <w:rsid w:val="00E033D8"/>
    <w:rsid w:val="00E71370"/>
    <w:rsid w:val="00F33AE1"/>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243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semiHidden/>
    <w:rsid w:val="00624379"/>
    <w:rPr>
      <w:rFonts w:asciiTheme="majorHAnsi" w:eastAsiaTheme="majorEastAsia" w:hAnsiTheme="majorHAnsi" w:cstheme="majorBidi"/>
      <w:color w:val="1F3763" w:themeColor="accent1" w:themeShade="7F"/>
      <w:sz w:val="24"/>
      <w:szCs w:val="24"/>
    </w:rPr>
  </w:style>
  <w:style w:type="character" w:customStyle="1" w:styleId="lang-en">
    <w:name w:val="lang-en"/>
    <w:basedOn w:val="Policepardfaut"/>
    <w:rsid w:val="00624379"/>
  </w:style>
  <w:style w:type="character" w:customStyle="1" w:styleId="nowrap">
    <w:name w:val="nowrap"/>
    <w:basedOn w:val="Policepardfaut"/>
    <w:rsid w:val="00624379"/>
  </w:style>
  <w:style w:type="character" w:customStyle="1" w:styleId="romain">
    <w:name w:val="romain"/>
    <w:basedOn w:val="Policepardfaut"/>
    <w:rsid w:val="00624379"/>
  </w:style>
  <w:style w:type="paragraph" w:styleId="En-ttedetabledesmatires">
    <w:name w:val="TOC Heading"/>
    <w:basedOn w:val="Titre1"/>
    <w:next w:val="Normal"/>
    <w:uiPriority w:val="39"/>
    <w:unhideWhenUsed/>
    <w:qFormat/>
    <w:rsid w:val="004F5966"/>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4F5966"/>
    <w:pPr>
      <w:spacing w:after="100"/>
    </w:pPr>
  </w:style>
  <w:style w:type="paragraph" w:styleId="TM2">
    <w:name w:val="toc 2"/>
    <w:basedOn w:val="Normal"/>
    <w:next w:val="Normal"/>
    <w:autoRedefine/>
    <w:uiPriority w:val="39"/>
    <w:unhideWhenUsed/>
    <w:rsid w:val="004F5966"/>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226160">
      <w:bodyDiv w:val="1"/>
      <w:marLeft w:val="0"/>
      <w:marRight w:val="0"/>
      <w:marTop w:val="0"/>
      <w:marBottom w:val="0"/>
      <w:divBdr>
        <w:top w:val="none" w:sz="0" w:space="0" w:color="auto"/>
        <w:left w:val="none" w:sz="0" w:space="0" w:color="auto"/>
        <w:bottom w:val="none" w:sz="0" w:space="0" w:color="auto"/>
        <w:right w:val="none" w:sz="0" w:space="0" w:color="auto"/>
      </w:divBdr>
    </w:div>
    <w:div w:id="949774933">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15437">
      <w:bodyDiv w:val="1"/>
      <w:marLeft w:val="0"/>
      <w:marRight w:val="0"/>
      <w:marTop w:val="0"/>
      <w:marBottom w:val="0"/>
      <w:divBdr>
        <w:top w:val="none" w:sz="0" w:space="0" w:color="auto"/>
        <w:left w:val="none" w:sz="0" w:space="0" w:color="auto"/>
        <w:bottom w:val="none" w:sz="0" w:space="0" w:color="auto"/>
        <w:right w:val="none" w:sz="0" w:space="0" w:color="auto"/>
      </w:divBdr>
    </w:div>
    <w:div w:id="1247036146">
      <w:bodyDiv w:val="1"/>
      <w:marLeft w:val="0"/>
      <w:marRight w:val="0"/>
      <w:marTop w:val="0"/>
      <w:marBottom w:val="0"/>
      <w:divBdr>
        <w:top w:val="none" w:sz="0" w:space="0" w:color="auto"/>
        <w:left w:val="none" w:sz="0" w:space="0" w:color="auto"/>
        <w:bottom w:val="none" w:sz="0" w:space="0" w:color="auto"/>
        <w:right w:val="none" w:sz="0" w:space="0" w:color="auto"/>
      </w:divBdr>
      <w:divsChild>
        <w:div w:id="32996574">
          <w:marLeft w:val="0"/>
          <w:marRight w:val="0"/>
          <w:marTop w:val="0"/>
          <w:marBottom w:val="0"/>
          <w:divBdr>
            <w:top w:val="none" w:sz="0" w:space="0" w:color="auto"/>
            <w:left w:val="none" w:sz="0" w:space="0" w:color="auto"/>
            <w:bottom w:val="none" w:sz="0" w:space="0" w:color="auto"/>
            <w:right w:val="none" w:sz="0" w:space="0" w:color="auto"/>
          </w:divBdr>
        </w:div>
        <w:div w:id="646591140">
          <w:marLeft w:val="0"/>
          <w:marRight w:val="0"/>
          <w:marTop w:val="0"/>
          <w:marBottom w:val="0"/>
          <w:divBdr>
            <w:top w:val="none" w:sz="0" w:space="0" w:color="auto"/>
            <w:left w:val="none" w:sz="0" w:space="0" w:color="auto"/>
            <w:bottom w:val="none" w:sz="0" w:space="0" w:color="auto"/>
            <w:right w:val="none" w:sz="0" w:space="0" w:color="auto"/>
          </w:divBdr>
          <w:divsChild>
            <w:div w:id="1321932786">
              <w:marLeft w:val="0"/>
              <w:marRight w:val="0"/>
              <w:marTop w:val="0"/>
              <w:marBottom w:val="0"/>
              <w:divBdr>
                <w:top w:val="none" w:sz="0" w:space="0" w:color="auto"/>
                <w:left w:val="none" w:sz="0" w:space="0" w:color="auto"/>
                <w:bottom w:val="none" w:sz="0" w:space="0" w:color="auto"/>
                <w:right w:val="none" w:sz="0" w:space="0" w:color="auto"/>
              </w:divBdr>
              <w:divsChild>
                <w:div w:id="17211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595970">
      <w:bodyDiv w:val="1"/>
      <w:marLeft w:val="0"/>
      <w:marRight w:val="0"/>
      <w:marTop w:val="0"/>
      <w:marBottom w:val="0"/>
      <w:divBdr>
        <w:top w:val="none" w:sz="0" w:space="0" w:color="auto"/>
        <w:left w:val="none" w:sz="0" w:space="0" w:color="auto"/>
        <w:bottom w:val="none" w:sz="0" w:space="0" w:color="auto"/>
        <w:right w:val="none" w:sz="0" w:space="0" w:color="auto"/>
      </w:divBdr>
      <w:divsChild>
        <w:div w:id="534733683">
          <w:marLeft w:val="0"/>
          <w:marRight w:val="0"/>
          <w:marTop w:val="0"/>
          <w:marBottom w:val="0"/>
          <w:divBdr>
            <w:top w:val="none" w:sz="0" w:space="0" w:color="auto"/>
            <w:left w:val="none" w:sz="0" w:space="0" w:color="auto"/>
            <w:bottom w:val="none" w:sz="0" w:space="0" w:color="auto"/>
            <w:right w:val="none" w:sz="0" w:space="0" w:color="auto"/>
          </w:divBdr>
          <w:divsChild>
            <w:div w:id="2354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526465">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68721517">
      <w:bodyDiv w:val="1"/>
      <w:marLeft w:val="0"/>
      <w:marRight w:val="0"/>
      <w:marTop w:val="0"/>
      <w:marBottom w:val="0"/>
      <w:divBdr>
        <w:top w:val="none" w:sz="0" w:space="0" w:color="auto"/>
        <w:left w:val="none" w:sz="0" w:space="0" w:color="auto"/>
        <w:bottom w:val="none" w:sz="0" w:space="0" w:color="auto"/>
        <w:right w:val="none" w:sz="0" w:space="0" w:color="auto"/>
      </w:divBdr>
      <w:divsChild>
        <w:div w:id="1439832681">
          <w:marLeft w:val="0"/>
          <w:marRight w:val="0"/>
          <w:marTop w:val="0"/>
          <w:marBottom w:val="0"/>
          <w:divBdr>
            <w:top w:val="none" w:sz="0" w:space="0" w:color="auto"/>
            <w:left w:val="none" w:sz="0" w:space="0" w:color="auto"/>
            <w:bottom w:val="none" w:sz="0" w:space="0" w:color="auto"/>
            <w:right w:val="none" w:sz="0" w:space="0" w:color="auto"/>
          </w:divBdr>
        </w:div>
        <w:div w:id="356854930">
          <w:marLeft w:val="0"/>
          <w:marRight w:val="0"/>
          <w:marTop w:val="0"/>
          <w:marBottom w:val="0"/>
          <w:divBdr>
            <w:top w:val="none" w:sz="0" w:space="0" w:color="auto"/>
            <w:left w:val="none" w:sz="0" w:space="0" w:color="auto"/>
            <w:bottom w:val="none" w:sz="0" w:space="0" w:color="auto"/>
            <w:right w:val="none" w:sz="0" w:space="0" w:color="auto"/>
          </w:divBdr>
          <w:divsChild>
            <w:div w:id="275018614">
              <w:marLeft w:val="0"/>
              <w:marRight w:val="0"/>
              <w:marTop w:val="0"/>
              <w:marBottom w:val="0"/>
              <w:divBdr>
                <w:top w:val="none" w:sz="0" w:space="0" w:color="auto"/>
                <w:left w:val="none" w:sz="0" w:space="0" w:color="auto"/>
                <w:bottom w:val="none" w:sz="0" w:space="0" w:color="auto"/>
                <w:right w:val="none" w:sz="0" w:space="0" w:color="auto"/>
              </w:divBdr>
              <w:divsChild>
                <w:div w:id="88087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ons.wikimedia.org/wiki/File:Fast_Illuminated_aperture.png?uselang=f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2641</Words>
  <Characters>14530</Characters>
  <Application>Microsoft Office Word</Application>
  <DocSecurity>0</DocSecurity>
  <Lines>121</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9</cp:revision>
  <dcterms:created xsi:type="dcterms:W3CDTF">2022-11-27T20:34:00Z</dcterms:created>
  <dcterms:modified xsi:type="dcterms:W3CDTF">2023-04-22T13:43:00Z</dcterms:modified>
</cp:coreProperties>
</file>