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6B43" w14:textId="594E2097" w:rsidR="00294B15" w:rsidRPr="00885E51" w:rsidRDefault="00885E51" w:rsidP="00885E51">
      <w:pPr>
        <w:pStyle w:val="Titre"/>
        <w:rPr>
          <w:b/>
          <w:bCs/>
        </w:rPr>
      </w:pPr>
      <w:r w:rsidRPr="00885E51">
        <w:rPr>
          <w:b/>
          <w:bCs/>
        </w:rPr>
        <w:t>Tachyon</w:t>
      </w:r>
    </w:p>
    <w:p w14:paraId="24B2FAA0" w14:textId="689C3F22" w:rsidR="00294B15" w:rsidRDefault="00294B15"/>
    <w:p w14:paraId="1D9E4271" w14:textId="44CCA923" w:rsidR="000C2036" w:rsidRDefault="000C2036" w:rsidP="00E97255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DC9AF8" wp14:editId="7D996427">
            <wp:simplePos x="0" y="0"/>
            <wp:positionH relativeFrom="margin">
              <wp:align>left</wp:align>
            </wp:positionH>
            <wp:positionV relativeFrom="paragraph">
              <wp:posOffset>1441450</wp:posOffset>
            </wp:positionV>
            <wp:extent cx="2806700" cy="1514439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51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A946982" wp14:editId="41C8F44A">
            <wp:simplePos x="0" y="0"/>
            <wp:positionH relativeFrom="margin">
              <wp:align>right</wp:align>
            </wp:positionH>
            <wp:positionV relativeFrom="paragraph">
              <wp:posOffset>704850</wp:posOffset>
            </wp:positionV>
            <wp:extent cx="2254885" cy="262890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255" w:rsidRPr="00E97255">
        <w:rPr>
          <w:rFonts w:ascii="Times New Roman" w:hAnsi="Times New Roman"/>
          <w:sz w:val="24"/>
          <w:szCs w:val="24"/>
        </w:rPr>
        <w:t xml:space="preserve">Le tachyon est une </w:t>
      </w:r>
      <w:r w:rsidR="00E97255" w:rsidRPr="00752A32">
        <w:rPr>
          <w:rFonts w:ascii="Times New Roman" w:hAnsi="Times New Roman"/>
          <w:sz w:val="24"/>
          <w:szCs w:val="24"/>
        </w:rPr>
        <w:t>classe de particules</w:t>
      </w:r>
      <w:r w:rsidR="00E97255" w:rsidRPr="00E97255">
        <w:rPr>
          <w:rFonts w:ascii="Times New Roman" w:hAnsi="Times New Roman"/>
          <w:sz w:val="24"/>
          <w:szCs w:val="24"/>
        </w:rPr>
        <w:t xml:space="preserve"> </w:t>
      </w:r>
      <w:r w:rsidR="00E97255" w:rsidRPr="00752A32">
        <w:rPr>
          <w:rFonts w:ascii="Times New Roman" w:hAnsi="Times New Roman"/>
          <w:sz w:val="24"/>
          <w:szCs w:val="24"/>
        </w:rPr>
        <w:t>hypothétiques</w:t>
      </w:r>
      <w:r w:rsidR="00E97255" w:rsidRPr="00E97255">
        <w:rPr>
          <w:rFonts w:ascii="Times New Roman" w:hAnsi="Times New Roman"/>
          <w:sz w:val="24"/>
          <w:szCs w:val="24"/>
        </w:rPr>
        <w:t xml:space="preserve"> dont les principales caractéristiques sont d'avoir une </w:t>
      </w:r>
      <w:r w:rsidR="00E97255" w:rsidRPr="00752A32">
        <w:rPr>
          <w:rFonts w:ascii="Times New Roman" w:hAnsi="Times New Roman"/>
          <w:sz w:val="24"/>
          <w:szCs w:val="24"/>
        </w:rPr>
        <w:t>vitesse</w:t>
      </w:r>
      <w:r w:rsidR="00E97255" w:rsidRPr="00E97255">
        <w:rPr>
          <w:rFonts w:ascii="Times New Roman" w:hAnsi="Times New Roman"/>
          <w:sz w:val="24"/>
          <w:szCs w:val="24"/>
        </w:rPr>
        <w:t xml:space="preserve"> toujours supérieure à la </w:t>
      </w:r>
      <w:r w:rsidR="00E97255" w:rsidRPr="00752A32">
        <w:rPr>
          <w:rFonts w:ascii="Times New Roman" w:hAnsi="Times New Roman"/>
          <w:sz w:val="24"/>
          <w:szCs w:val="24"/>
        </w:rPr>
        <w:t>vitesse de la lumière</w:t>
      </w:r>
      <w:r w:rsidR="00E97255" w:rsidRPr="00E97255">
        <w:rPr>
          <w:rFonts w:ascii="Times New Roman" w:hAnsi="Times New Roman"/>
          <w:sz w:val="24"/>
          <w:szCs w:val="24"/>
        </w:rPr>
        <w:t xml:space="preserve"> dans le </w:t>
      </w:r>
      <w:r w:rsidR="00E97255" w:rsidRPr="00752A32">
        <w:rPr>
          <w:rFonts w:ascii="Times New Roman" w:hAnsi="Times New Roman"/>
          <w:sz w:val="24"/>
          <w:szCs w:val="24"/>
        </w:rPr>
        <w:t>vide</w:t>
      </w:r>
      <w:r w:rsidR="00E97255" w:rsidRPr="00E97255">
        <w:rPr>
          <w:rFonts w:ascii="Times New Roman" w:hAnsi="Times New Roman"/>
          <w:sz w:val="24"/>
          <w:szCs w:val="24"/>
        </w:rPr>
        <w:t xml:space="preserve"> (</w:t>
      </w:r>
      <w:r w:rsidR="00E97255" w:rsidRPr="00E97255">
        <w:rPr>
          <w:rStyle w:val="mwe-math-mathml-inline"/>
          <w:rFonts w:ascii="Times New Roman" w:hAnsi="Times New Roman"/>
          <w:vanish/>
          <w:sz w:val="24"/>
          <w:szCs w:val="24"/>
        </w:rPr>
        <w:t xml:space="preserve"> c </w:t>
      </w:r>
      <w:r w:rsidR="00E97255">
        <w:rPr>
          <w:rStyle w:val="mwe-math-mathml-inline"/>
          <w:rFonts w:ascii="Times New Roman" w:hAnsi="Times New Roman"/>
          <w:sz w:val="24"/>
          <w:szCs w:val="24"/>
        </w:rPr>
        <w:t>c</w:t>
      </w:r>
      <w:r w:rsidR="00E97255" w:rsidRPr="00E97255">
        <w:rPr>
          <w:rFonts w:ascii="Times New Roman" w:hAnsi="Times New Roman"/>
          <w:sz w:val="24"/>
          <w:szCs w:val="24"/>
        </w:rPr>
        <w:t xml:space="preserve">), une </w:t>
      </w:r>
      <w:r w:rsidR="00E97255" w:rsidRPr="00752A32">
        <w:rPr>
          <w:rFonts w:ascii="Times New Roman" w:hAnsi="Times New Roman"/>
          <w:sz w:val="24"/>
          <w:szCs w:val="24"/>
        </w:rPr>
        <w:t>masse</w:t>
      </w:r>
      <w:r w:rsidR="00E97255" w:rsidRPr="00E97255">
        <w:rPr>
          <w:rFonts w:ascii="Times New Roman" w:hAnsi="Times New Roman"/>
          <w:sz w:val="24"/>
          <w:szCs w:val="24"/>
        </w:rPr>
        <w:t xml:space="preserve"> </w:t>
      </w:r>
      <w:r w:rsidR="00E97255" w:rsidRPr="00752A32">
        <w:rPr>
          <w:rFonts w:ascii="Times New Roman" w:hAnsi="Times New Roman"/>
          <w:sz w:val="24"/>
          <w:szCs w:val="24"/>
        </w:rPr>
        <w:t>imaginaire pure</w:t>
      </w:r>
      <w:r w:rsidR="00E97255" w:rsidRPr="00E97255">
        <w:rPr>
          <w:rFonts w:ascii="Times New Roman" w:hAnsi="Times New Roman"/>
          <w:sz w:val="24"/>
          <w:szCs w:val="24"/>
        </w:rPr>
        <w:t xml:space="preserve"> et une </w:t>
      </w:r>
      <w:r w:rsidR="00E97255" w:rsidRPr="00752A32">
        <w:rPr>
          <w:rFonts w:ascii="Times New Roman" w:hAnsi="Times New Roman"/>
          <w:sz w:val="24"/>
          <w:szCs w:val="24"/>
        </w:rPr>
        <w:t>énergie</w:t>
      </w:r>
      <w:r w:rsidR="00E97255" w:rsidRPr="00E97255">
        <w:rPr>
          <w:rFonts w:ascii="Times New Roman" w:hAnsi="Times New Roman"/>
          <w:sz w:val="24"/>
          <w:szCs w:val="24"/>
        </w:rPr>
        <w:t xml:space="preserve"> qui diminue lorsque la </w:t>
      </w:r>
      <w:r w:rsidR="00E97255" w:rsidRPr="00752A32">
        <w:rPr>
          <w:rFonts w:ascii="Times New Roman" w:hAnsi="Times New Roman"/>
          <w:sz w:val="24"/>
          <w:szCs w:val="24"/>
        </w:rPr>
        <w:t>vitesse</w:t>
      </w:r>
      <w:r w:rsidR="00E97255" w:rsidRPr="00E97255">
        <w:rPr>
          <w:rFonts w:ascii="Times New Roman" w:hAnsi="Times New Roman"/>
          <w:sz w:val="24"/>
          <w:szCs w:val="24"/>
        </w:rPr>
        <w:t xml:space="preserve"> augmente.</w:t>
      </w:r>
    </w:p>
    <w:p w14:paraId="4508C4D9" w14:textId="44086F8E" w:rsidR="000C2036" w:rsidRDefault="000C2036" w:rsidP="00E97255">
      <w:pPr>
        <w:jc w:val="both"/>
        <w:rPr>
          <w:rFonts w:ascii="Times New Roman" w:hAnsi="Times New Roman"/>
          <w:sz w:val="24"/>
          <w:szCs w:val="24"/>
        </w:rPr>
      </w:pPr>
    </w:p>
    <w:p w14:paraId="36C55BE3" w14:textId="356277E4" w:rsidR="000C2036" w:rsidRPr="00E97255" w:rsidRDefault="000C2036" w:rsidP="00E9725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5FB0BE" wp14:editId="4FE64415">
                <wp:simplePos x="0" y="0"/>
                <wp:positionH relativeFrom="column">
                  <wp:posOffset>3342005</wp:posOffset>
                </wp:positionH>
                <wp:positionV relativeFrom="paragraph">
                  <wp:posOffset>93980</wp:posOffset>
                </wp:positionV>
                <wp:extent cx="2641600" cy="170180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170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F8583F" w14:textId="335B2FB6" w:rsidR="000C2036" w:rsidRPr="000C2036" w:rsidRDefault="000C2036" w:rsidP="000C2036">
                            <w:pPr>
                              <w:jc w:val="both"/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0C2036"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 xml:space="preserve">Un </w:t>
                            </w:r>
                            <w:hyperlink r:id="rId8" w:tooltip="Cône de lumière" w:history="1">
                              <w:r w:rsidRPr="000C2036">
                                <w:rPr>
                                  <w:rStyle w:val="Lienhypertexte"/>
                                  <w:rFonts w:ascii="Times New Roman" w:hAnsi="Times New Roman"/>
                                  <w:color w:val="auto"/>
                                  <w:sz w:val="24"/>
                                  <w:szCs w:val="24"/>
                                  <w:u w:val="none"/>
                                </w:rPr>
                                <w:t>cône de lumière</w:t>
                              </w:r>
                            </w:hyperlink>
                            <w:r w:rsidRPr="000C2036"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 xml:space="preserve"> centré sur un évènement. Le tachyon est une particule située dans l'</w:t>
                            </w:r>
                            <w:hyperlink r:id="rId9" w:anchor="Genre_espace" w:tooltip="Intervalle d'espace-temps" w:history="1">
                              <w:r w:rsidRPr="000C2036">
                                <w:rPr>
                                  <w:rStyle w:val="Lienhypertexte"/>
                                  <w:rFonts w:ascii="Times New Roman" w:hAnsi="Times New Roman"/>
                                  <w:color w:val="auto"/>
                                  <w:sz w:val="24"/>
                                  <w:szCs w:val="24"/>
                                  <w:u w:val="none"/>
                                </w:rPr>
                                <w:t>intervalle de genre espace</w:t>
                              </w:r>
                            </w:hyperlink>
                            <w:r w:rsidRPr="000C2036"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FB0B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63.15pt;margin-top:7.4pt;width:208pt;height:1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" fillcolor="white [3201]" strokeweight=".5pt">
                <v:textbox>
                  <w:txbxContent>
                    <w:p w14:paraId="42F8583F" w14:textId="335B2FB6" w:rsidR="000C2036" w:rsidRPr="000C2036" w:rsidRDefault="000C2036" w:rsidP="000C2036">
                      <w:pPr>
                        <w:jc w:val="both"/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</w:pPr>
                      <w:r w:rsidRPr="000C2036"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  <w:t xml:space="preserve">Un </w:t>
                      </w:r>
                      <w:hyperlink r:id="rId10" w:tooltip="Cône de lumière" w:history="1">
                        <w:r w:rsidRPr="000C2036">
                          <w:rPr>
                            <w:rStyle w:val="Lienhypertexte"/>
                            <w:rFonts w:ascii="Times New Roman" w:hAnsi="Times New Roman"/>
                            <w:color w:val="auto"/>
                            <w:sz w:val="24"/>
                            <w:szCs w:val="24"/>
                            <w:u w:val="none"/>
                          </w:rPr>
                          <w:t>cône de lumière</w:t>
                        </w:r>
                      </w:hyperlink>
                      <w:r w:rsidRPr="000C2036"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  <w:t xml:space="preserve"> centré sur un évènement. Le tachyon est une particule située dans l'</w:t>
                      </w:r>
                      <w:hyperlink r:id="rId11" w:anchor="Genre_espace" w:tooltip="Intervalle d'espace-temps" w:history="1">
                        <w:r w:rsidRPr="000C2036">
                          <w:rPr>
                            <w:rStyle w:val="Lienhypertexte"/>
                            <w:rFonts w:ascii="Times New Roman" w:hAnsi="Times New Roman"/>
                            <w:color w:val="auto"/>
                            <w:sz w:val="24"/>
                            <w:szCs w:val="24"/>
                            <w:u w:val="none"/>
                          </w:rPr>
                          <w:t>intervalle de genre espace</w:t>
                        </w:r>
                      </w:hyperlink>
                      <w:r w:rsidRPr="000C2036"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FB1AB" wp14:editId="4E0D0F7F">
                <wp:simplePos x="0" y="0"/>
                <wp:positionH relativeFrom="column">
                  <wp:posOffset>8255</wp:posOffset>
                </wp:positionH>
                <wp:positionV relativeFrom="paragraph">
                  <wp:posOffset>49530</wp:posOffset>
                </wp:positionV>
                <wp:extent cx="2609850" cy="1778000"/>
                <wp:effectExtent l="0" t="0" r="1905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77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757B3" w14:textId="172C1A20" w:rsidR="000C2036" w:rsidRPr="000C2036" w:rsidRDefault="000C2036" w:rsidP="000C2036">
                            <w:pPr>
                              <w:jc w:val="both"/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0C2036"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Simulation de l'observation d'un tachyon. Puisque ce dernier se déplace plus rapidement que la lumière, son approche ne pourrait être vue. Après être passé à proximité d'un observateur, ce dernier pourrait voir deux images du tachyon allant en directions opposées. La ligne noire représente l'onde de choc engendrée par l'</w:t>
                            </w:r>
                            <w:hyperlink r:id="rId12" w:tooltip="Effet Tcherenkov" w:history="1">
                              <w:r w:rsidRPr="000C2036">
                                <w:rPr>
                                  <w:rStyle w:val="Lienhypertexte"/>
                                  <w:rFonts w:ascii="Times New Roman" w:hAnsi="Times New Roman"/>
                                  <w:color w:val="auto"/>
                                  <w:sz w:val="24"/>
                                  <w:szCs w:val="24"/>
                                  <w:u w:val="none"/>
                                </w:rPr>
                                <w:t>effet Tcherenkov</w:t>
                              </w:r>
                            </w:hyperlink>
                            <w:r w:rsidRPr="000C2036">
                              <w:rPr>
                                <w:rStyle w:val="Lienhypertexte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FB1AB" id="Zone de texte 3" o:spid="_x0000_s1027" type="#_x0000_t202" style="position:absolute;left:0;text-align:left;margin-left:.65pt;margin-top:3.9pt;width:205.5pt;height:14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" fillcolor="white [3201]" strokeweight=".5pt">
                <v:textbox>
                  <w:txbxContent>
                    <w:p w14:paraId="109757B3" w14:textId="172C1A20" w:rsidR="000C2036" w:rsidRPr="000C2036" w:rsidRDefault="000C2036" w:rsidP="000C2036">
                      <w:pPr>
                        <w:jc w:val="both"/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</w:pPr>
                      <w:r w:rsidRPr="000C2036"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  <w:t>Simulation de l'observation d'un tachyon. Puisque ce dernier se déplace plus rapidement que la lumière, son approche ne pourrait être vue. Après être passé à proximité d'un observateur, ce dernier pourrait voir deux images du tachyon allant en directions opposées. La ligne noire représente l'onde de choc engendrée par l'</w:t>
                      </w:r>
                      <w:hyperlink r:id="rId13" w:tooltip="Effet Tcherenkov" w:history="1">
                        <w:r w:rsidRPr="000C2036">
                          <w:rPr>
                            <w:rStyle w:val="Lienhypertexte"/>
                            <w:rFonts w:ascii="Times New Roman" w:hAnsi="Times New Roman"/>
                            <w:color w:val="auto"/>
                            <w:sz w:val="24"/>
                            <w:szCs w:val="24"/>
                            <w:u w:val="none"/>
                          </w:rPr>
                          <w:t>effet Tcherenkov</w:t>
                        </w:r>
                      </w:hyperlink>
                      <w:r w:rsidRPr="000C2036">
                        <w:rPr>
                          <w:rStyle w:val="Lienhypertexte"/>
                          <w:rFonts w:ascii="Times New Roman" w:hAnsi="Times New Roman"/>
                          <w:color w:val="auto"/>
                          <w:sz w:val="24"/>
                          <w:szCs w:val="24"/>
                          <w:u w:val="none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2036" w:rsidRPr="00E97255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F1C0B" w14:textId="77777777" w:rsidR="00A630FD" w:rsidRDefault="00A630FD" w:rsidP="00294B15">
      <w:pPr>
        <w:spacing w:after="0" w:line="240" w:lineRule="auto"/>
      </w:pPr>
      <w:r>
        <w:separator/>
      </w:r>
    </w:p>
  </w:endnote>
  <w:endnote w:type="continuationSeparator" w:id="0">
    <w:p w14:paraId="26987888" w14:textId="77777777" w:rsidR="00A630FD" w:rsidRDefault="00A630FD" w:rsidP="0029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081585"/>
      <w:docPartObj>
        <w:docPartGallery w:val="Page Numbers (Bottom of Page)"/>
        <w:docPartUnique/>
      </w:docPartObj>
    </w:sdtPr>
    <w:sdtContent>
      <w:p w14:paraId="5BC64DD1" w14:textId="74B55BBF" w:rsidR="00294B15" w:rsidRDefault="00294B1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891617" w14:textId="77777777" w:rsidR="00294B15" w:rsidRDefault="00294B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B1C2F" w14:textId="77777777" w:rsidR="00A630FD" w:rsidRDefault="00A630FD" w:rsidP="00294B15">
      <w:pPr>
        <w:spacing w:after="0" w:line="240" w:lineRule="auto"/>
      </w:pPr>
      <w:r>
        <w:separator/>
      </w:r>
    </w:p>
  </w:footnote>
  <w:footnote w:type="continuationSeparator" w:id="0">
    <w:p w14:paraId="6B5486FF" w14:textId="77777777" w:rsidR="00A630FD" w:rsidRDefault="00A630FD" w:rsidP="00294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2D6A5" w14:textId="287D4E7C" w:rsidR="00294B15" w:rsidRDefault="00885E51">
    <w:pPr>
      <w:pStyle w:val="En-tte"/>
    </w:pPr>
    <w:r>
      <w:t xml:space="preserve">PHYSIUE – </w:t>
    </w:r>
    <w:r w:rsidRPr="00885E51">
      <w:t>Tachyon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0C2036"/>
    <w:rsid w:val="00294B15"/>
    <w:rsid w:val="003B22A5"/>
    <w:rsid w:val="005A7BDC"/>
    <w:rsid w:val="00752A32"/>
    <w:rsid w:val="00885E51"/>
    <w:rsid w:val="00975931"/>
    <w:rsid w:val="00A630FD"/>
    <w:rsid w:val="00C71278"/>
    <w:rsid w:val="00CB1D6D"/>
    <w:rsid w:val="00E9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94B15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B1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B15"/>
    <w:rPr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294B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B1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mwe-math-mathml-inline">
    <w:name w:val="mwe-math-mathml-inline"/>
    <w:basedOn w:val="Policepardfaut"/>
    <w:rsid w:val="00E97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C%C3%B4ne_de_lumi%C3%A8re" TargetMode="External"/><Relationship Id="rId13" Type="http://schemas.openxmlformats.org/officeDocument/2006/relationships/hyperlink" Target="https://fr.wikipedia.org/wiki/Effet_Tcherenkov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fr.wikipedia.org/wiki/Effet_Tcherenkov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fr.wikipedia.org/wiki/Intervalle_d%27espace-temps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fr.wikipedia.org/wiki/C%C3%B4ne_de_lumi%C3%A8r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fr.wikipedia.org/wiki/Intervalle_d%27espace-temp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7</cp:revision>
  <dcterms:created xsi:type="dcterms:W3CDTF">2022-12-19T07:15:00Z</dcterms:created>
  <dcterms:modified xsi:type="dcterms:W3CDTF">2022-12-23T07:19:00Z</dcterms:modified>
</cp:coreProperties>
</file>