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3F214F42" w:rsidR="00D078BD" w:rsidRPr="00B8613E" w:rsidRDefault="002869E8" w:rsidP="00B8613E">
      <w:pPr>
        <w:pStyle w:val="Titre"/>
        <w:rPr>
          <w:b/>
          <w:bCs/>
        </w:rPr>
      </w:pPr>
      <w:r w:rsidRPr="00B8613E">
        <w:rPr>
          <w:b/>
          <w:bCs/>
        </w:rPr>
        <w:t>Théorie des quanta</w:t>
      </w:r>
    </w:p>
    <w:sdt>
      <w:sdtPr>
        <w:id w:val="42392693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EB1ED82" w14:textId="6C8A90F1" w:rsidR="00854A00" w:rsidRDefault="00854A00">
          <w:pPr>
            <w:pStyle w:val="En-ttedetabledesmatires"/>
          </w:pPr>
          <w:r>
            <w:t>Table des matières</w:t>
          </w:r>
        </w:p>
        <w:p w14:paraId="48FCD8BB" w14:textId="65E77BFD" w:rsidR="00854A00" w:rsidRDefault="00854A00">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897" w:history="1">
            <w:r w:rsidRPr="00530936">
              <w:rPr>
                <w:rStyle w:val="Lienhypertexte"/>
                <w:b/>
                <w:bCs/>
                <w:noProof/>
              </w:rPr>
              <w:t>Introduction</w:t>
            </w:r>
            <w:r>
              <w:rPr>
                <w:noProof/>
                <w:webHidden/>
              </w:rPr>
              <w:tab/>
            </w:r>
            <w:r>
              <w:rPr>
                <w:noProof/>
                <w:webHidden/>
              </w:rPr>
              <w:fldChar w:fldCharType="begin"/>
            </w:r>
            <w:r>
              <w:rPr>
                <w:noProof/>
                <w:webHidden/>
              </w:rPr>
              <w:instrText xml:space="preserve"> PAGEREF _Toc133070897 \h </w:instrText>
            </w:r>
            <w:r>
              <w:rPr>
                <w:noProof/>
                <w:webHidden/>
              </w:rPr>
            </w:r>
            <w:r>
              <w:rPr>
                <w:noProof/>
                <w:webHidden/>
              </w:rPr>
              <w:fldChar w:fldCharType="separate"/>
            </w:r>
            <w:r>
              <w:rPr>
                <w:noProof/>
                <w:webHidden/>
              </w:rPr>
              <w:t>1</w:t>
            </w:r>
            <w:r>
              <w:rPr>
                <w:noProof/>
                <w:webHidden/>
              </w:rPr>
              <w:fldChar w:fldCharType="end"/>
            </w:r>
          </w:hyperlink>
        </w:p>
        <w:p w14:paraId="27134EEF" w14:textId="514757C7" w:rsidR="00854A00" w:rsidRDefault="00854A00">
          <w:pPr>
            <w:pStyle w:val="TM1"/>
            <w:tabs>
              <w:tab w:val="right" w:leader="dot" w:pos="9062"/>
            </w:tabs>
            <w:rPr>
              <w:rFonts w:eastAsiaTheme="minorEastAsia"/>
              <w:noProof/>
              <w:lang w:eastAsia="fr-FR"/>
            </w:rPr>
          </w:pPr>
          <w:hyperlink w:anchor="_Toc133070898" w:history="1">
            <w:r w:rsidRPr="00530936">
              <w:rPr>
                <w:rStyle w:val="Lienhypertexte"/>
                <w:b/>
                <w:bCs/>
                <w:noProof/>
              </w:rPr>
              <w:t>Le rayonnement du corps noir</w:t>
            </w:r>
            <w:r>
              <w:rPr>
                <w:noProof/>
                <w:webHidden/>
              </w:rPr>
              <w:tab/>
            </w:r>
            <w:r>
              <w:rPr>
                <w:noProof/>
                <w:webHidden/>
              </w:rPr>
              <w:fldChar w:fldCharType="begin"/>
            </w:r>
            <w:r>
              <w:rPr>
                <w:noProof/>
                <w:webHidden/>
              </w:rPr>
              <w:instrText xml:space="preserve"> PAGEREF _Toc133070898 \h </w:instrText>
            </w:r>
            <w:r>
              <w:rPr>
                <w:noProof/>
                <w:webHidden/>
              </w:rPr>
            </w:r>
            <w:r>
              <w:rPr>
                <w:noProof/>
                <w:webHidden/>
              </w:rPr>
              <w:fldChar w:fldCharType="separate"/>
            </w:r>
            <w:r>
              <w:rPr>
                <w:noProof/>
                <w:webHidden/>
              </w:rPr>
              <w:t>1</w:t>
            </w:r>
            <w:r>
              <w:rPr>
                <w:noProof/>
                <w:webHidden/>
              </w:rPr>
              <w:fldChar w:fldCharType="end"/>
            </w:r>
          </w:hyperlink>
        </w:p>
        <w:p w14:paraId="2AC7E7DD" w14:textId="47E1452F" w:rsidR="00854A00" w:rsidRDefault="00854A00">
          <w:pPr>
            <w:pStyle w:val="TM1"/>
            <w:tabs>
              <w:tab w:val="right" w:leader="dot" w:pos="9062"/>
            </w:tabs>
            <w:rPr>
              <w:rFonts w:eastAsiaTheme="minorEastAsia"/>
              <w:noProof/>
              <w:lang w:eastAsia="fr-FR"/>
            </w:rPr>
          </w:pPr>
          <w:hyperlink w:anchor="_Toc133070899" w:history="1">
            <w:r w:rsidRPr="00530936">
              <w:rPr>
                <w:rStyle w:val="Lienhypertexte"/>
                <w:b/>
                <w:bCs/>
                <w:noProof/>
              </w:rPr>
              <w:t>La relation de Planck-Einstein (1900-1905)</w:t>
            </w:r>
            <w:r>
              <w:rPr>
                <w:noProof/>
                <w:webHidden/>
              </w:rPr>
              <w:tab/>
            </w:r>
            <w:r>
              <w:rPr>
                <w:noProof/>
                <w:webHidden/>
              </w:rPr>
              <w:fldChar w:fldCharType="begin"/>
            </w:r>
            <w:r>
              <w:rPr>
                <w:noProof/>
                <w:webHidden/>
              </w:rPr>
              <w:instrText xml:space="preserve"> PAGEREF _Toc133070899 \h </w:instrText>
            </w:r>
            <w:r>
              <w:rPr>
                <w:noProof/>
                <w:webHidden/>
              </w:rPr>
            </w:r>
            <w:r>
              <w:rPr>
                <w:noProof/>
                <w:webHidden/>
              </w:rPr>
              <w:fldChar w:fldCharType="separate"/>
            </w:r>
            <w:r>
              <w:rPr>
                <w:noProof/>
                <w:webHidden/>
              </w:rPr>
              <w:t>2</w:t>
            </w:r>
            <w:r>
              <w:rPr>
                <w:noProof/>
                <w:webHidden/>
              </w:rPr>
              <w:fldChar w:fldCharType="end"/>
            </w:r>
          </w:hyperlink>
        </w:p>
        <w:p w14:paraId="5216D63C" w14:textId="0C8D559C" w:rsidR="00854A00" w:rsidRDefault="00854A00">
          <w:pPr>
            <w:pStyle w:val="TM1"/>
            <w:tabs>
              <w:tab w:val="right" w:leader="dot" w:pos="9062"/>
            </w:tabs>
            <w:rPr>
              <w:rFonts w:eastAsiaTheme="minorEastAsia"/>
              <w:noProof/>
              <w:lang w:eastAsia="fr-FR"/>
            </w:rPr>
          </w:pPr>
          <w:hyperlink w:anchor="_Toc133070900" w:history="1">
            <w:r w:rsidRPr="00530936">
              <w:rPr>
                <w:rStyle w:val="Lienhypertexte"/>
                <w:b/>
                <w:bCs/>
                <w:noProof/>
              </w:rPr>
              <w:t>L'effet photoélectrique (1905)</w:t>
            </w:r>
            <w:r>
              <w:rPr>
                <w:noProof/>
                <w:webHidden/>
              </w:rPr>
              <w:tab/>
            </w:r>
            <w:r>
              <w:rPr>
                <w:noProof/>
                <w:webHidden/>
              </w:rPr>
              <w:fldChar w:fldCharType="begin"/>
            </w:r>
            <w:r>
              <w:rPr>
                <w:noProof/>
                <w:webHidden/>
              </w:rPr>
              <w:instrText xml:space="preserve"> PAGEREF _Toc133070900 \h </w:instrText>
            </w:r>
            <w:r>
              <w:rPr>
                <w:noProof/>
                <w:webHidden/>
              </w:rPr>
            </w:r>
            <w:r>
              <w:rPr>
                <w:noProof/>
                <w:webHidden/>
              </w:rPr>
              <w:fldChar w:fldCharType="separate"/>
            </w:r>
            <w:r>
              <w:rPr>
                <w:noProof/>
                <w:webHidden/>
              </w:rPr>
              <w:t>2</w:t>
            </w:r>
            <w:r>
              <w:rPr>
                <w:noProof/>
                <w:webHidden/>
              </w:rPr>
              <w:fldChar w:fldCharType="end"/>
            </w:r>
          </w:hyperlink>
        </w:p>
        <w:p w14:paraId="5125AA8A" w14:textId="251FEAAA" w:rsidR="00854A00" w:rsidRDefault="00854A00">
          <w:pPr>
            <w:pStyle w:val="TM1"/>
            <w:tabs>
              <w:tab w:val="right" w:leader="dot" w:pos="9062"/>
            </w:tabs>
            <w:rPr>
              <w:rFonts w:eastAsiaTheme="minorEastAsia"/>
              <w:noProof/>
              <w:lang w:eastAsia="fr-FR"/>
            </w:rPr>
          </w:pPr>
          <w:hyperlink w:anchor="_Toc133070901" w:history="1">
            <w:r w:rsidRPr="00530936">
              <w:rPr>
                <w:rStyle w:val="Lienhypertexte"/>
                <w:b/>
                <w:bCs/>
                <w:noProof/>
              </w:rPr>
              <w:t>La stabilité des atomes</w:t>
            </w:r>
            <w:r>
              <w:rPr>
                <w:noProof/>
                <w:webHidden/>
              </w:rPr>
              <w:tab/>
            </w:r>
            <w:r>
              <w:rPr>
                <w:noProof/>
                <w:webHidden/>
              </w:rPr>
              <w:fldChar w:fldCharType="begin"/>
            </w:r>
            <w:r>
              <w:rPr>
                <w:noProof/>
                <w:webHidden/>
              </w:rPr>
              <w:instrText xml:space="preserve"> PAGEREF _Toc133070901 \h </w:instrText>
            </w:r>
            <w:r>
              <w:rPr>
                <w:noProof/>
                <w:webHidden/>
              </w:rPr>
            </w:r>
            <w:r>
              <w:rPr>
                <w:noProof/>
                <w:webHidden/>
              </w:rPr>
              <w:fldChar w:fldCharType="separate"/>
            </w:r>
            <w:r>
              <w:rPr>
                <w:noProof/>
                <w:webHidden/>
              </w:rPr>
              <w:t>3</w:t>
            </w:r>
            <w:r>
              <w:rPr>
                <w:noProof/>
                <w:webHidden/>
              </w:rPr>
              <w:fldChar w:fldCharType="end"/>
            </w:r>
          </w:hyperlink>
        </w:p>
        <w:p w14:paraId="2D0C5BCE" w14:textId="4603967E" w:rsidR="00854A00" w:rsidRDefault="00854A00">
          <w:pPr>
            <w:pStyle w:val="TM1"/>
            <w:tabs>
              <w:tab w:val="right" w:leader="dot" w:pos="9062"/>
            </w:tabs>
            <w:rPr>
              <w:rFonts w:eastAsiaTheme="minorEastAsia"/>
              <w:noProof/>
              <w:lang w:eastAsia="fr-FR"/>
            </w:rPr>
          </w:pPr>
          <w:hyperlink w:anchor="_Toc133070902" w:history="1">
            <w:r w:rsidRPr="00530936">
              <w:rPr>
                <w:rStyle w:val="Lienhypertexte"/>
                <w:b/>
                <w:bCs/>
                <w:noProof/>
              </w:rPr>
              <w:t>Modèle de Bohr (1913)</w:t>
            </w:r>
            <w:r>
              <w:rPr>
                <w:noProof/>
                <w:webHidden/>
              </w:rPr>
              <w:tab/>
            </w:r>
            <w:r>
              <w:rPr>
                <w:noProof/>
                <w:webHidden/>
              </w:rPr>
              <w:fldChar w:fldCharType="begin"/>
            </w:r>
            <w:r>
              <w:rPr>
                <w:noProof/>
                <w:webHidden/>
              </w:rPr>
              <w:instrText xml:space="preserve"> PAGEREF _Toc133070902 \h </w:instrText>
            </w:r>
            <w:r>
              <w:rPr>
                <w:noProof/>
                <w:webHidden/>
              </w:rPr>
            </w:r>
            <w:r>
              <w:rPr>
                <w:noProof/>
                <w:webHidden/>
              </w:rPr>
              <w:fldChar w:fldCharType="separate"/>
            </w:r>
            <w:r>
              <w:rPr>
                <w:noProof/>
                <w:webHidden/>
              </w:rPr>
              <w:t>3</w:t>
            </w:r>
            <w:r>
              <w:rPr>
                <w:noProof/>
                <w:webHidden/>
              </w:rPr>
              <w:fldChar w:fldCharType="end"/>
            </w:r>
          </w:hyperlink>
        </w:p>
        <w:p w14:paraId="4E2AC859" w14:textId="6BB2B47C" w:rsidR="00854A00" w:rsidRDefault="00854A00">
          <w:pPr>
            <w:pStyle w:val="TM1"/>
            <w:tabs>
              <w:tab w:val="right" w:leader="dot" w:pos="9062"/>
            </w:tabs>
            <w:rPr>
              <w:rFonts w:eastAsiaTheme="minorEastAsia"/>
              <w:noProof/>
              <w:lang w:eastAsia="fr-FR"/>
            </w:rPr>
          </w:pPr>
          <w:hyperlink w:anchor="_Toc133070903" w:history="1">
            <w:r w:rsidRPr="00530936">
              <w:rPr>
                <w:rStyle w:val="Lienhypertexte"/>
                <w:b/>
                <w:bCs/>
                <w:noProof/>
              </w:rPr>
              <w:t>Relations de Broglie (1923)</w:t>
            </w:r>
            <w:r>
              <w:rPr>
                <w:noProof/>
                <w:webHidden/>
              </w:rPr>
              <w:tab/>
            </w:r>
            <w:r>
              <w:rPr>
                <w:noProof/>
                <w:webHidden/>
              </w:rPr>
              <w:fldChar w:fldCharType="begin"/>
            </w:r>
            <w:r>
              <w:rPr>
                <w:noProof/>
                <w:webHidden/>
              </w:rPr>
              <w:instrText xml:space="preserve"> PAGEREF _Toc133070903 \h </w:instrText>
            </w:r>
            <w:r>
              <w:rPr>
                <w:noProof/>
                <w:webHidden/>
              </w:rPr>
            </w:r>
            <w:r>
              <w:rPr>
                <w:noProof/>
                <w:webHidden/>
              </w:rPr>
              <w:fldChar w:fldCharType="separate"/>
            </w:r>
            <w:r>
              <w:rPr>
                <w:noProof/>
                <w:webHidden/>
              </w:rPr>
              <w:t>4</w:t>
            </w:r>
            <w:r>
              <w:rPr>
                <w:noProof/>
                <w:webHidden/>
              </w:rPr>
              <w:fldChar w:fldCharType="end"/>
            </w:r>
          </w:hyperlink>
        </w:p>
        <w:p w14:paraId="5A54E85B" w14:textId="704E2E84" w:rsidR="00854A00" w:rsidRDefault="00854A00">
          <w:pPr>
            <w:pStyle w:val="TM1"/>
            <w:tabs>
              <w:tab w:val="right" w:leader="dot" w:pos="9062"/>
            </w:tabs>
            <w:rPr>
              <w:rFonts w:eastAsiaTheme="minorEastAsia"/>
              <w:noProof/>
              <w:lang w:eastAsia="fr-FR"/>
            </w:rPr>
          </w:pPr>
          <w:hyperlink w:anchor="_Toc133070904" w:history="1">
            <w:r w:rsidRPr="00530936">
              <w:rPr>
                <w:rStyle w:val="Lienhypertexte"/>
                <w:b/>
                <w:bCs/>
                <w:noProof/>
              </w:rPr>
              <w:t>Effet Compton (1923-1925)</w:t>
            </w:r>
            <w:r>
              <w:rPr>
                <w:noProof/>
                <w:webHidden/>
              </w:rPr>
              <w:tab/>
            </w:r>
            <w:r>
              <w:rPr>
                <w:noProof/>
                <w:webHidden/>
              </w:rPr>
              <w:fldChar w:fldCharType="begin"/>
            </w:r>
            <w:r>
              <w:rPr>
                <w:noProof/>
                <w:webHidden/>
              </w:rPr>
              <w:instrText xml:space="preserve"> PAGEREF _Toc133070904 \h </w:instrText>
            </w:r>
            <w:r>
              <w:rPr>
                <w:noProof/>
                <w:webHidden/>
              </w:rPr>
            </w:r>
            <w:r>
              <w:rPr>
                <w:noProof/>
                <w:webHidden/>
              </w:rPr>
              <w:fldChar w:fldCharType="separate"/>
            </w:r>
            <w:r>
              <w:rPr>
                <w:noProof/>
                <w:webHidden/>
              </w:rPr>
              <w:t>4</w:t>
            </w:r>
            <w:r>
              <w:rPr>
                <w:noProof/>
                <w:webHidden/>
              </w:rPr>
              <w:fldChar w:fldCharType="end"/>
            </w:r>
          </w:hyperlink>
        </w:p>
        <w:p w14:paraId="3AF1854B" w14:textId="0662C5BA" w:rsidR="00854A00" w:rsidRDefault="00854A00">
          <w:r>
            <w:rPr>
              <w:b/>
              <w:bCs/>
            </w:rPr>
            <w:fldChar w:fldCharType="end"/>
          </w:r>
        </w:p>
      </w:sdtContent>
    </w:sdt>
    <w:p w14:paraId="78A1D654" w14:textId="4682CDFD" w:rsidR="002869E8" w:rsidRPr="00B8613E" w:rsidRDefault="002869E8" w:rsidP="00B8613E">
      <w:pPr>
        <w:jc w:val="both"/>
      </w:pPr>
    </w:p>
    <w:p w14:paraId="23253CFA" w14:textId="1B5182A2" w:rsidR="002869E8" w:rsidRPr="00B8613E" w:rsidRDefault="002869E8" w:rsidP="00B8613E">
      <w:pPr>
        <w:pStyle w:val="Titre1"/>
        <w:rPr>
          <w:b/>
          <w:bCs/>
        </w:rPr>
      </w:pPr>
      <w:bookmarkStart w:id="0" w:name="_Toc133070897"/>
      <w:r w:rsidRPr="00B8613E">
        <w:rPr>
          <w:b/>
          <w:bCs/>
        </w:rPr>
        <w:t>Introduction</w:t>
      </w:r>
      <w:bookmarkEnd w:id="0"/>
    </w:p>
    <w:p w14:paraId="3C55A9B1" w14:textId="6E3199F6" w:rsidR="00B8613E" w:rsidRPr="00B8613E" w:rsidRDefault="00B8613E" w:rsidP="00B8613E">
      <w:pPr>
        <w:pStyle w:val="NormalWeb"/>
        <w:jc w:val="both"/>
      </w:pPr>
      <w:r w:rsidRPr="00B8613E">
        <w:t xml:space="preserve">La théorie des quanta est le nom donné à une théorie physique qui tente de modéliser le comportement de l'énergie à très petite échelle à l'aide des quanta (pluriel du terme latin </w:t>
      </w:r>
      <w:r w:rsidRPr="00B8613E">
        <w:rPr>
          <w:rStyle w:val="lang-la"/>
          <w:lang w:val="la-Latn"/>
        </w:rPr>
        <w:t>quantum</w:t>
      </w:r>
      <w:r w:rsidRPr="00B8613E">
        <w:t>), quantités discontinues. Connue en anglais sous le nom d' «ancienne théorie quantique» (</w:t>
      </w:r>
      <w:proofErr w:type="spellStart"/>
      <w:r w:rsidRPr="00B8613E">
        <w:t>old</w:t>
      </w:r>
      <w:proofErr w:type="spellEnd"/>
      <w:r w:rsidRPr="00B8613E">
        <w:t xml:space="preserve"> quantum </w:t>
      </w:r>
      <w:proofErr w:type="spellStart"/>
      <w:r w:rsidRPr="00B8613E">
        <w:t>theory</w:t>
      </w:r>
      <w:proofErr w:type="spellEnd"/>
      <w:r w:rsidRPr="00B8613E">
        <w:t xml:space="preserve">), son introduction a bousculé plusieurs idées reçues en physique de l'époque, au début du </w:t>
      </w:r>
      <w:r w:rsidRPr="00B8613E">
        <w:rPr>
          <w:rStyle w:val="romain"/>
          <w:rFonts w:eastAsiaTheme="majorEastAsia"/>
        </w:rPr>
        <w:t>XX</w:t>
      </w:r>
      <w:r w:rsidRPr="00B8613E">
        <w:rPr>
          <w:sz w:val="17"/>
          <w:szCs w:val="17"/>
          <w:vertAlign w:val="superscript"/>
        </w:rPr>
        <w:t>e</w:t>
      </w:r>
      <w:r w:rsidRPr="00B8613E">
        <w:t xml:space="preserve"> siècle. Elle a servi de pont entre la physique classique et la physique quantique, dont la pierre angulaire, la mécanique quantique, est née en 1925. </w:t>
      </w:r>
    </w:p>
    <w:p w14:paraId="3D5BAF90" w14:textId="14C56CE6" w:rsidR="00B8613E" w:rsidRPr="00B8613E" w:rsidRDefault="00B8613E" w:rsidP="00B8613E">
      <w:pPr>
        <w:pStyle w:val="NormalWeb"/>
        <w:jc w:val="both"/>
      </w:pPr>
      <w:r w:rsidRPr="00B8613E">
        <w:t xml:space="preserve">Elle a été amorcée par Max Planck en 1900, puis développée essentiellement par Niels Bohr, Albert Einstein, Louis de Broglie, Erwin Schrödinger, Max Born, Hendrik Anthony </w:t>
      </w:r>
      <w:proofErr w:type="spellStart"/>
      <w:r w:rsidRPr="00B8613E">
        <w:t>Kramers</w:t>
      </w:r>
      <w:proofErr w:type="spellEnd"/>
      <w:r w:rsidRPr="00B8613E">
        <w:t xml:space="preserve">, Werner Heisenberg et Wolfgang Pauli entre 1905 et 1924. </w:t>
      </w:r>
    </w:p>
    <w:p w14:paraId="016AED00" w14:textId="77777777" w:rsidR="00B8613E" w:rsidRPr="00B8613E" w:rsidRDefault="00B8613E" w:rsidP="00B8613E">
      <w:pPr>
        <w:pStyle w:val="Titre1"/>
        <w:rPr>
          <w:b/>
          <w:bCs/>
        </w:rPr>
      </w:pPr>
      <w:bookmarkStart w:id="1" w:name="_Toc133070898"/>
      <w:r w:rsidRPr="00B8613E">
        <w:rPr>
          <w:rStyle w:val="mw-headline"/>
          <w:b/>
          <w:bCs/>
        </w:rPr>
        <w:t>Le rayonnement du corps noir</w:t>
      </w:r>
      <w:bookmarkEnd w:id="1"/>
    </w:p>
    <w:p w14:paraId="31CDFAE9" w14:textId="43F7FA6B" w:rsidR="00B8613E" w:rsidRPr="00B8613E" w:rsidRDefault="00B8613E" w:rsidP="00B8613E">
      <w:pPr>
        <w:pStyle w:val="NormalWeb"/>
        <w:jc w:val="both"/>
      </w:pPr>
      <w:r w:rsidRPr="00B8613E">
        <w:t xml:space="preserve">Le rayonnement du corps noir est le rayonnement électromagnétique produit par un corps totalement absorbant en équilibre thermodynamique avec son milieu. Imaginez une enceinte fermée maintenue à une température </w:t>
      </w:r>
      <w:r w:rsidRPr="00B8613E">
        <w:rPr>
          <w:rStyle w:val="mwe-math-mathml-inline"/>
          <w:rFonts w:eastAsiaTheme="majorEastAsia"/>
          <w:vanish/>
        </w:rPr>
        <w:t xml:space="preserve">T </w:t>
      </w:r>
      <w:r w:rsidRPr="00B8613E">
        <w:rPr>
          <w:rStyle w:val="mwe-math-mathml-inline"/>
          <w:rFonts w:eastAsiaTheme="majorEastAsia"/>
        </w:rPr>
        <w:t>T</w:t>
      </w:r>
      <w:r w:rsidRPr="00B8613E">
        <w:t xml:space="preserve"> : un « four », et percée d'un trou minuscule. Les parois du four étant supposées totalement absorbantes, tout rayonnement initialement à l'extérieur du four qui pénètre par l'intermédiaire du trou vers l'intérieur de l'enceinte subit de multiples réflexions, émissions et absorptions par les parois du four jusqu'à atteindre une thermalisation complète : l'enceinte et son contenu de rayonnement sont en équilibre thermique. Réciproquement, une partie infime du rayonnement thermique à l'intérieur du four peut s'échapper définitivement de celui-ci, permettant d'ailleurs son étude expérimentale, notamment sa répartition énergétique spectrale, c'est-à-dire la densité d'énergie volumique présente par intervalle élémentaire de fréquence. La thermodynamique permet de montrer que les caractéristiques de ce rayonnement ne dépendent pas de la nature du matériau dont sont constituées les parois du four, mais uniquement de sa température. Ce rayonnement est appelé rayonnement du corps noir. </w:t>
      </w:r>
    </w:p>
    <w:p w14:paraId="461F7E5B" w14:textId="4387237F" w:rsidR="00B8613E" w:rsidRPr="00B8613E" w:rsidRDefault="00B8613E" w:rsidP="00B8613E">
      <w:pPr>
        <w:pStyle w:val="NormalWeb"/>
        <w:jc w:val="both"/>
      </w:pPr>
      <w:r w:rsidRPr="00B8613E">
        <w:lastRenderedPageBreak/>
        <w:t xml:space="preserve">À la fin du </w:t>
      </w:r>
      <w:r w:rsidRPr="00B8613E">
        <w:rPr>
          <w:rStyle w:val="romain"/>
          <w:rFonts w:eastAsiaTheme="majorEastAsia"/>
        </w:rPr>
        <w:t>XIX</w:t>
      </w:r>
      <w:r w:rsidRPr="00B8613E">
        <w:rPr>
          <w:sz w:val="17"/>
          <w:szCs w:val="17"/>
          <w:vertAlign w:val="superscript"/>
        </w:rPr>
        <w:t>e</w:t>
      </w:r>
      <w:r w:rsidRPr="00B8613E">
        <w:t> siècle, la théorie classique était incapable d'expliquer les caractéristiques expérimentales du rayonnement du corps noir : le calcul de l'énergie émise tendait théoriquement vers l'infini, ce qui était évidemment en contradiction avec l'expérience. Ce désaccord fut appelé catastrophe ultraviolette, et constitue l'un</w:t>
      </w:r>
      <w:r w:rsidRPr="00B8613E">
        <w:rPr>
          <w:vertAlign w:val="superscript"/>
        </w:rPr>
        <w:t>1</w:t>
      </w:r>
      <w:r w:rsidRPr="00B8613E">
        <w:t xml:space="preserve"> des </w:t>
      </w:r>
      <w:r w:rsidRPr="00B8613E">
        <w:rPr>
          <w:rStyle w:val="citation"/>
        </w:rPr>
        <w:t>« deux petits nuages dans le ciel serein de la physique théorique »</w:t>
      </w:r>
      <w:r w:rsidRPr="00B8613E">
        <w:t>, formule célèbre prononcée par Thomson — alias Lord Kelvin — le 27 avril 1900 lors d'une conférence</w:t>
      </w:r>
      <w:r w:rsidRPr="00B8613E">
        <w:rPr>
          <w:vertAlign w:val="superscript"/>
        </w:rPr>
        <w:t>2</w:t>
      </w:r>
      <w:r w:rsidRPr="00B8613E">
        <w:t xml:space="preserve">. Dans la suite de son discours, Thomson prédisait une rapide explication des résultats expérimentaux dans le cadre de la théorie classique. L'histoire lui a donné tort : quelques mois seulement après la conférence de Thomson, Planck proposa une hypothèse audacieuse qui entraînera un bouleversement radical du paysage de la physique théorique. </w:t>
      </w:r>
    </w:p>
    <w:p w14:paraId="413F4E5D" w14:textId="77777777" w:rsidR="00B8613E" w:rsidRPr="00B8613E" w:rsidRDefault="00B8613E" w:rsidP="00B8613E">
      <w:pPr>
        <w:pStyle w:val="Titre1"/>
        <w:rPr>
          <w:b/>
          <w:bCs/>
        </w:rPr>
      </w:pPr>
      <w:bookmarkStart w:id="2" w:name="_Toc133070899"/>
      <w:r w:rsidRPr="00B8613E">
        <w:rPr>
          <w:rStyle w:val="mw-headline"/>
          <w:b/>
          <w:bCs/>
        </w:rPr>
        <w:t>La relation de Planck-Einstein (1900-1905)</w:t>
      </w:r>
      <w:bookmarkEnd w:id="2"/>
    </w:p>
    <w:p w14:paraId="14932ABC" w14:textId="7927D60F" w:rsidR="00B8613E" w:rsidRDefault="008C4B96" w:rsidP="00B8613E">
      <w:pPr>
        <w:pStyle w:val="NormalWeb"/>
        <w:jc w:val="both"/>
      </w:pPr>
      <w:r>
        <w:rPr>
          <w:noProof/>
        </w:rPr>
        <w:drawing>
          <wp:anchor distT="0" distB="0" distL="114300" distR="114300" simplePos="0" relativeHeight="251658240" behindDoc="0" locked="0" layoutInCell="1" allowOverlap="1" wp14:anchorId="29F98F5E" wp14:editId="3F9B4E01">
            <wp:simplePos x="0" y="0"/>
            <wp:positionH relativeFrom="margin">
              <wp:align>left</wp:align>
            </wp:positionH>
            <wp:positionV relativeFrom="paragraph">
              <wp:posOffset>1130935</wp:posOffset>
            </wp:positionV>
            <wp:extent cx="5718810" cy="2146300"/>
            <wp:effectExtent l="0" t="0" r="0" b="635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4705" cy="21483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613E" w:rsidRPr="00B8613E">
        <w:t xml:space="preserve">En désespoir de cause, Planck fit l'hypothèse que les échanges d'énergie entre le rayonnement électromagnétique du corps noir et la matière constituant les parois du four étaient quantifiés, c'est-à-dire que l'énergie est transmise par paquets. Plus précisément, pour un rayonnement monochromatique de fréquence </w:t>
      </w:r>
      <w:r w:rsidR="00B8613E" w:rsidRPr="00B8613E">
        <w:rPr>
          <w:rStyle w:val="mwe-math-mathml-inline"/>
          <w:rFonts w:eastAsiaTheme="majorEastAsia"/>
          <w:vanish/>
        </w:rPr>
        <w:t xml:space="preserve">ν </w:t>
      </w:r>
      <w:r w:rsidR="00B8613E">
        <w:rPr>
          <w:rStyle w:val="mwe-math-mathml-inline"/>
          <w:rFonts w:ascii="Cambria Math" w:eastAsiaTheme="majorEastAsia" w:hAnsi="Cambria Math"/>
        </w:rPr>
        <w:t>υ</w:t>
      </w:r>
      <w:r w:rsidR="00B8613E" w:rsidRPr="00B8613E">
        <w:t xml:space="preserve">, les échanges d'énergie ne pouvaient avoir lieu que par multiples entiers d'une quantité minimale, un quantum d'énergie : </w:t>
      </w:r>
    </w:p>
    <w:p w14:paraId="55F288F8" w14:textId="77777777" w:rsidR="008C4B96" w:rsidRDefault="008C4B96" w:rsidP="00B8613E">
      <w:pPr>
        <w:pStyle w:val="Titre1"/>
        <w:rPr>
          <w:rStyle w:val="mw-headline"/>
          <w:b/>
          <w:bCs/>
        </w:rPr>
      </w:pPr>
    </w:p>
    <w:p w14:paraId="6CDB291D" w14:textId="63D3F889" w:rsidR="00B8613E" w:rsidRPr="00B8613E" w:rsidRDefault="00B8613E" w:rsidP="00B8613E">
      <w:pPr>
        <w:pStyle w:val="Titre1"/>
        <w:rPr>
          <w:b/>
          <w:bCs/>
        </w:rPr>
      </w:pPr>
      <w:bookmarkStart w:id="3" w:name="_Toc133070900"/>
      <w:r w:rsidRPr="00B8613E">
        <w:rPr>
          <w:rStyle w:val="mw-headline"/>
          <w:b/>
          <w:bCs/>
        </w:rPr>
        <w:t>L'effet photoélectrique (1905)</w:t>
      </w:r>
      <w:bookmarkEnd w:id="3"/>
    </w:p>
    <w:p w14:paraId="5D7FC89E" w14:textId="77777777" w:rsidR="00B8613E" w:rsidRPr="00B8613E" w:rsidRDefault="00B8613E" w:rsidP="00B8613E">
      <w:pPr>
        <w:pStyle w:val="NormalWeb"/>
        <w:jc w:val="both"/>
      </w:pPr>
      <w:r w:rsidRPr="00B8613E">
        <w:t xml:space="preserve">À la fin du </w:t>
      </w:r>
      <w:r w:rsidRPr="00B8613E">
        <w:rPr>
          <w:rStyle w:val="romain"/>
          <w:rFonts w:eastAsiaTheme="majorEastAsia"/>
        </w:rPr>
        <w:t>XIX</w:t>
      </w:r>
      <w:r w:rsidRPr="00B8613E">
        <w:rPr>
          <w:sz w:val="17"/>
          <w:szCs w:val="17"/>
          <w:vertAlign w:val="superscript"/>
        </w:rPr>
        <w:t>e</w:t>
      </w:r>
      <w:r w:rsidRPr="00B8613E">
        <w:t xml:space="preserve"> siècle, les physiciens remarquent que lorsque l'on éclaire un métal avec une lumière, celui-ci peut émettre des électrons. </w:t>
      </w:r>
    </w:p>
    <w:p w14:paraId="0A404858" w14:textId="132567BB" w:rsidR="00B8613E" w:rsidRPr="00B8613E" w:rsidRDefault="00B8613E" w:rsidP="00B8613E">
      <w:pPr>
        <w:pStyle w:val="NormalWeb"/>
        <w:jc w:val="both"/>
      </w:pPr>
      <w:r w:rsidRPr="00B8613E">
        <w:t xml:space="preserve">Leur énergie cinétique dépend de la fréquence de la lumière incidente, et leur nombre dépend de l'intensité lumineuse, ce qui est difficilement compréhensible au sein du modèle ondulatoire de la lumière. En particulier, si la lumière incidente a une fréquence en dessous d'un certain seuil, rien ne se passe, même si l'on attend très longtemps. Ce résultat est incompréhensible classiquement, car la théorie de Maxwell associe aux ondes électromagnétiques une densité d'énergie proportionnelle à l'intensité lumineuse, donc il est classiquement possible d'accumuler autant d'énergie que l'on veut dans le métal en l'éclairant suffisamment longtemps et ce « quelle que soit la fréquence du rayonnement incident considéré ». Il ne devrait pas y avoir de seuil. </w:t>
      </w:r>
    </w:p>
    <w:p w14:paraId="5F23FD82" w14:textId="4665BB75" w:rsidR="00B8613E" w:rsidRDefault="00B8613E" w:rsidP="00B8613E">
      <w:pPr>
        <w:pStyle w:val="NormalWeb"/>
        <w:jc w:val="both"/>
      </w:pPr>
      <w:r w:rsidRPr="00B8613E">
        <w:t xml:space="preserve">Inspiré par Planck, Einstein proposa en 1905 une hypothèse simple expliquant le phénomène : « le rayonnement électromagnétique est lui-même quantifié », chaque « grain de lumière » </w:t>
      </w:r>
      <w:r w:rsidRPr="00B8613E">
        <w:lastRenderedPageBreak/>
        <w:t xml:space="preserve">– qui sera baptisé photon ultérieurement – étant porteur d'un quantum d'énergie </w:t>
      </w:r>
      <w:r w:rsidRPr="00B8613E">
        <w:rPr>
          <w:rStyle w:val="mwe-math-mathml-inline"/>
          <w:rFonts w:eastAsiaTheme="majorEastAsia"/>
          <w:vanish/>
        </w:rPr>
        <w:t xml:space="preserve">E = h ν </w:t>
      </w:r>
      <w:r w:rsidR="008C4B96">
        <w:rPr>
          <w:rStyle w:val="mwe-math-mathml-inline"/>
          <w:rFonts w:eastAsiaTheme="majorEastAsia"/>
        </w:rPr>
        <w:t xml:space="preserve">E = </w:t>
      </w:r>
      <w:proofErr w:type="spellStart"/>
      <w:r w:rsidR="008C4B96">
        <w:rPr>
          <w:rStyle w:val="mwe-math-mathml-inline"/>
          <w:rFonts w:eastAsiaTheme="majorEastAsia"/>
        </w:rPr>
        <w:t>h</w:t>
      </w:r>
      <w:r w:rsidR="008C4B96">
        <w:rPr>
          <w:rStyle w:val="mwe-math-mathml-inline"/>
          <w:rFonts w:ascii="Cambria Math" w:eastAsiaTheme="majorEastAsia" w:hAnsi="Cambria Math"/>
        </w:rPr>
        <w:t>υ</w:t>
      </w:r>
      <w:proofErr w:type="spellEnd"/>
      <w:r w:rsidRPr="00B8613E">
        <w:t xml:space="preserve">. Les électrons absorbant les photons acquièrent cette énergie ; si elle est supérieure à une énergie de seuil fixe (qui dépend uniquement de la nature du métal), les électrons peuvent sortir du métal. Les électrons émis possèdent alors l'énergie cinétique : </w:t>
      </w:r>
    </w:p>
    <w:p w14:paraId="47D55637" w14:textId="5FA76149" w:rsidR="008C4B96" w:rsidRPr="00B8613E" w:rsidRDefault="00802D67" w:rsidP="00B8613E">
      <w:pPr>
        <w:pStyle w:val="NormalWeb"/>
        <w:jc w:val="both"/>
      </w:pPr>
      <w:r>
        <w:rPr>
          <w:noProof/>
        </w:rPr>
        <w:drawing>
          <wp:inline distT="0" distB="0" distL="0" distR="0" wp14:anchorId="263D315D" wp14:editId="4C07BB40">
            <wp:extent cx="1943100" cy="6667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666750"/>
                    </a:xfrm>
                    <a:prstGeom prst="rect">
                      <a:avLst/>
                    </a:prstGeom>
                    <a:noFill/>
                    <a:ln>
                      <a:noFill/>
                    </a:ln>
                  </pic:spPr>
                </pic:pic>
              </a:graphicData>
            </a:graphic>
          </wp:inline>
        </w:drawing>
      </w:r>
    </w:p>
    <w:p w14:paraId="02C13E25" w14:textId="77777777" w:rsidR="00B8613E" w:rsidRPr="00B8613E" w:rsidRDefault="00B8613E" w:rsidP="00B8613E">
      <w:pPr>
        <w:pStyle w:val="Titre1"/>
        <w:rPr>
          <w:b/>
          <w:bCs/>
        </w:rPr>
      </w:pPr>
      <w:bookmarkStart w:id="4" w:name="_Toc133070901"/>
      <w:r w:rsidRPr="00B8613E">
        <w:rPr>
          <w:rStyle w:val="mw-headline"/>
          <w:b/>
          <w:bCs/>
        </w:rPr>
        <w:t>La stabilité des atomes</w:t>
      </w:r>
      <w:bookmarkEnd w:id="4"/>
    </w:p>
    <w:p w14:paraId="4A79C3B8" w14:textId="7ED290E9" w:rsidR="00B8613E" w:rsidRPr="00B8613E" w:rsidRDefault="00B8613E" w:rsidP="00B8613E">
      <w:pPr>
        <w:pStyle w:val="NormalWeb"/>
        <w:jc w:val="both"/>
      </w:pPr>
      <w:r w:rsidRPr="00B8613E">
        <w:t xml:space="preserve">Deux graves problèmes se posaient dès la fin du </w:t>
      </w:r>
      <w:r w:rsidRPr="00802D67">
        <w:t>XIXe</w:t>
      </w:r>
      <w:r w:rsidRPr="00B8613E">
        <w:t> siècle concernant les atomes, constitués d'un certain nombre d'électrons ponctuels</w:t>
      </w:r>
      <w:r w:rsidRPr="00802D67">
        <w:t>5</w:t>
      </w:r>
      <w:r w:rsidRPr="00B8613E">
        <w:t xml:space="preserve"> chargés négativement, et d'un noyau quasi-ponctuel</w:t>
      </w:r>
      <w:r w:rsidRPr="00802D67">
        <w:t>6</w:t>
      </w:r>
      <w:r w:rsidRPr="00B8613E">
        <w:t xml:space="preserve">, chargé positivement : </w:t>
      </w:r>
    </w:p>
    <w:p w14:paraId="3C563F1D" w14:textId="77777777" w:rsidR="00B8613E" w:rsidRPr="00802D67" w:rsidRDefault="00B8613E" w:rsidP="00B8613E">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02D67">
        <w:rPr>
          <w:rFonts w:ascii="Times New Roman" w:eastAsia="Times New Roman" w:hAnsi="Times New Roman" w:cs="Times New Roman"/>
          <w:sz w:val="24"/>
          <w:szCs w:val="24"/>
          <w:lang w:eastAsia="fr-FR"/>
        </w:rPr>
        <w:t>La stabilité d'un atome est incompréhensible dans le cadre de la théorie classique. En effet, la théorie de Maxwell affirme que toute charge « accélérée » rayonne de l'énergie sous forme d'onde électromagnétique. Dans un modèle planétaire classique, les électrons sont accélérés sur leur orbites au sein de l'atome, et leur énergie doit diminuer : les électrons tombent alors sur le noyau. Un calcul de la durée caractéristique de ce phénomène est de l'ordre de 10 ns, donc les atomes classiques sont instables, ce que l'expérience contredit manifestement.</w:t>
      </w:r>
    </w:p>
    <w:p w14:paraId="53C02123" w14:textId="04854F3B" w:rsidR="00B8613E" w:rsidRPr="00802D67" w:rsidRDefault="00B8613E" w:rsidP="00B8613E">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802D67">
        <w:rPr>
          <w:rFonts w:ascii="Times New Roman" w:eastAsia="Times New Roman" w:hAnsi="Times New Roman" w:cs="Times New Roman"/>
          <w:sz w:val="24"/>
          <w:szCs w:val="24"/>
          <w:lang w:eastAsia="fr-FR"/>
        </w:rPr>
        <w:t>De plus, la théorie classique prédit que le rayonnement émis par l'électron accéléré possède une fréquence égale à la fréquence angulaire du mouvement. L'électron tombant continûment sur le noyau, sa fréquence angulaire augmente continûment, et on devrait observer un spectre continu. Or la lumière émise par une lampe spectrale à vapeur atomique présente un spectre de raies discret.</w:t>
      </w:r>
    </w:p>
    <w:p w14:paraId="0CC4213F" w14:textId="1B2424ED" w:rsidR="00B8613E" w:rsidRPr="00B8613E" w:rsidRDefault="00B8613E" w:rsidP="00B8613E">
      <w:pPr>
        <w:pStyle w:val="NormalWeb"/>
        <w:jc w:val="both"/>
      </w:pPr>
      <w:r w:rsidRPr="00B8613E">
        <w:t xml:space="preserve">C'est le Danois Niels Bohr qui va proposer le premier un modèle semi-classique permettant de contourner ces difficultés. </w:t>
      </w:r>
    </w:p>
    <w:p w14:paraId="5B3C2615" w14:textId="77777777" w:rsidR="00B8613E" w:rsidRPr="00B8613E" w:rsidRDefault="00B8613E" w:rsidP="00B8613E">
      <w:pPr>
        <w:pStyle w:val="Titre1"/>
        <w:rPr>
          <w:b/>
          <w:bCs/>
        </w:rPr>
      </w:pPr>
      <w:bookmarkStart w:id="5" w:name="_Toc133070902"/>
      <w:r w:rsidRPr="00B8613E">
        <w:rPr>
          <w:rStyle w:val="mw-headline"/>
          <w:b/>
          <w:bCs/>
        </w:rPr>
        <w:t>Modèle de Bohr (1913)</w:t>
      </w:r>
      <w:bookmarkEnd w:id="5"/>
    </w:p>
    <w:p w14:paraId="35637702" w14:textId="731642C5" w:rsidR="00B8613E" w:rsidRPr="00B8613E" w:rsidRDefault="00B8613E" w:rsidP="00B8613E">
      <w:pPr>
        <w:pStyle w:val="NormalWeb"/>
        <w:jc w:val="both"/>
      </w:pPr>
      <w:r w:rsidRPr="00B8613E">
        <w:t xml:space="preserve">Le modèle de Bohr de l'atome d'hydrogène est un modèle qui utilise deux ingrédients très différents : </w:t>
      </w:r>
    </w:p>
    <w:p w14:paraId="43D94731" w14:textId="77777777" w:rsidR="00B8613E" w:rsidRPr="00B8613E" w:rsidRDefault="00B8613E" w:rsidP="00802D67">
      <w:pPr>
        <w:pStyle w:val="NormalWeb"/>
        <w:numPr>
          <w:ilvl w:val="0"/>
          <w:numId w:val="4"/>
        </w:numPr>
        <w:jc w:val="both"/>
      </w:pPr>
      <w:r w:rsidRPr="00B8613E">
        <w:t>une description de mécanique classique non relativiste : l'électron tourne autour du proton sur une orbite circulaire ;</w:t>
      </w:r>
    </w:p>
    <w:p w14:paraId="018CF6E0" w14:textId="77777777" w:rsidR="00B8613E" w:rsidRPr="00B8613E" w:rsidRDefault="00B8613E" w:rsidP="00802D67">
      <w:pPr>
        <w:pStyle w:val="NormalWeb"/>
        <w:numPr>
          <w:ilvl w:val="0"/>
          <w:numId w:val="4"/>
        </w:numPr>
        <w:jc w:val="both"/>
      </w:pPr>
      <w:r w:rsidRPr="00B8613E">
        <w:t xml:space="preserve">deux ingrédients quantiques ad hoc : </w:t>
      </w:r>
    </w:p>
    <w:p w14:paraId="17E79B36" w14:textId="77777777" w:rsidR="00B8613E" w:rsidRPr="00B8613E" w:rsidRDefault="00B8613E" w:rsidP="00802D67">
      <w:pPr>
        <w:pStyle w:val="NormalWeb"/>
        <w:numPr>
          <w:ilvl w:val="1"/>
          <w:numId w:val="4"/>
        </w:numPr>
        <w:jc w:val="both"/>
      </w:pPr>
      <w:r w:rsidRPr="00B8613E">
        <w:t>seules certaines orbitales circulaires sont permises (quantification). De plus, l'électron sur son orbitale circulaire ne rayonne pas, contrairement à ce que prédit la théorie de Maxwell,</w:t>
      </w:r>
    </w:p>
    <w:p w14:paraId="2B3A2410" w14:textId="77777777" w:rsidR="00B8613E" w:rsidRPr="00B8613E" w:rsidRDefault="00B8613E" w:rsidP="00802D67">
      <w:pPr>
        <w:pStyle w:val="NormalWeb"/>
        <w:numPr>
          <w:ilvl w:val="1"/>
          <w:numId w:val="4"/>
        </w:numPr>
        <w:jc w:val="both"/>
      </w:pPr>
      <w:r w:rsidRPr="00B8613E">
        <w:t>l'électron peut parfois passer d'une orbitale circulaire permise à une autre orbitale circulaire permise, à condition d'émettre de la lumière d'une fréquence bien précise, liée à la différence des énergies entre les deux orbites circulaires conformément à la relation de Planck-Einstein.</w:t>
      </w:r>
    </w:p>
    <w:p w14:paraId="708636B0" w14:textId="77777777" w:rsidR="00B8613E" w:rsidRPr="00B8613E" w:rsidRDefault="00B8613E" w:rsidP="00B8613E">
      <w:pPr>
        <w:pStyle w:val="NormalWeb"/>
        <w:jc w:val="both"/>
      </w:pPr>
      <w:r w:rsidRPr="00B8613E">
        <w:lastRenderedPageBreak/>
        <w:t xml:space="preserve">Le mélange exotique de ces ingrédients produit des résultats spectaculaires : l'accord avec l'expérience est en effet excellent. </w:t>
      </w:r>
    </w:p>
    <w:p w14:paraId="67ED0152" w14:textId="77777777" w:rsidR="00B8613E" w:rsidRPr="00B8613E" w:rsidRDefault="00B8613E" w:rsidP="00B8613E">
      <w:pPr>
        <w:pStyle w:val="Titre1"/>
        <w:rPr>
          <w:b/>
          <w:bCs/>
        </w:rPr>
      </w:pPr>
      <w:bookmarkStart w:id="6" w:name="_Toc133070903"/>
      <w:r w:rsidRPr="00B8613E">
        <w:rPr>
          <w:rStyle w:val="mw-headline"/>
          <w:b/>
          <w:bCs/>
        </w:rPr>
        <w:t>Relations de Broglie (1923)</w:t>
      </w:r>
      <w:bookmarkEnd w:id="6"/>
    </w:p>
    <w:p w14:paraId="5AE8119B" w14:textId="77777777" w:rsidR="00802D67" w:rsidRDefault="00802D67" w:rsidP="00854A00">
      <w:pPr>
        <w:rPr>
          <w:rStyle w:val="mw-headline"/>
          <w:b/>
          <w:bCs/>
        </w:rPr>
      </w:pPr>
      <w:r>
        <w:rPr>
          <w:noProof/>
          <w:lang w:eastAsia="fr-FR"/>
        </w:rPr>
        <w:drawing>
          <wp:inline distT="0" distB="0" distL="0" distR="0" wp14:anchorId="18B86E7C" wp14:editId="4DF0DA73">
            <wp:extent cx="5816600" cy="3126583"/>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8936" cy="3133214"/>
                    </a:xfrm>
                    <a:prstGeom prst="rect">
                      <a:avLst/>
                    </a:prstGeom>
                    <a:noFill/>
                    <a:ln>
                      <a:noFill/>
                    </a:ln>
                  </pic:spPr>
                </pic:pic>
              </a:graphicData>
            </a:graphic>
          </wp:inline>
        </w:drawing>
      </w:r>
    </w:p>
    <w:p w14:paraId="2F54D7DE" w14:textId="1EB9D9DF" w:rsidR="00B8613E" w:rsidRPr="00B8613E" w:rsidRDefault="00B8613E" w:rsidP="00B8613E">
      <w:pPr>
        <w:pStyle w:val="Titre1"/>
        <w:rPr>
          <w:b/>
          <w:bCs/>
        </w:rPr>
      </w:pPr>
      <w:bookmarkStart w:id="7" w:name="_Toc133070904"/>
      <w:r w:rsidRPr="00B8613E">
        <w:rPr>
          <w:rStyle w:val="mw-headline"/>
          <w:b/>
          <w:bCs/>
        </w:rPr>
        <w:t>Effet Compton (1923-1925)</w:t>
      </w:r>
      <w:bookmarkEnd w:id="7"/>
    </w:p>
    <w:p w14:paraId="0728338B" w14:textId="4D7B3FD8" w:rsidR="00B8613E" w:rsidRPr="00B8613E" w:rsidRDefault="00B8613E" w:rsidP="00B8613E">
      <w:pPr>
        <w:pStyle w:val="NormalWeb"/>
        <w:jc w:val="both"/>
      </w:pPr>
      <w:r w:rsidRPr="00B8613E">
        <w:t xml:space="preserve">Les électrons, particules chargées, interagissent avec la lumière, classiquement décrite par un champ électromagnétique. Cependant, la physique classique ne permet pas d'expliquer la variation observée de la longueur d'onde du rayonnement en fonction de la direction de diffusion. L'interprétation correcte de ce fait expérimental sera donnée par Compton et ses collaborateurs à l'issue d'expériences réalisées entre 1925 et 1927. </w:t>
      </w:r>
    </w:p>
    <w:p w14:paraId="5391CC25" w14:textId="5AC9DE8E" w:rsidR="002869E8" w:rsidRPr="00B8613E" w:rsidRDefault="00090E2C" w:rsidP="00B8613E">
      <w:pPr>
        <w:jc w:val="both"/>
      </w:pPr>
      <w:r>
        <w:rPr>
          <w:noProof/>
        </w:rPr>
        <w:drawing>
          <wp:inline distT="0" distB="0" distL="0" distR="0" wp14:anchorId="676B4AE7" wp14:editId="5AF8CCE4">
            <wp:extent cx="5822950" cy="783241"/>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2547" cy="785877"/>
                    </a:xfrm>
                    <a:prstGeom prst="rect">
                      <a:avLst/>
                    </a:prstGeom>
                    <a:noFill/>
                    <a:ln>
                      <a:noFill/>
                    </a:ln>
                  </pic:spPr>
                </pic:pic>
              </a:graphicData>
            </a:graphic>
          </wp:inline>
        </w:drawing>
      </w:r>
    </w:p>
    <w:p w14:paraId="750E0F1A" w14:textId="77777777" w:rsidR="00D078BD" w:rsidRPr="00B8613E" w:rsidRDefault="00D078BD" w:rsidP="00B8613E">
      <w:pPr>
        <w:jc w:val="both"/>
      </w:pPr>
    </w:p>
    <w:sectPr w:rsidR="00D078BD" w:rsidRPr="00B8613E">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CB49CE" w14:textId="77777777" w:rsidR="00E52F31" w:rsidRDefault="00E52F31" w:rsidP="00D078BD">
      <w:pPr>
        <w:spacing w:after="0" w:line="240" w:lineRule="auto"/>
      </w:pPr>
      <w:r>
        <w:separator/>
      </w:r>
    </w:p>
  </w:endnote>
  <w:endnote w:type="continuationSeparator" w:id="0">
    <w:p w14:paraId="3BEB06B3" w14:textId="77777777" w:rsidR="00E52F31" w:rsidRDefault="00E52F31"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86B92" w14:textId="77777777" w:rsidR="00E52F31" w:rsidRDefault="00E52F31" w:rsidP="00D078BD">
      <w:pPr>
        <w:spacing w:after="0" w:line="240" w:lineRule="auto"/>
      </w:pPr>
      <w:r>
        <w:separator/>
      </w:r>
    </w:p>
  </w:footnote>
  <w:footnote w:type="continuationSeparator" w:id="0">
    <w:p w14:paraId="602ED9F4" w14:textId="77777777" w:rsidR="00E52F31" w:rsidRDefault="00E52F31"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49A5F133" w:rsidR="00D078BD" w:rsidRDefault="00D078BD">
    <w:pPr>
      <w:pStyle w:val="En-tte"/>
    </w:pPr>
    <w:r>
      <w:t xml:space="preserve">PHYSIQUE – </w:t>
    </w:r>
    <w:r w:rsidR="002869E8" w:rsidRPr="002869E8">
      <w:t>Théorie des quanta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47432"/>
    <w:multiLevelType w:val="multilevel"/>
    <w:tmpl w:val="EA48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769EB"/>
    <w:multiLevelType w:val="multilevel"/>
    <w:tmpl w:val="5CF21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57A47"/>
    <w:multiLevelType w:val="multilevel"/>
    <w:tmpl w:val="95B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B1869"/>
    <w:multiLevelType w:val="hybridMultilevel"/>
    <w:tmpl w:val="936073C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43263346">
    <w:abstractNumId w:val="0"/>
  </w:num>
  <w:num w:numId="2" w16cid:durableId="1744596594">
    <w:abstractNumId w:val="2"/>
  </w:num>
  <w:num w:numId="3" w16cid:durableId="1734809376">
    <w:abstractNumId w:val="1"/>
  </w:num>
  <w:num w:numId="4" w16cid:durableId="9780264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90E2C"/>
    <w:rsid w:val="002869E8"/>
    <w:rsid w:val="003B22A5"/>
    <w:rsid w:val="004455E5"/>
    <w:rsid w:val="006246EC"/>
    <w:rsid w:val="00802D67"/>
    <w:rsid w:val="00854A00"/>
    <w:rsid w:val="008C4B96"/>
    <w:rsid w:val="00975931"/>
    <w:rsid w:val="00992602"/>
    <w:rsid w:val="00B8613E"/>
    <w:rsid w:val="00D078BD"/>
    <w:rsid w:val="00E52F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86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B861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B861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B8613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2869E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sid w:val="00B8613E"/>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B8613E"/>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B8613E"/>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B861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B8613E"/>
    <w:rPr>
      <w:color w:val="0000FF"/>
      <w:u w:val="single"/>
    </w:rPr>
  </w:style>
  <w:style w:type="character" w:customStyle="1" w:styleId="lang-la">
    <w:name w:val="lang-la"/>
    <w:basedOn w:val="Policepardfaut"/>
    <w:rsid w:val="00B8613E"/>
  </w:style>
  <w:style w:type="character" w:customStyle="1" w:styleId="romain">
    <w:name w:val="romain"/>
    <w:basedOn w:val="Policepardfaut"/>
    <w:rsid w:val="00B8613E"/>
  </w:style>
  <w:style w:type="character" w:customStyle="1" w:styleId="mw-headline">
    <w:name w:val="mw-headline"/>
    <w:basedOn w:val="Policepardfaut"/>
    <w:rsid w:val="00B8613E"/>
  </w:style>
  <w:style w:type="character" w:customStyle="1" w:styleId="mwe-math-mathml-inline">
    <w:name w:val="mwe-math-mathml-inline"/>
    <w:basedOn w:val="Policepardfaut"/>
    <w:rsid w:val="00B8613E"/>
  </w:style>
  <w:style w:type="character" w:customStyle="1" w:styleId="citation">
    <w:name w:val="citation"/>
    <w:basedOn w:val="Policepardfaut"/>
    <w:rsid w:val="00B8613E"/>
  </w:style>
  <w:style w:type="paragraph" w:styleId="En-ttedetabledesmatires">
    <w:name w:val="TOC Heading"/>
    <w:basedOn w:val="Titre1"/>
    <w:next w:val="Normal"/>
    <w:uiPriority w:val="39"/>
    <w:unhideWhenUsed/>
    <w:qFormat/>
    <w:rsid w:val="00854A00"/>
    <w:pPr>
      <w:outlineLvl w:val="9"/>
    </w:pPr>
    <w:rPr>
      <w:lang w:eastAsia="fr-FR"/>
    </w:rPr>
  </w:style>
  <w:style w:type="paragraph" w:styleId="TM1">
    <w:name w:val="toc 1"/>
    <w:basedOn w:val="Normal"/>
    <w:next w:val="Normal"/>
    <w:autoRedefine/>
    <w:uiPriority w:val="39"/>
    <w:unhideWhenUsed/>
    <w:rsid w:val="00854A0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216825">
      <w:bodyDiv w:val="1"/>
      <w:marLeft w:val="0"/>
      <w:marRight w:val="0"/>
      <w:marTop w:val="0"/>
      <w:marBottom w:val="0"/>
      <w:divBdr>
        <w:top w:val="none" w:sz="0" w:space="0" w:color="auto"/>
        <w:left w:val="none" w:sz="0" w:space="0" w:color="auto"/>
        <w:bottom w:val="none" w:sz="0" w:space="0" w:color="auto"/>
        <w:right w:val="none" w:sz="0" w:space="0" w:color="auto"/>
      </w:divBdr>
      <w:divsChild>
        <w:div w:id="1695107878">
          <w:marLeft w:val="0"/>
          <w:marRight w:val="0"/>
          <w:marTop w:val="0"/>
          <w:marBottom w:val="0"/>
          <w:divBdr>
            <w:top w:val="none" w:sz="0" w:space="0" w:color="auto"/>
            <w:left w:val="none" w:sz="0" w:space="0" w:color="auto"/>
            <w:bottom w:val="none" w:sz="0" w:space="0" w:color="auto"/>
            <w:right w:val="none" w:sz="0" w:space="0" w:color="auto"/>
          </w:divBdr>
          <w:divsChild>
            <w:div w:id="880168851">
              <w:marLeft w:val="0"/>
              <w:marRight w:val="0"/>
              <w:marTop w:val="0"/>
              <w:marBottom w:val="0"/>
              <w:divBdr>
                <w:top w:val="none" w:sz="0" w:space="0" w:color="auto"/>
                <w:left w:val="none" w:sz="0" w:space="0" w:color="auto"/>
                <w:bottom w:val="none" w:sz="0" w:space="0" w:color="auto"/>
                <w:right w:val="none" w:sz="0" w:space="0" w:color="auto"/>
              </w:divBdr>
            </w:div>
          </w:divsChild>
        </w:div>
        <w:div w:id="424115252">
          <w:marLeft w:val="0"/>
          <w:marRight w:val="0"/>
          <w:marTop w:val="0"/>
          <w:marBottom w:val="0"/>
          <w:divBdr>
            <w:top w:val="none" w:sz="0" w:space="0" w:color="auto"/>
            <w:left w:val="none" w:sz="0" w:space="0" w:color="auto"/>
            <w:bottom w:val="none" w:sz="0" w:space="0" w:color="auto"/>
            <w:right w:val="none" w:sz="0" w:space="0" w:color="auto"/>
          </w:divBdr>
          <w:divsChild>
            <w:div w:id="64184681">
              <w:marLeft w:val="0"/>
              <w:marRight w:val="0"/>
              <w:marTop w:val="0"/>
              <w:marBottom w:val="0"/>
              <w:divBdr>
                <w:top w:val="none" w:sz="0" w:space="0" w:color="auto"/>
                <w:left w:val="none" w:sz="0" w:space="0" w:color="auto"/>
                <w:bottom w:val="none" w:sz="0" w:space="0" w:color="auto"/>
                <w:right w:val="none" w:sz="0" w:space="0" w:color="auto"/>
              </w:divBdr>
            </w:div>
          </w:divsChild>
        </w:div>
        <w:div w:id="313146648">
          <w:marLeft w:val="0"/>
          <w:marRight w:val="0"/>
          <w:marTop w:val="0"/>
          <w:marBottom w:val="0"/>
          <w:divBdr>
            <w:top w:val="none" w:sz="0" w:space="0" w:color="auto"/>
            <w:left w:val="none" w:sz="0" w:space="0" w:color="auto"/>
            <w:bottom w:val="none" w:sz="0" w:space="0" w:color="auto"/>
            <w:right w:val="none" w:sz="0" w:space="0" w:color="auto"/>
          </w:divBdr>
          <w:divsChild>
            <w:div w:id="974915285">
              <w:marLeft w:val="0"/>
              <w:marRight w:val="0"/>
              <w:marTop w:val="0"/>
              <w:marBottom w:val="0"/>
              <w:divBdr>
                <w:top w:val="none" w:sz="0" w:space="0" w:color="auto"/>
                <w:left w:val="none" w:sz="0" w:space="0" w:color="auto"/>
                <w:bottom w:val="none" w:sz="0" w:space="0" w:color="auto"/>
                <w:right w:val="none" w:sz="0" w:space="0" w:color="auto"/>
              </w:divBdr>
            </w:div>
          </w:divsChild>
        </w:div>
        <w:div w:id="782573078">
          <w:marLeft w:val="0"/>
          <w:marRight w:val="0"/>
          <w:marTop w:val="0"/>
          <w:marBottom w:val="0"/>
          <w:divBdr>
            <w:top w:val="none" w:sz="0" w:space="0" w:color="auto"/>
            <w:left w:val="none" w:sz="0" w:space="0" w:color="auto"/>
            <w:bottom w:val="none" w:sz="0" w:space="0" w:color="auto"/>
            <w:right w:val="none" w:sz="0" w:space="0" w:color="auto"/>
          </w:divBdr>
          <w:divsChild>
            <w:div w:id="735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1281</Words>
  <Characters>7047</Characters>
  <Application>Microsoft Office Word</Application>
  <DocSecurity>0</DocSecurity>
  <Lines>58</Lines>
  <Paragraphs>16</Paragraphs>
  <ScaleCrop>false</ScaleCrop>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2022-12-21T14:44:00Z</dcterms:created>
  <dcterms:modified xsi:type="dcterms:W3CDTF">2023-04-22T13:47:00Z</dcterms:modified>
</cp:coreProperties>
</file>