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66E8DFF3" w:rsidR="003B22A5" w:rsidRDefault="0074489B" w:rsidP="00D54EB9">
      <w:pPr>
        <w:pStyle w:val="Titre"/>
        <w:rPr>
          <w:b/>
          <w:bCs/>
        </w:rPr>
      </w:pPr>
      <w:r w:rsidRPr="0074489B">
        <w:rPr>
          <w:b/>
          <w:bCs/>
        </w:rPr>
        <w:t>Trou noir de Kerr</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08D20159" w14:textId="7AEEDE41" w:rsidR="00597966"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1787424" w:history="1">
            <w:r w:rsidR="00597966" w:rsidRPr="001E6092">
              <w:rPr>
                <w:rStyle w:val="Lienhypertexte"/>
                <w:bCs/>
                <w:noProof/>
              </w:rPr>
              <w:t>Introduction</w:t>
            </w:r>
            <w:r w:rsidR="00597966">
              <w:rPr>
                <w:noProof/>
                <w:webHidden/>
              </w:rPr>
              <w:tab/>
            </w:r>
            <w:r w:rsidR="00597966">
              <w:rPr>
                <w:noProof/>
                <w:webHidden/>
              </w:rPr>
              <w:fldChar w:fldCharType="begin"/>
            </w:r>
            <w:r w:rsidR="00597966">
              <w:rPr>
                <w:noProof/>
                <w:webHidden/>
              </w:rPr>
              <w:instrText xml:space="preserve"> PAGEREF _Toc211787424 \h </w:instrText>
            </w:r>
            <w:r w:rsidR="00597966">
              <w:rPr>
                <w:noProof/>
                <w:webHidden/>
              </w:rPr>
            </w:r>
            <w:r w:rsidR="00597966">
              <w:rPr>
                <w:noProof/>
                <w:webHidden/>
              </w:rPr>
              <w:fldChar w:fldCharType="separate"/>
            </w:r>
            <w:r w:rsidR="00597966">
              <w:rPr>
                <w:noProof/>
                <w:webHidden/>
              </w:rPr>
              <w:t>2</w:t>
            </w:r>
            <w:r w:rsidR="00597966">
              <w:rPr>
                <w:noProof/>
                <w:webHidden/>
              </w:rPr>
              <w:fldChar w:fldCharType="end"/>
            </w:r>
          </w:hyperlink>
        </w:p>
        <w:p w14:paraId="7B8A5F03" w14:textId="52A7696A" w:rsidR="00597966" w:rsidRDefault="00597966">
          <w:pPr>
            <w:pStyle w:val="TM1"/>
            <w:tabs>
              <w:tab w:val="right" w:leader="dot" w:pos="9062"/>
            </w:tabs>
            <w:rPr>
              <w:rFonts w:eastAsiaTheme="minorEastAsia"/>
              <w:noProof/>
              <w:kern w:val="2"/>
              <w:sz w:val="24"/>
              <w:szCs w:val="24"/>
              <w:lang w:eastAsia="fr-FR"/>
              <w14:ligatures w14:val="standardContextual"/>
            </w:rPr>
          </w:pPr>
          <w:hyperlink w:anchor="_Toc211787425" w:history="1">
            <w:r w:rsidRPr="001E6092">
              <w:rPr>
                <w:rStyle w:val="Lienhypertexte"/>
                <w:noProof/>
              </w:rPr>
              <w:t>Description</w:t>
            </w:r>
            <w:r>
              <w:rPr>
                <w:noProof/>
                <w:webHidden/>
              </w:rPr>
              <w:tab/>
            </w:r>
            <w:r>
              <w:rPr>
                <w:noProof/>
                <w:webHidden/>
              </w:rPr>
              <w:fldChar w:fldCharType="begin"/>
            </w:r>
            <w:r>
              <w:rPr>
                <w:noProof/>
                <w:webHidden/>
              </w:rPr>
              <w:instrText xml:space="preserve"> PAGEREF _Toc211787425 \h </w:instrText>
            </w:r>
            <w:r>
              <w:rPr>
                <w:noProof/>
                <w:webHidden/>
              </w:rPr>
            </w:r>
            <w:r>
              <w:rPr>
                <w:noProof/>
                <w:webHidden/>
              </w:rPr>
              <w:fldChar w:fldCharType="separate"/>
            </w:r>
            <w:r>
              <w:rPr>
                <w:noProof/>
                <w:webHidden/>
              </w:rPr>
              <w:t>2</w:t>
            </w:r>
            <w:r>
              <w:rPr>
                <w:noProof/>
                <w:webHidden/>
              </w:rPr>
              <w:fldChar w:fldCharType="end"/>
            </w:r>
          </w:hyperlink>
        </w:p>
        <w:p w14:paraId="066BF253" w14:textId="0FCD2976" w:rsidR="00597966" w:rsidRDefault="00597966">
          <w:pPr>
            <w:pStyle w:val="TM2"/>
            <w:tabs>
              <w:tab w:val="right" w:leader="dot" w:pos="9062"/>
            </w:tabs>
            <w:rPr>
              <w:rFonts w:eastAsiaTheme="minorEastAsia"/>
              <w:noProof/>
              <w:kern w:val="2"/>
              <w:sz w:val="24"/>
              <w:szCs w:val="24"/>
              <w:lang w:eastAsia="fr-FR"/>
              <w14:ligatures w14:val="standardContextual"/>
            </w:rPr>
          </w:pPr>
          <w:hyperlink w:anchor="_Toc211787426" w:history="1">
            <w:r w:rsidRPr="001E6092">
              <w:rPr>
                <w:rStyle w:val="Lienhypertexte"/>
                <w:noProof/>
              </w:rPr>
              <w:t>Masse</w:t>
            </w:r>
            <w:r>
              <w:rPr>
                <w:noProof/>
                <w:webHidden/>
              </w:rPr>
              <w:tab/>
            </w:r>
            <w:r>
              <w:rPr>
                <w:noProof/>
                <w:webHidden/>
              </w:rPr>
              <w:fldChar w:fldCharType="begin"/>
            </w:r>
            <w:r>
              <w:rPr>
                <w:noProof/>
                <w:webHidden/>
              </w:rPr>
              <w:instrText xml:space="preserve"> PAGEREF _Toc211787426 \h </w:instrText>
            </w:r>
            <w:r>
              <w:rPr>
                <w:noProof/>
                <w:webHidden/>
              </w:rPr>
            </w:r>
            <w:r>
              <w:rPr>
                <w:noProof/>
                <w:webHidden/>
              </w:rPr>
              <w:fldChar w:fldCharType="separate"/>
            </w:r>
            <w:r>
              <w:rPr>
                <w:noProof/>
                <w:webHidden/>
              </w:rPr>
              <w:t>3</w:t>
            </w:r>
            <w:r>
              <w:rPr>
                <w:noProof/>
                <w:webHidden/>
              </w:rPr>
              <w:fldChar w:fldCharType="end"/>
            </w:r>
          </w:hyperlink>
        </w:p>
        <w:p w14:paraId="763C13EB" w14:textId="6EAAC565" w:rsidR="00597966" w:rsidRDefault="00597966">
          <w:pPr>
            <w:pStyle w:val="TM2"/>
            <w:tabs>
              <w:tab w:val="right" w:leader="dot" w:pos="9062"/>
            </w:tabs>
            <w:rPr>
              <w:rFonts w:eastAsiaTheme="minorEastAsia"/>
              <w:noProof/>
              <w:kern w:val="2"/>
              <w:sz w:val="24"/>
              <w:szCs w:val="24"/>
              <w:lang w:eastAsia="fr-FR"/>
              <w14:ligatures w14:val="standardContextual"/>
            </w:rPr>
          </w:pPr>
          <w:hyperlink w:anchor="_Toc211787427" w:history="1">
            <w:r w:rsidRPr="001E6092">
              <w:rPr>
                <w:rStyle w:val="Lienhypertexte"/>
                <w:noProof/>
              </w:rPr>
              <w:t>Taux de rotation du trou noir et paramètre de spin</w:t>
            </w:r>
            <w:r>
              <w:rPr>
                <w:noProof/>
                <w:webHidden/>
              </w:rPr>
              <w:tab/>
            </w:r>
            <w:r>
              <w:rPr>
                <w:noProof/>
                <w:webHidden/>
              </w:rPr>
              <w:fldChar w:fldCharType="begin"/>
            </w:r>
            <w:r>
              <w:rPr>
                <w:noProof/>
                <w:webHidden/>
              </w:rPr>
              <w:instrText xml:space="preserve"> PAGEREF _Toc211787427 \h </w:instrText>
            </w:r>
            <w:r>
              <w:rPr>
                <w:noProof/>
                <w:webHidden/>
              </w:rPr>
            </w:r>
            <w:r>
              <w:rPr>
                <w:noProof/>
                <w:webHidden/>
              </w:rPr>
              <w:fldChar w:fldCharType="separate"/>
            </w:r>
            <w:r>
              <w:rPr>
                <w:noProof/>
                <w:webHidden/>
              </w:rPr>
              <w:t>3</w:t>
            </w:r>
            <w:r>
              <w:rPr>
                <w:noProof/>
                <w:webHidden/>
              </w:rPr>
              <w:fldChar w:fldCharType="end"/>
            </w:r>
          </w:hyperlink>
        </w:p>
        <w:p w14:paraId="79D5204B" w14:textId="13D0EBC0" w:rsidR="00597966" w:rsidRDefault="00597966">
          <w:pPr>
            <w:pStyle w:val="TM2"/>
            <w:tabs>
              <w:tab w:val="right" w:leader="dot" w:pos="9062"/>
            </w:tabs>
            <w:rPr>
              <w:rFonts w:eastAsiaTheme="minorEastAsia"/>
              <w:noProof/>
              <w:kern w:val="2"/>
              <w:sz w:val="24"/>
              <w:szCs w:val="24"/>
              <w:lang w:eastAsia="fr-FR"/>
              <w14:ligatures w14:val="standardContextual"/>
            </w:rPr>
          </w:pPr>
          <w:hyperlink w:anchor="_Toc211787428" w:history="1">
            <w:r w:rsidRPr="001E6092">
              <w:rPr>
                <w:rStyle w:val="Lienhypertexte"/>
                <w:noProof/>
              </w:rPr>
              <w:t>Ergosphère externe</w:t>
            </w:r>
            <w:r>
              <w:rPr>
                <w:noProof/>
                <w:webHidden/>
              </w:rPr>
              <w:tab/>
            </w:r>
            <w:r>
              <w:rPr>
                <w:noProof/>
                <w:webHidden/>
              </w:rPr>
              <w:fldChar w:fldCharType="begin"/>
            </w:r>
            <w:r>
              <w:rPr>
                <w:noProof/>
                <w:webHidden/>
              </w:rPr>
              <w:instrText xml:space="preserve"> PAGEREF _Toc211787428 \h </w:instrText>
            </w:r>
            <w:r>
              <w:rPr>
                <w:noProof/>
                <w:webHidden/>
              </w:rPr>
            </w:r>
            <w:r>
              <w:rPr>
                <w:noProof/>
                <w:webHidden/>
              </w:rPr>
              <w:fldChar w:fldCharType="separate"/>
            </w:r>
            <w:r>
              <w:rPr>
                <w:noProof/>
                <w:webHidden/>
              </w:rPr>
              <w:t>3</w:t>
            </w:r>
            <w:r>
              <w:rPr>
                <w:noProof/>
                <w:webHidden/>
              </w:rPr>
              <w:fldChar w:fldCharType="end"/>
            </w:r>
          </w:hyperlink>
        </w:p>
        <w:p w14:paraId="0044DC41" w14:textId="4683AE20" w:rsidR="00597966" w:rsidRDefault="00597966">
          <w:pPr>
            <w:pStyle w:val="TM2"/>
            <w:tabs>
              <w:tab w:val="right" w:leader="dot" w:pos="9062"/>
            </w:tabs>
            <w:rPr>
              <w:rFonts w:eastAsiaTheme="minorEastAsia"/>
              <w:noProof/>
              <w:kern w:val="2"/>
              <w:sz w:val="24"/>
              <w:szCs w:val="24"/>
              <w:lang w:eastAsia="fr-FR"/>
              <w14:ligatures w14:val="standardContextual"/>
            </w:rPr>
          </w:pPr>
          <w:hyperlink w:anchor="_Toc211787429" w:history="1">
            <w:r w:rsidRPr="001E6092">
              <w:rPr>
                <w:rStyle w:val="Lienhypertexte"/>
                <w:noProof/>
              </w:rPr>
              <w:t>Horizon des évènements</w:t>
            </w:r>
            <w:r>
              <w:rPr>
                <w:noProof/>
                <w:webHidden/>
              </w:rPr>
              <w:tab/>
            </w:r>
            <w:r>
              <w:rPr>
                <w:noProof/>
                <w:webHidden/>
              </w:rPr>
              <w:fldChar w:fldCharType="begin"/>
            </w:r>
            <w:r>
              <w:rPr>
                <w:noProof/>
                <w:webHidden/>
              </w:rPr>
              <w:instrText xml:space="preserve"> PAGEREF _Toc211787429 \h </w:instrText>
            </w:r>
            <w:r>
              <w:rPr>
                <w:noProof/>
                <w:webHidden/>
              </w:rPr>
            </w:r>
            <w:r>
              <w:rPr>
                <w:noProof/>
                <w:webHidden/>
              </w:rPr>
              <w:fldChar w:fldCharType="separate"/>
            </w:r>
            <w:r>
              <w:rPr>
                <w:noProof/>
                <w:webHidden/>
              </w:rPr>
              <w:t>4</w:t>
            </w:r>
            <w:r>
              <w:rPr>
                <w:noProof/>
                <w:webHidden/>
              </w:rPr>
              <w:fldChar w:fldCharType="end"/>
            </w:r>
          </w:hyperlink>
        </w:p>
        <w:p w14:paraId="6CC25897" w14:textId="7574DAAF" w:rsidR="00597966" w:rsidRDefault="00597966">
          <w:pPr>
            <w:pStyle w:val="TM2"/>
            <w:tabs>
              <w:tab w:val="right" w:leader="dot" w:pos="9062"/>
            </w:tabs>
            <w:rPr>
              <w:rFonts w:eastAsiaTheme="minorEastAsia"/>
              <w:noProof/>
              <w:kern w:val="2"/>
              <w:sz w:val="24"/>
              <w:szCs w:val="24"/>
              <w:lang w:eastAsia="fr-FR"/>
              <w14:ligatures w14:val="standardContextual"/>
            </w:rPr>
          </w:pPr>
          <w:hyperlink w:anchor="_Toc211787430" w:history="1">
            <w:r w:rsidRPr="001E6092">
              <w:rPr>
                <w:rStyle w:val="Lienhypertexte"/>
                <w:noProof/>
              </w:rPr>
              <w:t>Horizon de Cauchy</w:t>
            </w:r>
            <w:r>
              <w:rPr>
                <w:noProof/>
                <w:webHidden/>
              </w:rPr>
              <w:tab/>
            </w:r>
            <w:r>
              <w:rPr>
                <w:noProof/>
                <w:webHidden/>
              </w:rPr>
              <w:fldChar w:fldCharType="begin"/>
            </w:r>
            <w:r>
              <w:rPr>
                <w:noProof/>
                <w:webHidden/>
              </w:rPr>
              <w:instrText xml:space="preserve"> PAGEREF _Toc211787430 \h </w:instrText>
            </w:r>
            <w:r>
              <w:rPr>
                <w:noProof/>
                <w:webHidden/>
              </w:rPr>
            </w:r>
            <w:r>
              <w:rPr>
                <w:noProof/>
                <w:webHidden/>
              </w:rPr>
              <w:fldChar w:fldCharType="separate"/>
            </w:r>
            <w:r>
              <w:rPr>
                <w:noProof/>
                <w:webHidden/>
              </w:rPr>
              <w:t>4</w:t>
            </w:r>
            <w:r>
              <w:rPr>
                <w:noProof/>
                <w:webHidden/>
              </w:rPr>
              <w:fldChar w:fldCharType="end"/>
            </w:r>
          </w:hyperlink>
        </w:p>
        <w:p w14:paraId="76CD94C9" w14:textId="6E5AE56B" w:rsidR="00597966" w:rsidRDefault="00597966">
          <w:pPr>
            <w:pStyle w:val="TM2"/>
            <w:tabs>
              <w:tab w:val="right" w:leader="dot" w:pos="9062"/>
            </w:tabs>
            <w:rPr>
              <w:rFonts w:eastAsiaTheme="minorEastAsia"/>
              <w:noProof/>
              <w:kern w:val="2"/>
              <w:sz w:val="24"/>
              <w:szCs w:val="24"/>
              <w:lang w:eastAsia="fr-FR"/>
              <w14:ligatures w14:val="standardContextual"/>
            </w:rPr>
          </w:pPr>
          <w:hyperlink w:anchor="_Toc211787431" w:history="1">
            <w:r w:rsidRPr="001E6092">
              <w:rPr>
                <w:rStyle w:val="Lienhypertexte"/>
                <w:noProof/>
              </w:rPr>
              <w:t>Ergosphère interne</w:t>
            </w:r>
            <w:r>
              <w:rPr>
                <w:noProof/>
                <w:webHidden/>
              </w:rPr>
              <w:tab/>
            </w:r>
            <w:r>
              <w:rPr>
                <w:noProof/>
                <w:webHidden/>
              </w:rPr>
              <w:fldChar w:fldCharType="begin"/>
            </w:r>
            <w:r>
              <w:rPr>
                <w:noProof/>
                <w:webHidden/>
              </w:rPr>
              <w:instrText xml:space="preserve"> PAGEREF _Toc211787431 \h </w:instrText>
            </w:r>
            <w:r>
              <w:rPr>
                <w:noProof/>
                <w:webHidden/>
              </w:rPr>
            </w:r>
            <w:r>
              <w:rPr>
                <w:noProof/>
                <w:webHidden/>
              </w:rPr>
              <w:fldChar w:fldCharType="separate"/>
            </w:r>
            <w:r>
              <w:rPr>
                <w:noProof/>
                <w:webHidden/>
              </w:rPr>
              <w:t>4</w:t>
            </w:r>
            <w:r>
              <w:rPr>
                <w:noProof/>
                <w:webHidden/>
              </w:rPr>
              <w:fldChar w:fldCharType="end"/>
            </w:r>
          </w:hyperlink>
        </w:p>
        <w:p w14:paraId="47D1DBE1" w14:textId="5F8BDAC8" w:rsidR="00597966" w:rsidRDefault="00597966">
          <w:pPr>
            <w:pStyle w:val="TM2"/>
            <w:tabs>
              <w:tab w:val="right" w:leader="dot" w:pos="9062"/>
            </w:tabs>
            <w:rPr>
              <w:rFonts w:eastAsiaTheme="minorEastAsia"/>
              <w:noProof/>
              <w:kern w:val="2"/>
              <w:sz w:val="24"/>
              <w:szCs w:val="24"/>
              <w:lang w:eastAsia="fr-FR"/>
              <w14:ligatures w14:val="standardContextual"/>
            </w:rPr>
          </w:pPr>
          <w:hyperlink w:anchor="_Toc211787432" w:history="1">
            <w:r w:rsidRPr="001E6092">
              <w:rPr>
                <w:rStyle w:val="Lienhypertexte"/>
                <w:noProof/>
              </w:rPr>
              <w:t>Singularité annulaire</w:t>
            </w:r>
            <w:r>
              <w:rPr>
                <w:noProof/>
                <w:webHidden/>
              </w:rPr>
              <w:tab/>
            </w:r>
            <w:r>
              <w:rPr>
                <w:noProof/>
                <w:webHidden/>
              </w:rPr>
              <w:fldChar w:fldCharType="begin"/>
            </w:r>
            <w:r>
              <w:rPr>
                <w:noProof/>
                <w:webHidden/>
              </w:rPr>
              <w:instrText xml:space="preserve"> PAGEREF _Toc211787432 \h </w:instrText>
            </w:r>
            <w:r>
              <w:rPr>
                <w:noProof/>
                <w:webHidden/>
              </w:rPr>
            </w:r>
            <w:r>
              <w:rPr>
                <w:noProof/>
                <w:webHidden/>
              </w:rPr>
              <w:fldChar w:fldCharType="separate"/>
            </w:r>
            <w:r>
              <w:rPr>
                <w:noProof/>
                <w:webHidden/>
              </w:rPr>
              <w:t>4</w:t>
            </w:r>
            <w:r>
              <w:rPr>
                <w:noProof/>
                <w:webHidden/>
              </w:rPr>
              <w:fldChar w:fldCharType="end"/>
            </w:r>
          </w:hyperlink>
        </w:p>
        <w:p w14:paraId="58ED2020" w14:textId="43DBBCCB" w:rsidR="00597966" w:rsidRDefault="00597966">
          <w:pPr>
            <w:pStyle w:val="TM1"/>
            <w:tabs>
              <w:tab w:val="right" w:leader="dot" w:pos="9062"/>
            </w:tabs>
            <w:rPr>
              <w:rFonts w:eastAsiaTheme="minorEastAsia"/>
              <w:noProof/>
              <w:kern w:val="2"/>
              <w:sz w:val="24"/>
              <w:szCs w:val="24"/>
              <w:lang w:eastAsia="fr-FR"/>
              <w14:ligatures w14:val="standardContextual"/>
            </w:rPr>
          </w:pPr>
          <w:hyperlink w:anchor="_Toc211787433" w:history="1">
            <w:r w:rsidRPr="001E6092">
              <w:rPr>
                <w:rStyle w:val="Lienhypertexte"/>
                <w:noProof/>
              </w:rPr>
              <w:t>Mesure expérimentale du spin d'un trou noir</w:t>
            </w:r>
            <w:r>
              <w:rPr>
                <w:noProof/>
                <w:webHidden/>
              </w:rPr>
              <w:tab/>
            </w:r>
            <w:r>
              <w:rPr>
                <w:noProof/>
                <w:webHidden/>
              </w:rPr>
              <w:fldChar w:fldCharType="begin"/>
            </w:r>
            <w:r>
              <w:rPr>
                <w:noProof/>
                <w:webHidden/>
              </w:rPr>
              <w:instrText xml:space="preserve"> PAGEREF _Toc211787433 \h </w:instrText>
            </w:r>
            <w:r>
              <w:rPr>
                <w:noProof/>
                <w:webHidden/>
              </w:rPr>
            </w:r>
            <w:r>
              <w:rPr>
                <w:noProof/>
                <w:webHidden/>
              </w:rPr>
              <w:fldChar w:fldCharType="separate"/>
            </w:r>
            <w:r>
              <w:rPr>
                <w:noProof/>
                <w:webHidden/>
              </w:rPr>
              <w:t>5</w:t>
            </w:r>
            <w:r>
              <w:rPr>
                <w:noProof/>
                <w:webHidden/>
              </w:rPr>
              <w:fldChar w:fldCharType="end"/>
            </w:r>
          </w:hyperlink>
        </w:p>
        <w:p w14:paraId="73735383" w14:textId="1BF66037"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40BD2C69" w:rsidR="00D54EB9" w:rsidRDefault="0074489B" w:rsidP="00D54EB9">
      <w:pPr>
        <w:pStyle w:val="Titre1"/>
        <w:rPr>
          <w:b w:val="0"/>
          <w:bCs/>
        </w:rPr>
      </w:pPr>
      <w:bookmarkStart w:id="0" w:name="_Toc211787424"/>
      <w:r>
        <w:rPr>
          <w:noProof/>
        </w:rPr>
        <w:lastRenderedPageBreak/>
        <w:drawing>
          <wp:anchor distT="0" distB="0" distL="114300" distR="114300" simplePos="0" relativeHeight="251658240" behindDoc="0" locked="0" layoutInCell="1" allowOverlap="1" wp14:anchorId="329242A3" wp14:editId="41474FF5">
            <wp:simplePos x="0" y="0"/>
            <wp:positionH relativeFrom="column">
              <wp:posOffset>3054985</wp:posOffset>
            </wp:positionH>
            <wp:positionV relativeFrom="paragraph">
              <wp:posOffset>6985</wp:posOffset>
            </wp:positionV>
            <wp:extent cx="3002280" cy="2444875"/>
            <wp:effectExtent l="0" t="0" r="7620" b="0"/>
            <wp:wrapSquare wrapText="bothSides"/>
            <wp:docPr id="1001043053"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534" r="19048"/>
                    <a:stretch>
                      <a:fillRect/>
                    </a:stretch>
                  </pic:blipFill>
                  <pic:spPr bwMode="auto">
                    <a:xfrm>
                      <a:off x="0" y="0"/>
                      <a:ext cx="3002280" cy="2444875"/>
                    </a:xfrm>
                    <a:prstGeom prst="rect">
                      <a:avLst/>
                    </a:prstGeom>
                    <a:noFill/>
                    <a:ln>
                      <a:noFill/>
                    </a:ln>
                    <a:extLst>
                      <a:ext uri="{53640926-AAD7-44D8-BBD7-CCE9431645EC}">
                        <a14:shadowObscured xmlns:a14="http://schemas.microsoft.com/office/drawing/2010/main"/>
                      </a:ext>
                    </a:extLst>
                  </pic:spPr>
                </pic:pic>
              </a:graphicData>
            </a:graphic>
          </wp:anchor>
        </w:drawing>
      </w:r>
      <w:r w:rsidR="00D54EB9" w:rsidRPr="00D54EB9">
        <w:rPr>
          <w:bCs/>
        </w:rPr>
        <w:t>Introduction</w:t>
      </w:r>
      <w:bookmarkEnd w:id="0"/>
    </w:p>
    <w:p w14:paraId="7C9EA36A" w14:textId="0D0E4791" w:rsidR="0074489B" w:rsidRDefault="0074489B" w:rsidP="0074489B">
      <w:r>
        <w:t>En astrophysique, un trou noir de Kerr, ainsi désigné en l'honneur du mathématicien néozélandais Roy Kerr, est un trou noir en rotation et dépourvu de charge électrique.</w:t>
      </w:r>
    </w:p>
    <w:p w14:paraId="5361BE11" w14:textId="4ACAFAFA" w:rsidR="0074489B" w:rsidRDefault="0074489B" w:rsidP="0074489B">
      <w:r>
        <w:t>Plus précisément :</w:t>
      </w:r>
    </w:p>
    <w:p w14:paraId="03F1D4A4" w14:textId="30C5F9E9" w:rsidR="0074489B" w:rsidRDefault="0074489B" w:rsidP="0074489B">
      <w:pPr>
        <w:pStyle w:val="Paragraphedeliste"/>
        <w:numPr>
          <w:ilvl w:val="0"/>
          <w:numId w:val="18"/>
        </w:numPr>
      </w:pPr>
      <w:proofErr w:type="gramStart"/>
      <w:r>
        <w:t>de</w:t>
      </w:r>
      <w:proofErr w:type="gramEnd"/>
      <w:r>
        <w:t xml:space="preserve"> masse M strictement positive : M</w:t>
      </w:r>
      <w:r>
        <w:t xml:space="preserve"> </w:t>
      </w:r>
      <w:r>
        <w:t>&gt;</w:t>
      </w:r>
      <w:r>
        <w:t xml:space="preserve"> </w:t>
      </w:r>
      <w:proofErr w:type="gramStart"/>
      <w:r>
        <w:t>0;</w:t>
      </w:r>
      <w:proofErr w:type="gramEnd"/>
    </w:p>
    <w:p w14:paraId="059A4905" w14:textId="77978B8E" w:rsidR="0074489B" w:rsidRDefault="0074489B" w:rsidP="0074489B">
      <w:pPr>
        <w:pStyle w:val="Paragraphedeliste"/>
        <w:numPr>
          <w:ilvl w:val="0"/>
          <w:numId w:val="18"/>
        </w:numPr>
      </w:pPr>
      <w:proofErr w:type="gramStart"/>
      <w:r>
        <w:t>dont</w:t>
      </w:r>
      <w:proofErr w:type="gramEnd"/>
      <w:r>
        <w:t xml:space="preserve"> le moment cinétique J</w:t>
      </w:r>
      <w:r>
        <w:t xml:space="preserve"> </w:t>
      </w:r>
      <w:r>
        <w:t>n'est pas nul :</w:t>
      </w:r>
      <w:r>
        <w:t xml:space="preserve"> </w:t>
      </w:r>
      <w:r>
        <w:t>J</w:t>
      </w:r>
      <w:r>
        <w:t xml:space="preserve"> </w:t>
      </w:r>
      <w:r>
        <w:t>≠</w:t>
      </w:r>
      <w:r>
        <w:t xml:space="preserve"> </w:t>
      </w:r>
      <w:r>
        <w:t>0, c'est-à-dire qui est en rotation axiale ;</w:t>
      </w:r>
    </w:p>
    <w:p w14:paraId="4596DA83" w14:textId="5051B9BC" w:rsidR="0074489B" w:rsidRDefault="0074489B" w:rsidP="00E40F54">
      <w:pPr>
        <w:pStyle w:val="Paragraphedeliste"/>
        <w:numPr>
          <w:ilvl w:val="0"/>
          <w:numId w:val="18"/>
        </w:numPr>
      </w:pPr>
      <w:proofErr w:type="gramStart"/>
      <w:r>
        <w:t>dont</w:t>
      </w:r>
      <w:proofErr w:type="gramEnd"/>
      <w:r>
        <w:t xml:space="preserve"> la charge électrique Q</w:t>
      </w:r>
      <w:r>
        <w:t xml:space="preserve"> </w:t>
      </w:r>
      <w:r>
        <w:t>est nulle</w:t>
      </w:r>
      <w:r>
        <w:t xml:space="preserve"> : </w:t>
      </w:r>
      <w:r>
        <w:t>Q</w:t>
      </w:r>
      <w:r>
        <w:t xml:space="preserve"> </w:t>
      </w:r>
      <w:r>
        <w:t>=</w:t>
      </w:r>
      <w:r>
        <w:t xml:space="preserve"> </w:t>
      </w:r>
      <w:proofErr w:type="gramStart"/>
      <w:r>
        <w:t>0;</w:t>
      </w:r>
      <w:proofErr w:type="gramEnd"/>
    </w:p>
    <w:p w14:paraId="47499B39" w14:textId="6F1B2DD4" w:rsidR="0074489B" w:rsidRDefault="0074489B" w:rsidP="0074489B">
      <w:pPr>
        <w:pStyle w:val="Paragraphedeliste"/>
        <w:numPr>
          <w:ilvl w:val="0"/>
          <w:numId w:val="18"/>
        </w:numPr>
      </w:pPr>
      <w:proofErr w:type="gramStart"/>
      <w:r>
        <w:t>dont</w:t>
      </w:r>
      <w:proofErr w:type="gramEnd"/>
      <w:r>
        <w:t xml:space="preserve"> l'horizon des événements est en rotation rigide.</w:t>
      </w:r>
    </w:p>
    <w:p w14:paraId="11F36AD0" w14:textId="6A0AACF4" w:rsidR="0074489B" w:rsidRDefault="0074489B" w:rsidP="0074489B">
      <w:r>
        <w:t>D'après la conjecture de calvitie, proposée par John Wheeler, il est un des quatre types théoriques de trous noirs.</w:t>
      </w:r>
    </w:p>
    <w:p w14:paraId="1C786CBF" w14:textId="39C11E88" w:rsidR="0074489B" w:rsidRDefault="0074489B" w:rsidP="0074489B">
      <w:r>
        <w:t>Il est décrit, dans le cadre de la relativité générale, par la métrique de Kerr, découverte par Roy Kerr en 1963</w:t>
      </w:r>
      <w:r>
        <w:t>.</w:t>
      </w:r>
      <w:r>
        <w:t xml:space="preserve"> La métrique est une solution exacte de </w:t>
      </w:r>
      <w:proofErr w:type="spellStart"/>
      <w:r>
        <w:t>Rμν</w:t>
      </w:r>
      <w:proofErr w:type="spellEnd"/>
      <w:r>
        <w:t xml:space="preserve"> </w:t>
      </w:r>
      <w:r>
        <w:t>=</w:t>
      </w:r>
      <w:r>
        <w:t xml:space="preserve"> </w:t>
      </w:r>
      <w:r>
        <w:t>0 à laquelle l'équation d'Einstein se réduit pour le vide</w:t>
      </w:r>
      <w:r>
        <w:t xml:space="preserve"> </w:t>
      </w:r>
      <w:r>
        <w:t>(</w:t>
      </w:r>
      <w:proofErr w:type="spellStart"/>
      <w:r>
        <w:t>Tμν</w:t>
      </w:r>
      <w:proofErr w:type="spellEnd"/>
      <w:r>
        <w:t xml:space="preserve"> </w:t>
      </w:r>
      <w:r>
        <w:t>=</w:t>
      </w:r>
      <w:r>
        <w:t xml:space="preserve"> </w:t>
      </w:r>
      <w:r>
        <w:t>0)</w:t>
      </w:r>
      <w:r>
        <w:t xml:space="preserve"> </w:t>
      </w:r>
      <w:r>
        <w:t>en l'absence de constante cosmologique</w:t>
      </w:r>
      <w:r>
        <w:t xml:space="preserve"> (</w:t>
      </w:r>
      <w:r>
        <w:t>Λ</w:t>
      </w:r>
      <w:r>
        <w:t xml:space="preserve"> </w:t>
      </w:r>
      <w:r>
        <w:t>=</w:t>
      </w:r>
      <w:r>
        <w:t xml:space="preserve"> </w:t>
      </w:r>
      <w:r>
        <w:t>0</w:t>
      </w:r>
      <w:proofErr w:type="gramStart"/>
      <w:r>
        <w:t>);</w:t>
      </w:r>
      <w:proofErr w:type="gramEnd"/>
      <w:r>
        <w:t xml:space="preserve"> elle ne dépend que des deux paramètres m</w:t>
      </w:r>
      <w:r>
        <w:t xml:space="preserve"> </w:t>
      </w:r>
      <w:r>
        <w:t>et</w:t>
      </w:r>
      <w:r>
        <w:t xml:space="preserve"> </w:t>
      </w:r>
      <w:r>
        <w:t>a, c'est-à-dire la masse M</w:t>
      </w:r>
      <w:r>
        <w:t xml:space="preserve"> </w:t>
      </w:r>
      <w:r>
        <w:t>=</w:t>
      </w:r>
      <w:r>
        <w:t xml:space="preserve"> </w:t>
      </w:r>
      <w:r>
        <w:t>m</w:t>
      </w:r>
      <w:r>
        <w:t xml:space="preserve"> et </w:t>
      </w:r>
      <w:r>
        <w:t>le moment cinétique</w:t>
      </w:r>
      <w:r>
        <w:t xml:space="preserve"> </w:t>
      </w:r>
      <w:r w:rsidRPr="0074489B">
        <w:t>J</w:t>
      </w:r>
      <w:r w:rsidRPr="0074489B">
        <w:t xml:space="preserve"> </w:t>
      </w:r>
      <w:r w:rsidRPr="0074489B">
        <w:t>=</w:t>
      </w:r>
      <w:r w:rsidRPr="0074489B">
        <w:t xml:space="preserve"> </w:t>
      </w:r>
      <w:r w:rsidRPr="0074489B">
        <w:t xml:space="preserve">Mac. </w:t>
      </w:r>
      <w:r>
        <w:t xml:space="preserve">L'espace-temps dont la métrique de Kerr décrit la géométrie a quatre </w:t>
      </w:r>
      <w:proofErr w:type="gramStart"/>
      <w:r>
        <w:t>dimensions;</w:t>
      </w:r>
      <w:proofErr w:type="gramEnd"/>
      <w:r>
        <w:t xml:space="preserve"> il est vide mais courbe bien qu'asymptotiquement </w:t>
      </w:r>
      <w:proofErr w:type="gramStart"/>
      <w:r>
        <w:t>plat;</w:t>
      </w:r>
      <w:proofErr w:type="gramEnd"/>
      <w:r>
        <w:t xml:space="preserve"> il est stationnaire et à symétrie axiale.</w:t>
      </w:r>
    </w:p>
    <w:p w14:paraId="6A0C30D9" w14:textId="462CC8D8" w:rsidR="0074489B" w:rsidRDefault="0074489B" w:rsidP="0074489B">
      <w:r>
        <w:t xml:space="preserve">La métrique de Kerr ne décrit un trou noir qu'avec </w:t>
      </w:r>
      <w:r w:rsidRPr="0074489B">
        <w:t>m</w:t>
      </w:r>
      <w:r w:rsidRPr="0074489B">
        <w:t xml:space="preserve"> </w:t>
      </w:r>
      <w:r w:rsidRPr="0074489B">
        <w:t>≥</w:t>
      </w:r>
      <w:r w:rsidRPr="0074489B">
        <w:t xml:space="preserve"> </w:t>
      </w:r>
      <w:r w:rsidRPr="0074489B">
        <w:t xml:space="preserve">a. </w:t>
      </w:r>
      <w:r>
        <w:t xml:space="preserve">La métrique de </w:t>
      </w:r>
      <w:proofErr w:type="spellStart"/>
      <w:r>
        <w:t>Schwarzschild</w:t>
      </w:r>
      <w:proofErr w:type="spellEnd"/>
      <w:r>
        <w:t xml:space="preserve"> correspond au cas particulier a</w:t>
      </w:r>
      <w:r>
        <w:t xml:space="preserve"> </w:t>
      </w:r>
      <w:r>
        <w:t>=</w:t>
      </w:r>
      <w:r>
        <w:t xml:space="preserve"> </w:t>
      </w:r>
      <w:r>
        <w:t xml:space="preserve">0 de celle de Kerr. Le trou noir extrémal que celle-ci décrit correspond au cas limite </w:t>
      </w:r>
    </w:p>
    <w:p w14:paraId="129C27F8" w14:textId="7E6E7D03" w:rsidR="0074489B" w:rsidRDefault="0074489B" w:rsidP="0074489B">
      <w:r>
        <w:t xml:space="preserve">M </w:t>
      </w:r>
      <w:r>
        <w:t>=</w:t>
      </w:r>
      <w:r>
        <w:t xml:space="preserve"> </w:t>
      </w:r>
      <w:proofErr w:type="gramStart"/>
      <w:r>
        <w:t>a;</w:t>
      </w:r>
      <w:proofErr w:type="gramEnd"/>
      <w:r>
        <w:t xml:space="preserve"> la température de Hawking d'un tel trou noir est nulle. Avec</w:t>
      </w:r>
      <w:r>
        <w:t xml:space="preserve"> </w:t>
      </w:r>
      <w:r>
        <w:t>m</w:t>
      </w:r>
      <w:r>
        <w:t xml:space="preserve"> </w:t>
      </w:r>
      <w:r>
        <w:t>&lt;</w:t>
      </w:r>
      <w:r>
        <w:t xml:space="preserve"> </w:t>
      </w:r>
      <w:r>
        <w:t>a, la métrique de Kerr prédit l'existence de singularités nues, c'est-à-dire de singularités gravitationnelles qui, contrairement à celles des trous noirs sans rotation, ne seraient pas vraiment occultées par un horizon des événements, hypothèse à laquelle s'oppose la conjecture de censure cosmique, proposée par Roger Penrose. La métrique de Minkowski correspond au cas particulier</w:t>
      </w:r>
      <w:r>
        <w:t xml:space="preserve"> </w:t>
      </w:r>
      <w:r>
        <w:t>m</w:t>
      </w:r>
      <w:r>
        <w:t xml:space="preserve"> </w:t>
      </w:r>
      <w:r>
        <w:t>=</w:t>
      </w:r>
      <w:r>
        <w:t xml:space="preserve"> </w:t>
      </w:r>
      <w:r>
        <w:t>0 de celle de Kerr.</w:t>
      </w:r>
    </w:p>
    <w:p w14:paraId="603768EF" w14:textId="248D6676" w:rsidR="0074489B" w:rsidRDefault="0074489B" w:rsidP="0074489B">
      <w:r>
        <w:t>La métrique de Kerr ne peut décrire qu'un trou noir. Le théorème de Birkhoff ne lui est pas applicable et elle ne décrit pas le champ gravitationnel à l'extérieur d'une étoile en rotation, y compris pendant son effondrement gravitationnel.</w:t>
      </w:r>
    </w:p>
    <w:p w14:paraId="731710D5" w14:textId="69E05FA1" w:rsidR="009D3220" w:rsidRDefault="0074489B" w:rsidP="0074489B">
      <w:r>
        <w:t>L'hypothèse de Kerr est l'hypothèse selon laquelle tous les trous noirs astrophysiques sont, quand ils sont proches de l'équilibre, bien décrits par la métrique de Kerr. En effet, les trous noirs astrophysiques sont considérés comme neutres, dans une très bonne approximation</w:t>
      </w:r>
    </w:p>
    <w:p w14:paraId="25BC508B" w14:textId="77777777" w:rsidR="0074489B" w:rsidRDefault="0074489B" w:rsidP="0074489B"/>
    <w:p w14:paraId="08C90082" w14:textId="77777777" w:rsidR="0074489B" w:rsidRDefault="0074489B" w:rsidP="0074489B">
      <w:pPr>
        <w:pStyle w:val="Titre1"/>
      </w:pPr>
      <w:bookmarkStart w:id="1" w:name="_Toc211787425"/>
      <w:r>
        <w:t>Description</w:t>
      </w:r>
      <w:bookmarkEnd w:id="1"/>
    </w:p>
    <w:p w14:paraId="5296B7B4" w14:textId="77777777" w:rsidR="0074489B" w:rsidRDefault="0074489B" w:rsidP="0074489B">
      <w:r>
        <w:t xml:space="preserve">Contrairement au cas du trou noir sans rotation et sans charge électrique (appelé trou noir de </w:t>
      </w:r>
      <w:proofErr w:type="spellStart"/>
      <w:r>
        <w:t>Schwarzschild</w:t>
      </w:r>
      <w:proofErr w:type="spellEnd"/>
      <w:r>
        <w:t>), la singularité gravitationnelle d'un trou noir de Kerr n'est pas ponctuelle mais annulaire.</w:t>
      </w:r>
    </w:p>
    <w:p w14:paraId="7B125874" w14:textId="77777777" w:rsidR="0074489B" w:rsidRDefault="0074489B" w:rsidP="0074489B"/>
    <w:p w14:paraId="4D07E250" w14:textId="568F2F42" w:rsidR="0074489B" w:rsidRDefault="0074489B" w:rsidP="0074489B">
      <w:r>
        <w:lastRenderedPageBreak/>
        <w:t xml:space="preserve">D'autre part, un trou noir de Kerr possède quatre régions : deux horizons des événements (r±) : l'un extérieur (r+), l'autre intérieur (r−) ; et deux surfaces limites de stationnarité : l'une externe, l'autre interne avec sa singularité annulaire. La limite de stationnarité externe est l'ergosphère. Alors que l'horizon des événements est décrit par une sphère de rayon </w:t>
      </w:r>
      <w:proofErr w:type="spellStart"/>
      <w:r>
        <w:t>r</w:t>
      </w:r>
      <w:r w:rsidRPr="0074489B">
        <w:rPr>
          <w:vertAlign w:val="subscript"/>
        </w:rPr>
        <w:t>h</w:t>
      </w:r>
      <w:proofErr w:type="spellEnd"/>
      <w:r>
        <w:t xml:space="preserve">, l'ergosphère est un ellipsoïde de révolution (oblate) dont le petit axe est aligné avec l'axe de rotation du trou noir et de même taille que </w:t>
      </w:r>
    </w:p>
    <w:p w14:paraId="4A1E0891" w14:textId="341EC008" w:rsidR="0074489B" w:rsidRDefault="0074489B" w:rsidP="0074489B">
      <w:proofErr w:type="spellStart"/>
      <w:proofErr w:type="gramStart"/>
      <w:r>
        <w:t>r</w:t>
      </w:r>
      <w:r w:rsidRPr="0074489B">
        <w:rPr>
          <w:vertAlign w:val="subscript"/>
        </w:rPr>
        <w:t>h</w:t>
      </w:r>
      <w:proofErr w:type="spellEnd"/>
      <w:proofErr w:type="gramEnd"/>
      <w:r>
        <w:t>, et le plan équatorial est de diamètre</w:t>
      </w:r>
      <w:r>
        <w:t xml:space="preserve"> </w:t>
      </w:r>
      <w:proofErr w:type="spellStart"/>
      <w:r>
        <w:t>r</w:t>
      </w:r>
      <w:r w:rsidRPr="0074489B">
        <w:rPr>
          <w:vertAlign w:val="subscript"/>
        </w:rPr>
        <w:t>stat</w:t>
      </w:r>
      <w:proofErr w:type="spellEnd"/>
      <w:r>
        <w:t>. De plus,</w:t>
      </w:r>
      <w:r>
        <w:t xml:space="preserve"> </w:t>
      </w:r>
      <w:proofErr w:type="spellStart"/>
      <w:r>
        <w:t>r</w:t>
      </w:r>
      <w:r w:rsidRPr="0074489B">
        <w:rPr>
          <w:vertAlign w:val="subscript"/>
        </w:rPr>
        <w:t>stat</w:t>
      </w:r>
      <w:proofErr w:type="spellEnd"/>
      <w:r>
        <w:t xml:space="preserve"> </w:t>
      </w:r>
      <w:r>
        <w:t>≥</w:t>
      </w:r>
      <w:r>
        <w:t xml:space="preserve"> </w:t>
      </w:r>
      <w:proofErr w:type="spellStart"/>
      <w:r>
        <w:t>r</w:t>
      </w:r>
      <w:r w:rsidRPr="0074489B">
        <w:rPr>
          <w:vertAlign w:val="subscript"/>
        </w:rPr>
        <w:t>h</w:t>
      </w:r>
      <w:proofErr w:type="spellEnd"/>
      <w:r>
        <w:t>.</w:t>
      </w:r>
    </w:p>
    <w:p w14:paraId="08B5EA73" w14:textId="77777777" w:rsidR="0074489B" w:rsidRDefault="0074489B" w:rsidP="0074489B"/>
    <w:p w14:paraId="2321B6C4" w14:textId="77777777" w:rsidR="00256BEA" w:rsidRPr="00256BEA" w:rsidRDefault="00256BEA" w:rsidP="00B71B6F">
      <w:pPr>
        <w:pStyle w:val="Titre2"/>
      </w:pPr>
      <w:bookmarkStart w:id="2" w:name="_Toc211787426"/>
      <w:r w:rsidRPr="00256BEA">
        <w:t>Masse</w:t>
      </w:r>
      <w:bookmarkEnd w:id="2"/>
    </w:p>
    <w:p w14:paraId="5F6D43B6" w14:textId="002D4AF0" w:rsidR="00256BEA" w:rsidRPr="00256BEA" w:rsidRDefault="00256BEA" w:rsidP="00256BEA">
      <w:r w:rsidRPr="00256BEA">
        <w:t>La masse d'un trou noir de Kerr est donnée par :</w:t>
      </w:r>
    </w:p>
    <w:p w14:paraId="7DCB7408" w14:textId="1C0E309B" w:rsidR="00256BEA" w:rsidRPr="00256BEA" w:rsidRDefault="00256BEA" w:rsidP="00256BEA">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irr</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rot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irr</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cJ</m:t>
                </m:r>
              </m:num>
              <m:den>
                <m:r>
                  <w:rPr>
                    <w:rFonts w:ascii="Cambria Math" w:hAnsi="Cambria Math"/>
                  </w:rPr>
                  <m:t>2G</m:t>
                </m:r>
                <m:sSub>
                  <m:sSubPr>
                    <m:ctrlPr>
                      <w:rPr>
                        <w:rFonts w:ascii="Cambria Math" w:hAnsi="Cambria Math"/>
                      </w:rPr>
                    </m:ctrlPr>
                  </m:sSubPr>
                  <m:e>
                    <m:r>
                      <w:rPr>
                        <w:rFonts w:ascii="Cambria Math" w:hAnsi="Cambria Math"/>
                      </w:rPr>
                      <m:t>M</m:t>
                    </m:r>
                  </m:e>
                  <m:sub>
                    <m:r>
                      <m:rPr>
                        <m:sty m:val="p"/>
                      </m:rPr>
                      <w:rPr>
                        <w:rFonts w:ascii="Cambria Math" w:hAnsi="Cambria Math"/>
                      </w:rPr>
                      <m:t>irr</m:t>
                    </m:r>
                  </m:sub>
                </m:sSub>
              </m:den>
            </m:f>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irr</m:t>
            </m:r>
          </m:sub>
          <m:sup>
            <m:r>
              <w:rPr>
                <w:rFonts w:ascii="Cambria Math" w:hAnsi="Cambria Math"/>
              </w:rPr>
              <m:t>2</m:t>
            </m:r>
          </m:sup>
        </m:sSubSup>
      </m:oMath>
      <w:r w:rsidRPr="00256BEA">
        <mc:AlternateContent>
          <mc:Choice Requires="wps">
            <w:drawing>
              <wp:inline distT="0" distB="0" distL="0" distR="0" wp14:anchorId="7B9388DE" wp14:editId="0DB416A4">
                <wp:extent cx="304800" cy="304800"/>
                <wp:effectExtent l="0" t="0" r="0" b="0"/>
                <wp:docPr id="742714002" name="Rectangle 35" descr="{\displaystyle M^{2}=M_{\mathrm {irr} }^{2}+M_{\mathrm {rot} }^{2}=M_{\mathrm {irr} }^{2}+\left({\frac {cJ}{2GM_{\mathrm {irr} }}}\right)^{2}\geq {M_{\mathrm {irr}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1602B" id="Rectangle 35" o:spid="_x0000_s1026" alt="{\displaystyle M^{2}=M_{\mathrm {irr} }^{2}+M_{\mathrm {rot} }^{2}=M_{\mathrm {irr} }^{2}+\left({\frac {cJ}{2GM_{\mathrm {irr} }}}\right)^{2}\geq {M_{\mathrm {irr}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56BEA">
        <w:t>,</w:t>
      </w:r>
    </w:p>
    <w:p w14:paraId="012F4BB9" w14:textId="64A096ED" w:rsidR="00256BEA" w:rsidRPr="00256BEA" w:rsidRDefault="00256BEA" w:rsidP="00256BEA">
      <w:proofErr w:type="gramStart"/>
      <w:r w:rsidRPr="00256BEA">
        <w:t>avec</w:t>
      </w:r>
      <w:proofErr w:type="gramEnd"/>
      <w:r w:rsidRPr="00256BEA">
        <w:t> :</w:t>
      </w:r>
    </w:p>
    <w:p w14:paraId="0E78B294" w14:textId="239A5930" w:rsidR="00256BEA" w:rsidRPr="00256BEA" w:rsidRDefault="00256BEA" w:rsidP="00B71B6F">
      <m:oMath>
        <m:sSub>
          <m:sSubPr>
            <m:ctrlPr>
              <w:rPr>
                <w:rFonts w:ascii="Cambria Math" w:hAnsi="Cambria Math"/>
              </w:rPr>
            </m:ctrlPr>
          </m:sSubPr>
          <m:e>
            <m:r>
              <w:rPr>
                <w:rFonts w:ascii="Cambria Math" w:hAnsi="Cambria Math"/>
              </w:rPr>
              <m:t>M</m:t>
            </m:r>
          </m:e>
          <m:sub>
            <m:r>
              <m:rPr>
                <m:sty m:val="p"/>
              </m:rPr>
              <w:rPr>
                <w:rFonts w:ascii="Cambria Math" w:hAnsi="Cambria Math"/>
              </w:rPr>
              <m:t>rot</m:t>
            </m:r>
          </m:sub>
        </m:sSub>
        <m:r>
          <w:rPr>
            <w:rFonts w:ascii="Cambria Math" w:hAnsi="Cambria Math"/>
          </w:rPr>
          <m:t>=M-</m:t>
        </m:r>
        <m:sSub>
          <m:sSubPr>
            <m:ctrlPr>
              <w:rPr>
                <w:rFonts w:ascii="Cambria Math" w:hAnsi="Cambria Math"/>
              </w:rPr>
            </m:ctrlPr>
          </m:sSubPr>
          <m:e>
            <m:r>
              <w:rPr>
                <w:rFonts w:ascii="Cambria Math" w:hAnsi="Cambria Math"/>
              </w:rPr>
              <m:t>M</m:t>
            </m:r>
          </m:e>
          <m:sub>
            <m:r>
              <m:rPr>
                <m:sty m:val="p"/>
              </m:rPr>
              <w:rPr>
                <w:rFonts w:ascii="Cambria Math" w:hAnsi="Cambria Math"/>
              </w:rPr>
              <m:t>irr</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M</m:t>
                </m:r>
              </m:e>
              <m:sub>
                <m:r>
                  <m:rPr>
                    <m:sty m:val="p"/>
                  </m:rPr>
                  <w:rPr>
                    <w:rFonts w:ascii="Cambria Math" w:hAnsi="Cambria Math"/>
                  </w:rPr>
                  <m:t>irr</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cJ</m:t>
                    </m:r>
                  </m:num>
                  <m:den>
                    <m:r>
                      <w:rPr>
                        <w:rFonts w:ascii="Cambria Math" w:hAnsi="Cambria Math"/>
                      </w:rPr>
                      <m:t>2G</m:t>
                    </m:r>
                    <m:sSub>
                      <m:sSubPr>
                        <m:ctrlPr>
                          <w:rPr>
                            <w:rFonts w:ascii="Cambria Math" w:hAnsi="Cambria Math"/>
                          </w:rPr>
                        </m:ctrlPr>
                      </m:sSubPr>
                      <m:e>
                        <m:r>
                          <w:rPr>
                            <w:rFonts w:ascii="Cambria Math" w:hAnsi="Cambria Math"/>
                          </w:rPr>
                          <m:t>M</m:t>
                        </m:r>
                      </m:e>
                      <m:sub>
                        <m:r>
                          <m:rPr>
                            <m:sty m:val="p"/>
                          </m:rPr>
                          <w:rPr>
                            <w:rFonts w:ascii="Cambria Math" w:hAnsi="Cambria Math"/>
                          </w:rPr>
                          <m:t>irr</m:t>
                        </m:r>
                      </m:sub>
                    </m:sSub>
                  </m:den>
                </m:f>
                <m:r>
                  <w:rPr>
                    <w:rFonts w:ascii="Cambria Math" w:hAnsi="Cambria Math"/>
                  </w:rPr>
                  <m:t>)</m:t>
                </m:r>
              </m:e>
              <m:sup>
                <m:r>
                  <w:rPr>
                    <w:rFonts w:ascii="Cambria Math" w:hAnsi="Cambria Math"/>
                  </w:rPr>
                  <m:t>2</m:t>
                </m:r>
              </m:sup>
            </m:sSup>
          </m:e>
        </m:rad>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irr</m:t>
            </m:r>
          </m:sub>
        </m:sSub>
      </m:oMath>
      <w:r w:rsidRPr="00256BEA">
        <mc:AlternateContent>
          <mc:Choice Requires="wps">
            <w:drawing>
              <wp:inline distT="0" distB="0" distL="0" distR="0" wp14:anchorId="65F6ABF3" wp14:editId="0BDFA263">
                <wp:extent cx="304800" cy="304800"/>
                <wp:effectExtent l="0" t="0" r="0" b="0"/>
                <wp:docPr id="1277301890" name="Rectangle 34" descr="{\displaystyle M_{\mathrm {rot} }=M-M_{\mathrm {irr} }={\sqrt {M_{\mathrm {irr} }^{2}+\left({\frac {cJ}{2GM_{\mathrm {irr} }}}\right)^{2}}}-M_{\mathrm {ir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1E6EF" id="Rectangle 34" o:spid="_x0000_s1026" alt="{\displaystyle M_{\mathrm {rot} }=M-M_{\mathrm {irr} }={\sqrt {M_{\mathrm {irr} }^{2}+\left({\frac {cJ}{2GM_{\mathrm {irr} }}}\right)^{2}}}-M_{\mathrm {ir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56BEA">
        <w:t>,</w:t>
      </w:r>
    </w:p>
    <w:p w14:paraId="47679E59" w14:textId="77777777" w:rsidR="00256BEA" w:rsidRPr="00256BEA" w:rsidRDefault="00256BEA" w:rsidP="00256BEA">
      <w:proofErr w:type="gramStart"/>
      <w:r w:rsidRPr="00256BEA">
        <w:t>où</w:t>
      </w:r>
      <w:proofErr w:type="gramEnd"/>
      <w:r w:rsidRPr="00256BEA">
        <w:t> :</w:t>
      </w:r>
    </w:p>
    <w:p w14:paraId="6D32A5B7" w14:textId="7FCAF5B6" w:rsidR="00256BEA" w:rsidRPr="00256BEA" w:rsidRDefault="00256BEA" w:rsidP="00256BEA">
      <w:pPr>
        <w:numPr>
          <w:ilvl w:val="0"/>
          <w:numId w:val="20"/>
        </w:numPr>
      </w:pPr>
      <m:oMath>
        <m:sSub>
          <m:sSubPr>
            <m:ctrlPr>
              <w:rPr>
                <w:rFonts w:ascii="Cambria Math" w:hAnsi="Cambria Math"/>
              </w:rPr>
            </m:ctrlPr>
          </m:sSubPr>
          <m:e>
            <m:r>
              <w:rPr>
                <w:rFonts w:ascii="Cambria Math" w:hAnsi="Cambria Math"/>
              </w:rPr>
              <m:t>M</m:t>
            </m:r>
          </m:e>
          <m:sub>
            <m:r>
              <m:rPr>
                <m:sty m:val="p"/>
              </m:rPr>
              <w:rPr>
                <w:rFonts w:ascii="Cambria Math" w:hAnsi="Cambria Math"/>
              </w:rPr>
              <m:t>irr</m:t>
            </m:r>
          </m:sub>
        </m:sSub>
      </m:oMath>
      <w:r w:rsidRPr="00256BEA">
        <w:t> </w:t>
      </w:r>
      <w:proofErr w:type="gramStart"/>
      <w:r w:rsidRPr="00256BEA">
        <w:t>est</w:t>
      </w:r>
      <w:proofErr w:type="gramEnd"/>
      <w:r w:rsidRPr="00256BEA">
        <w:t xml:space="preserve"> la </w:t>
      </w:r>
      <w:hyperlink r:id="rId8" w:tooltip="Masse irréductible" w:history="1">
        <w:r w:rsidRPr="00256BEA">
          <w:t>masse irréductible</w:t>
        </w:r>
      </w:hyperlink>
      <w:r w:rsidRPr="00256BEA">
        <w:t> ;</w:t>
      </w:r>
    </w:p>
    <w:p w14:paraId="4B0C5CDC" w14:textId="23B92F68" w:rsidR="00256BEA" w:rsidRPr="00256BEA" w:rsidRDefault="00256BEA" w:rsidP="00256BEA">
      <w:pPr>
        <w:numPr>
          <w:ilvl w:val="0"/>
          <w:numId w:val="20"/>
        </w:numPr>
      </w:pPr>
      <m:oMath>
        <m:sSub>
          <m:sSubPr>
            <m:ctrlPr>
              <w:rPr>
                <w:rFonts w:ascii="Cambria Math" w:hAnsi="Cambria Math"/>
              </w:rPr>
            </m:ctrlPr>
          </m:sSubPr>
          <m:e>
            <m:r>
              <w:rPr>
                <w:rFonts w:ascii="Cambria Math" w:hAnsi="Cambria Math"/>
              </w:rPr>
              <m:t>M</m:t>
            </m:r>
          </m:e>
          <m:sub>
            <m:r>
              <m:rPr>
                <m:sty m:val="p"/>
              </m:rPr>
              <w:rPr>
                <w:rFonts w:ascii="Cambria Math" w:hAnsi="Cambria Math"/>
              </w:rPr>
              <m:t>rot</m:t>
            </m:r>
          </m:sub>
        </m:sSub>
      </m:oMath>
      <w:proofErr w:type="gramStart"/>
      <w:r w:rsidRPr="00256BEA">
        <w:t>est</w:t>
      </w:r>
      <w:proofErr w:type="gramEnd"/>
      <w:r w:rsidRPr="00256BEA">
        <w:t xml:space="preserve"> l'équivalent de l'énergie de rotation.</w:t>
      </w:r>
    </w:p>
    <w:p w14:paraId="345335AB" w14:textId="7BF41F69" w:rsidR="00256BEA" w:rsidRPr="00256BEA" w:rsidRDefault="00256BEA" w:rsidP="00256BEA">
      <w:r w:rsidRPr="00256BEA">
        <w:t>Pour </w:t>
      </w:r>
      <m:oMath>
        <m:r>
          <w:rPr>
            <w:rFonts w:ascii="Cambria Math" w:hAnsi="Cambria Math"/>
          </w:rPr>
          <m:t>J≠0</m:t>
        </m:r>
      </m:oMath>
      <w:r w:rsidRPr="00256BEA">
        <w:t>, </w:t>
      </w:r>
      <m:oMath>
        <m:r>
          <w:rPr>
            <w:rFonts w:ascii="Cambria Math" w:hAnsi="Cambria Math"/>
          </w:rPr>
          <m:t>M&gt;</m:t>
        </m:r>
        <m:sSub>
          <m:sSubPr>
            <m:ctrlPr>
              <w:rPr>
                <w:rFonts w:ascii="Cambria Math" w:hAnsi="Cambria Math"/>
              </w:rPr>
            </m:ctrlPr>
          </m:sSubPr>
          <m:e>
            <m:r>
              <w:rPr>
                <w:rFonts w:ascii="Cambria Math" w:hAnsi="Cambria Math"/>
              </w:rPr>
              <m:t>M</m:t>
            </m:r>
          </m:e>
          <m:sub>
            <m:r>
              <m:rPr>
                <m:sty m:val="p"/>
              </m:rPr>
              <w:rPr>
                <w:rFonts w:ascii="Cambria Math" w:hAnsi="Cambria Math"/>
              </w:rPr>
              <m:t>irr</m:t>
            </m:r>
          </m:sub>
        </m:sSub>
      </m:oMath>
      <w:r w:rsidRPr="00256BEA">
        <w:t>.</w:t>
      </w:r>
    </w:p>
    <w:p w14:paraId="773EC17A" w14:textId="055D94C5" w:rsidR="00256BEA" w:rsidRPr="00256BEA" w:rsidRDefault="00256BEA" w:rsidP="00256BEA">
      <w:r w:rsidRPr="00256BEA">
        <w:t>Pour </w:t>
      </w:r>
      <m:oMath>
        <m:f>
          <m:fPr>
            <m:ctrlPr>
              <w:rPr>
                <w:rFonts w:ascii="Cambria Math" w:hAnsi="Cambria Math"/>
              </w:rPr>
            </m:ctrlPr>
          </m:fPr>
          <m:num>
            <m:r>
              <w:rPr>
                <w:rFonts w:ascii="Cambria Math" w:hAnsi="Cambria Math"/>
              </w:rPr>
              <m:t>cJ</m:t>
            </m:r>
          </m:num>
          <m:den>
            <m:sSup>
              <m:sSupPr>
                <m:ctrlPr>
                  <w:rPr>
                    <w:rFonts w:ascii="Cambria Math" w:hAnsi="Cambria Math"/>
                  </w:rPr>
                </m:ctrlPr>
              </m:sSupPr>
              <m:e>
                <m:r>
                  <w:rPr>
                    <w:rFonts w:ascii="Cambria Math" w:hAnsi="Cambria Math"/>
                  </w:rPr>
                  <m:t>M</m:t>
                </m:r>
              </m:e>
              <m:sup>
                <m:r>
                  <w:rPr>
                    <w:rFonts w:ascii="Cambria Math" w:hAnsi="Cambria Math"/>
                  </w:rPr>
                  <m:t>2</m:t>
                </m:r>
              </m:sup>
            </m:sSup>
          </m:den>
        </m:f>
        <m:r>
          <w:rPr>
            <w:rFonts w:ascii="Cambria Math" w:hAnsi="Cambria Math"/>
          </w:rPr>
          <m:t>=0</m:t>
        </m:r>
      </m:oMath>
      <w:r w:rsidRPr="00256BEA">
        <w:t>, </w:t>
      </w:r>
      <m:oMath>
        <m:r>
          <w:rPr>
            <w:rFonts w:ascii="Cambria Math" w:hAnsi="Cambria Math"/>
          </w:rPr>
          <m:t>M=</m:t>
        </m:r>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M</m:t>
            </m:r>
          </m:e>
          <m:sub>
            <m:r>
              <m:rPr>
                <m:sty m:val="p"/>
              </m:rPr>
              <w:rPr>
                <w:rFonts w:ascii="Cambria Math" w:hAnsi="Cambria Math"/>
              </w:rPr>
              <m:t>irr</m:t>
            </m:r>
            <m:r>
              <m:rPr>
                <m:sty m:val="p"/>
              </m:rPr>
              <w:rPr>
                <w:rFonts w:ascii="Cambria Math" w:hAnsi="Cambria Math"/>
              </w:rPr>
              <m:t xml:space="preserve"> </m:t>
            </m:r>
          </m:sub>
        </m:sSub>
      </m:oMath>
      <w:r w:rsidRPr="00256BEA">
        <w:t>: le moment cinétique est maximal </w:t>
      </w:r>
      <m:oMath>
        <m:r>
          <w:rPr>
            <w:rFonts w:ascii="Cambria Math" w:hAnsi="Cambria Math"/>
          </w:rPr>
          <m:t>(J=G</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/c)</m:t>
        </m:r>
      </m:oMath>
      <w:r w:rsidRPr="00256BEA">
        <w:t> et la masse irréductible est minimale </w:t>
      </w:r>
      <m:oMath>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irr</m:t>
            </m:r>
          </m:sub>
        </m:sSub>
        <m:r>
          <w:rPr>
            <w:rFonts w:ascii="Cambria Math" w:hAnsi="Cambria Math"/>
          </w:rPr>
          <m:t>=M/</m:t>
        </m:r>
        <m:rad>
          <m:radPr>
            <m:degHide m:val="1"/>
            <m:ctrlPr>
              <w:rPr>
                <w:rFonts w:ascii="Cambria Math" w:hAnsi="Cambria Math"/>
              </w:rPr>
            </m:ctrlPr>
          </m:radPr>
          <m:deg/>
          <m:e>
            <m:r>
              <w:rPr>
                <w:rFonts w:ascii="Cambria Math" w:hAnsi="Cambria Math"/>
              </w:rPr>
              <m:t>2</m:t>
            </m:r>
          </m:e>
        </m:rad>
        <m:r>
          <w:rPr>
            <w:rFonts w:ascii="Cambria Math" w:hAnsi="Cambria Math"/>
          </w:rPr>
          <m:t>)</m:t>
        </m:r>
      </m:oMath>
      <w:r w:rsidRPr="00256BEA">
        <w:t>.</w:t>
      </w:r>
    </w:p>
    <w:p w14:paraId="3D9155CA" w14:textId="7220F71F" w:rsidR="00256BEA" w:rsidRDefault="00256BEA" w:rsidP="00256BEA">
      <w:r w:rsidRPr="00256BEA">
        <w:t>Pour </w:t>
      </w:r>
      <m:oMath>
        <m:r>
          <w:rPr>
            <w:rFonts w:ascii="Cambria Math" w:hAnsi="Cambria Math"/>
          </w:rPr>
          <m:t>J=0</m:t>
        </m:r>
      </m:oMath>
      <w:r w:rsidRPr="00256BEA">
        <w:t>, </w:t>
      </w:r>
      <m:oMath>
        <m:r>
          <w:rPr>
            <w:rFonts w:ascii="Cambria Math" w:hAnsi="Cambria Math"/>
          </w:rPr>
          <m:t>M=</m:t>
        </m:r>
        <m:sSub>
          <m:sSubPr>
            <m:ctrlPr>
              <w:rPr>
                <w:rFonts w:ascii="Cambria Math" w:hAnsi="Cambria Math"/>
              </w:rPr>
            </m:ctrlPr>
          </m:sSubPr>
          <m:e>
            <m:r>
              <w:rPr>
                <w:rFonts w:ascii="Cambria Math" w:hAnsi="Cambria Math"/>
              </w:rPr>
              <m:t>M</m:t>
            </m:r>
          </m:e>
          <m:sub>
            <m:r>
              <m:rPr>
                <m:sty m:val="p"/>
              </m:rPr>
              <w:rPr>
                <w:rFonts w:ascii="Cambria Math" w:hAnsi="Cambria Math"/>
              </w:rPr>
              <m:t>irr</m:t>
            </m:r>
          </m:sub>
        </m:sSub>
      </m:oMath>
      <w:r w:rsidRPr="00256BEA">
        <w:t> : le trou noir est un </w:t>
      </w:r>
      <w:hyperlink r:id="rId9" w:tooltip="Trou noir de Schwarzschild" w:history="1">
        <w:r w:rsidRPr="00256BEA">
          <w:t xml:space="preserve">trou noir de </w:t>
        </w:r>
        <w:proofErr w:type="spellStart"/>
        <w:r w:rsidRPr="00256BEA">
          <w:t>Schwarzschild</w:t>
        </w:r>
        <w:proofErr w:type="spellEnd"/>
      </w:hyperlink>
      <w:r w:rsidRPr="00256BEA">
        <w:t>.</w:t>
      </w:r>
    </w:p>
    <w:p w14:paraId="79DD76E2" w14:textId="77777777" w:rsidR="00B71B6F" w:rsidRPr="00256BEA" w:rsidRDefault="00B71B6F" w:rsidP="00256BEA"/>
    <w:p w14:paraId="66C3270E" w14:textId="582B0755" w:rsidR="001904F9" w:rsidRPr="001904F9" w:rsidRDefault="00256BEA" w:rsidP="001904F9">
      <w:pPr>
        <w:pStyle w:val="Titre2"/>
      </w:pPr>
      <w:bookmarkStart w:id="3" w:name="_Toc211787427"/>
      <w:r w:rsidRPr="00256BEA">
        <w:t>Taux de rotation du trou noir et paramètre de spin</w:t>
      </w:r>
      <w:bookmarkEnd w:id="3"/>
    </w:p>
    <w:p w14:paraId="6C2B33EA" w14:textId="05C6D3D5" w:rsidR="00256BEA" w:rsidRPr="00256BEA" w:rsidRDefault="001904F9" w:rsidP="001904F9">
      <m:oMath>
        <m:r>
          <w:rPr>
            <w:rFonts w:ascii="Cambria Math" w:hAnsi="Cambria Math"/>
          </w:rPr>
          <m:t xml:space="preserve">a= </m:t>
        </m:r>
        <m:f>
          <m:fPr>
            <m:ctrlPr>
              <w:rPr>
                <w:rFonts w:ascii="Cambria Math" w:hAnsi="Cambria Math"/>
              </w:rPr>
            </m:ctrlPr>
          </m:fPr>
          <m:num>
            <m:r>
              <w:rPr>
                <w:rFonts w:ascii="Cambria Math" w:hAnsi="Cambria Math"/>
              </w:rPr>
              <m:t>cJ</m:t>
            </m:r>
          </m:num>
          <m:den>
            <m:r>
              <w:rPr>
                <w:rFonts w:ascii="Cambria Math" w:hAnsi="Cambria Math"/>
              </w:rPr>
              <m:t>GM</m:t>
            </m:r>
          </m:den>
        </m:f>
      </m:oMath>
      <w:r w:rsidR="00256BEA" w:rsidRPr="00256BEA">
        <w:t>, le rapport entre le </w:t>
      </w:r>
      <w:hyperlink r:id="rId10" w:tooltip="Moment cinétique" w:history="1">
        <w:r w:rsidR="00256BEA" w:rsidRPr="00256BEA">
          <w:t>moment cinétique</w:t>
        </w:r>
      </w:hyperlink>
      <w:r w:rsidR="00256BEA" w:rsidRPr="00256BEA">
        <w:t> et la </w:t>
      </w:r>
      <w:hyperlink r:id="rId11" w:tooltip="Masse" w:history="1">
        <w:r w:rsidR="00256BEA" w:rsidRPr="00256BEA">
          <w:t>masse</w:t>
        </w:r>
      </w:hyperlink>
      <w:r w:rsidR="00256BEA" w:rsidRPr="00256BEA">
        <w:t>, définit le taux de rotation du trou noir et a pour dimension une masse. </w:t>
      </w:r>
      <m:oMath>
        <m:r>
          <w:rPr>
            <w:rFonts w:ascii="Cambria Math" w:hAnsi="Cambria Math"/>
          </w:rPr>
          <m:t>a</m:t>
        </m:r>
      </m:oMath>
      <w:r w:rsidR="00256BEA" w:rsidRPr="00256BEA">
        <w:t> </w:t>
      </w:r>
      <w:proofErr w:type="gramStart"/>
      <w:r w:rsidR="00256BEA" w:rsidRPr="00256BEA">
        <w:t>ne</w:t>
      </w:r>
      <w:proofErr w:type="gramEnd"/>
      <w:r w:rsidR="00256BEA" w:rsidRPr="00256BEA">
        <w:t xml:space="preserve"> peut être supérieur à </w:t>
      </w:r>
      <m:oMath>
        <m:f>
          <m:fPr>
            <m:ctrlPr>
              <w:rPr>
                <w:rFonts w:ascii="Cambria Math" w:hAnsi="Cambria Math"/>
              </w:rPr>
            </m:ctrlPr>
          </m:fPr>
          <m:num>
            <m:r>
              <w:rPr>
                <w:rFonts w:ascii="Cambria Math" w:hAnsi="Cambria Math"/>
              </w:rPr>
              <m:t>GM</m:t>
            </m:r>
          </m:num>
          <m:den>
            <m:sSup>
              <m:sSupPr>
                <m:ctrlPr>
                  <w:rPr>
                    <w:rFonts w:ascii="Cambria Math" w:hAnsi="Cambria Math"/>
                  </w:rPr>
                </m:ctrlPr>
              </m:sSupPr>
              <m:e>
                <m:r>
                  <w:rPr>
                    <w:rFonts w:ascii="Cambria Math" w:hAnsi="Cambria Math"/>
                  </w:rPr>
                  <m:t>c</m:t>
                </m:r>
              </m:e>
              <m:sup>
                <m:r>
                  <w:rPr>
                    <w:rFonts w:ascii="Cambria Math" w:hAnsi="Cambria Math"/>
                  </w:rPr>
                  <m:t>2</m:t>
                </m:r>
              </m:sup>
            </m:sSup>
          </m:den>
        </m:f>
      </m:oMath>
      <w:r>
        <w:t>.</w:t>
      </w:r>
    </w:p>
    <w:p w14:paraId="50738687" w14:textId="5C7434CE" w:rsidR="00256BEA" w:rsidRDefault="00256BEA" w:rsidP="00256BEA">
      <w:r w:rsidRPr="00256BEA">
        <w:t>Le </w:t>
      </w:r>
      <w:r w:rsidRPr="00256BEA">
        <w:rPr>
          <w:i/>
          <w:iCs/>
        </w:rPr>
        <w:t>paramètre de spin</w:t>
      </w:r>
      <w:r w:rsidRPr="00256BEA">
        <w:t> </w:t>
      </w:r>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a</m:t>
            </m:r>
          </m:num>
          <m:den>
            <m:r>
              <w:rPr>
                <w:rFonts w:ascii="Cambria Math" w:hAnsi="Cambria Math"/>
              </w:rPr>
              <m:t>GM</m:t>
            </m:r>
          </m:den>
        </m:f>
      </m:oMath>
      <w:r w:rsidRPr="00256BEA">
        <w:t> est un paramètre sans dimension tel que </w:t>
      </w:r>
      <m:oMath>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≤1</m:t>
        </m:r>
      </m:oMath>
      <w:r w:rsidRPr="00256BEA">
        <w:t>, le signe représentant le sens de rotation.</w:t>
      </w:r>
    </w:p>
    <w:p w14:paraId="244FD227" w14:textId="77777777" w:rsidR="001904F9" w:rsidRDefault="001904F9" w:rsidP="00256BEA"/>
    <w:p w14:paraId="3BFD5517" w14:textId="7CCB235A" w:rsidR="00F01A98" w:rsidRPr="00F01A98" w:rsidRDefault="00F01A98" w:rsidP="00F01A98">
      <w:pPr>
        <w:pStyle w:val="Titre2"/>
      </w:pPr>
      <w:bookmarkStart w:id="4" w:name="_Toc211787428"/>
      <w:r w:rsidRPr="00F01A98">
        <w:t>Ergosphère externe</w:t>
      </w:r>
      <w:bookmarkEnd w:id="4"/>
    </w:p>
    <w:p w14:paraId="00B631D8" w14:textId="2482F1D3" w:rsidR="00F01A98" w:rsidRPr="00F01A98" w:rsidRDefault="00F01A98" w:rsidP="00F01A98">
      <w:r w:rsidRPr="00F01A98">
        <w:t>L'ergosphère externe est dite </w:t>
      </w:r>
      <w:r w:rsidRPr="00F01A98">
        <w:rPr>
          <w:i/>
          <w:iCs/>
        </w:rPr>
        <w:t>limite statique</w:t>
      </w:r>
      <w:r w:rsidRPr="00F01A98">
        <w:t> en ce sens que les particules qui la franchissent sont obligatoirement entraînées dans le sens de rotation du trou noir, autrement dit, elles y possèdent un moment angulaire de même signe que </w:t>
      </w:r>
      <m:oMath>
        <m:r>
          <w:rPr>
            <w:rFonts w:ascii="Cambria Math" w:hAnsi="Cambria Math"/>
          </w:rPr>
          <m:t>J</m:t>
        </m:r>
      </m:oMath>
      <w:r w:rsidRPr="00F01A98">
        <w:t>. Cet entraînement confère du moment cinétique et de l'</w:t>
      </w:r>
      <w:hyperlink r:id="rId12" w:tooltip="Énergie mécanique" w:history="1">
        <w:r w:rsidRPr="00F01A98">
          <w:t>énergie mécanique</w:t>
        </w:r>
      </w:hyperlink>
      <w:r w:rsidRPr="00F01A98">
        <w:t> à une particule qui pénètre dans l'ergosphère externe puis s'en échappe, de sorte que le trou noir voit son moment cinétique diminuer. C'est le </w:t>
      </w:r>
      <w:hyperlink r:id="rId13" w:tooltip="Processus de Penrose" w:history="1">
        <w:r w:rsidRPr="00F01A98">
          <w:t>processus de Penrose</w:t>
        </w:r>
      </w:hyperlink>
      <w:r w:rsidRPr="00F01A98">
        <w:t>, qui permet de pomper de l'énergie à un trou noir en rotation.</w:t>
      </w:r>
    </w:p>
    <w:p w14:paraId="68A2E0D1" w14:textId="77777777" w:rsidR="00F01A98" w:rsidRPr="00F01A98" w:rsidRDefault="00F01A98" w:rsidP="00F01A98">
      <w:r w:rsidRPr="00F01A98">
        <w:lastRenderedPageBreak/>
        <w:t>L'ergosphère externe est décrite par l'</w:t>
      </w:r>
      <w:hyperlink r:id="rId14" w:tooltip="Équation polaire" w:history="1">
        <w:r w:rsidRPr="00F01A98">
          <w:t>équation polaire</w:t>
        </w:r>
      </w:hyperlink>
      <w:r w:rsidRPr="00F01A98">
        <w:t> :</w:t>
      </w:r>
    </w:p>
    <w:p w14:paraId="4B97985B" w14:textId="3D1F63E6" w:rsidR="00F01A98" w:rsidRPr="00F01A98" w:rsidRDefault="00F01A98" w:rsidP="00F01A98">
      <m:oMathPara>
        <m:oMath>
          <m:sSub>
            <m:sSubPr>
              <m:ctrlPr>
                <w:rPr>
                  <w:rFonts w:ascii="Cambria Math" w:hAnsi="Cambria Math"/>
                </w:rPr>
              </m:ctrlPr>
            </m:sSubPr>
            <m:e>
              <m:r>
                <w:rPr>
                  <w:rFonts w:ascii="Cambria Math" w:hAnsi="Cambria Math"/>
                </w:rPr>
                <m:t>r</m:t>
              </m:r>
            </m:e>
            <m:sub>
              <m:r>
                <w:rPr>
                  <w:rFonts w:ascii="Cambria Math" w:hAnsi="Cambria Math"/>
                </w:rPr>
                <m:t>ergoext</m:t>
              </m:r>
            </m:sub>
          </m:sSub>
          <m:r>
            <w:rPr>
              <w:rFonts w:ascii="Cambria Math" w:hAnsi="Cambria Math"/>
            </w:rPr>
            <m:t>=m(1+</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m:t>
                  </m:r>
                </m:sub>
                <m:sup>
                  <m:r>
                    <w:rPr>
                      <w:rFonts w:ascii="Cambria Math" w:hAnsi="Cambria Math"/>
                    </w:rPr>
                    <m:t>2</m:t>
                  </m:r>
                </m:sup>
              </m:sSub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rad>
          <m:r>
            <w:rPr>
              <w:rFonts w:ascii="Cambria Math" w:hAnsi="Cambria Math"/>
            </w:rPr>
            <m:t>)</m:t>
          </m:r>
        </m:oMath>
      </m:oMathPara>
    </w:p>
    <w:p w14:paraId="11BCA59E" w14:textId="064AD0AC" w:rsidR="00F01A98" w:rsidRDefault="00F01A98" w:rsidP="00F01A98">
      <w:r w:rsidRPr="00F01A98">
        <w:t>Il s'agit d'un </w:t>
      </w:r>
      <w:hyperlink r:id="rId15" w:tooltip="Ellipsoïde de révolution" w:history="1">
        <w:r w:rsidRPr="00F01A98">
          <w:t>ellipsoïde de révolution</w:t>
        </w:r>
      </w:hyperlink>
      <w:r w:rsidRPr="00F01A98">
        <w:t> de petit axe </w:t>
      </w:r>
      <m:oMath>
        <m:sSub>
          <m:sSubPr>
            <m:ctrlPr>
              <w:rPr>
                <w:rFonts w:ascii="Cambria Math" w:hAnsi="Cambria Math"/>
              </w:rPr>
            </m:ctrlPr>
          </m:sSubPr>
          <m:e>
            <m:r>
              <w:rPr>
                <w:rFonts w:ascii="Cambria Math" w:hAnsi="Cambria Math"/>
              </w:rPr>
              <m:t>r</m:t>
            </m:r>
          </m:e>
          <m:sub>
            <m:r>
              <w:rPr>
                <w:rFonts w:ascii="Cambria Math" w:hAnsi="Cambria Math"/>
              </w:rPr>
              <m:t>h</m:t>
            </m:r>
          </m:sub>
        </m:sSub>
      </m:oMath>
      <w:r w:rsidRPr="00F01A98">
        <w:t> et de grand axe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w:rPr>
            <w:rFonts w:ascii="Cambria Math" w:hAnsi="Cambria Math"/>
          </w:rPr>
          <m:t>=2m</m:t>
        </m:r>
      </m:oMath>
      <w:r w:rsidRPr="00F01A98">
        <w:t>.</w:t>
      </w:r>
    </w:p>
    <w:p w14:paraId="099A3D9D" w14:textId="7513D9B3" w:rsidR="00F01A98" w:rsidRPr="00F01A98" w:rsidRDefault="00F01A98" w:rsidP="00F01A98"/>
    <w:p w14:paraId="0D2A479D" w14:textId="77777777" w:rsidR="00F01A98" w:rsidRPr="00F01A98" w:rsidRDefault="00F01A98" w:rsidP="00F01A98">
      <w:pPr>
        <w:pStyle w:val="Titre2"/>
      </w:pPr>
      <w:bookmarkStart w:id="5" w:name="_Toc211787429"/>
      <w:r w:rsidRPr="00F01A98">
        <w:t>Horizon des évènements</w:t>
      </w:r>
      <w:bookmarkEnd w:id="5"/>
    </w:p>
    <w:p w14:paraId="2A0A01C4" w14:textId="124C3437" w:rsidR="00F01A98" w:rsidRPr="00F01A98" w:rsidRDefault="00F01A98" w:rsidP="00F01A98">
      <w:r w:rsidRPr="00F01A98">
        <w:t>La présence de l'horizon des évènements ne dépend pas de la rotation du trou noir, c'est une caractéristique commune à tous les types de trous noirs qui représente finalement l'essence même de ce qu'est un </w:t>
      </w:r>
      <w:hyperlink r:id="rId16" w:tooltip="Trou noir" w:history="1">
        <w:r w:rsidRPr="00F01A98">
          <w:t>trou noir</w:t>
        </w:r>
      </w:hyperlink>
      <w:r w:rsidRPr="00F01A98">
        <w:t>. Les particules qui franchissent l'horizon des évènements tombent définitivement dans le trou noir sans possibilité de s'en échapper.</w:t>
      </w:r>
    </w:p>
    <w:p w14:paraId="5CF28ABA" w14:textId="17B8DAF8" w:rsidR="00F01A98" w:rsidRPr="00F01A98" w:rsidRDefault="00F01A98" w:rsidP="00F01A98">
      <w:r w:rsidRPr="00F01A98">
        <w:t>Dans le cas d'un trou noir de Kerr, le rayon de l'horizon des évènements est appelé le rayon de Kerr et s'écrit :</w:t>
      </w:r>
    </w:p>
    <w:p w14:paraId="5FC0E932" w14:textId="29B51E8F" w:rsidR="00F01A98" w:rsidRPr="00F01A98" w:rsidRDefault="00F01A98" w:rsidP="00F01A98">
      <m:oMath>
        <m:sSub>
          <m:sSubPr>
            <m:ctrlPr>
              <w:rPr>
                <w:rFonts w:ascii="Cambria Math" w:hAnsi="Cambria Math"/>
              </w:rPr>
            </m:ctrlPr>
          </m:sSubPr>
          <m:e>
            <m: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=m(1+</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m:t>
                </m:r>
              </m:sub>
              <m:sup>
                <m:r>
                  <w:rPr>
                    <w:rFonts w:ascii="Cambria Math" w:hAnsi="Cambria Math"/>
                  </w:rPr>
                  <m:t>2</m:t>
                </m:r>
              </m:sup>
            </m:sSubSup>
          </m:e>
        </m:rad>
        <m:r>
          <w:rPr>
            <w:rFonts w:ascii="Cambria Math" w:hAnsi="Cambria Math"/>
          </w:rPr>
          <m:t>)</m:t>
        </m:r>
      </m:oMath>
      <w:r w:rsidRPr="00F01A98">
        <w:t>,</w:t>
      </w:r>
    </w:p>
    <w:p w14:paraId="06BF0506" w14:textId="788ADB2B" w:rsidR="00F01A98" w:rsidRDefault="00F01A98" w:rsidP="00F01A98">
      <w:r w:rsidRPr="00F01A98">
        <w:t xml:space="preserve">La valeur du rayon de l'horizon du trou noir de Kerr est donc comprise entre la moitié du rayon de </w:t>
      </w:r>
      <w:proofErr w:type="spellStart"/>
      <w:r w:rsidRPr="00F01A98">
        <w:t>Schwarzschild</w:t>
      </w:r>
      <w:proofErr w:type="spellEnd"/>
      <w:r w:rsidRPr="00F01A98">
        <w:t>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=2m</m:t>
        </m:r>
      </m:oMath>
      <w:r w:rsidRPr="00F01A98">
        <w:t> (quand le moment angulaire est maximal, </w:t>
      </w:r>
      <m:oMath>
        <m:r>
          <w:rPr>
            <w:rFonts w:ascii="Cambria Math" w:hAnsi="Cambria Math"/>
          </w:rPr>
          <m:t>Jc=G.</m:t>
        </m:r>
        <m:sSup>
          <m:sSupPr>
            <m:ctrlPr>
              <w:rPr>
                <w:rFonts w:ascii="Cambria Math" w:hAnsi="Cambria Math"/>
              </w:rPr>
            </m:ctrlPr>
          </m:sSupPr>
          <m:e>
            <m:r>
              <w:rPr>
                <w:rFonts w:ascii="Cambria Math" w:hAnsi="Cambria Math"/>
              </w:rPr>
              <m:t>M</m:t>
            </m:r>
          </m:e>
          <m:sup>
            <m:r>
              <w:rPr>
                <w:rFonts w:ascii="Cambria Math" w:hAnsi="Cambria Math"/>
              </w:rPr>
              <m:t>2</m:t>
            </m:r>
          </m:sup>
        </m:sSup>
      </m:oMath>
      <w:r w:rsidRPr="00F01A98">
        <w:t>soit </w:t>
      </w:r>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=1</m:t>
        </m:r>
      </m:oMath>
      <w:r w:rsidRPr="00F01A98">
        <w:t>) et ledit rayon (moment angulaire nul, </w:t>
      </w:r>
      <m:oMath>
        <m:r>
          <w:rPr>
            <w:rFonts w:ascii="Cambria Math" w:hAnsi="Cambria Math"/>
          </w:rPr>
          <m:t>J=0</m:t>
        </m:r>
      </m:oMath>
      <w:r w:rsidRPr="00F01A98">
        <w:t> soit </w:t>
      </w:r>
      <m:oMath>
        <m:sSub>
          <m:sSubPr>
            <m:ctrlPr>
              <w:rPr>
                <w:rFonts w:ascii="Cambria Math" w:hAnsi="Cambria Math"/>
              </w:rPr>
            </m:ctrlPr>
          </m:sSubPr>
          <m:e>
            <m:r>
              <w:rPr>
                <w:rFonts w:ascii="Cambria Math" w:hAnsi="Cambria Math"/>
              </w:rPr>
              <m:t>a</m:t>
            </m:r>
          </m:e>
          <m:sub>
            <m:r>
              <w:rPr>
                <w:rFonts w:ascii="Cambria Math" w:hAnsi="Cambria Math"/>
              </w:rPr>
              <m:t>*</m:t>
            </m:r>
          </m:sub>
        </m:sSub>
        <m:r>
          <w:rPr>
            <w:rFonts w:ascii="Cambria Math" w:hAnsi="Cambria Math"/>
          </w:rPr>
          <m:t>=0</m:t>
        </m:r>
      </m:oMath>
      <w:r w:rsidRPr="00F01A98">
        <w:t>, cas du </w:t>
      </w:r>
      <w:hyperlink r:id="rId17" w:tooltip="Trou noir de Schwarzschild" w:history="1">
        <w:r w:rsidRPr="00F01A98">
          <w:t xml:space="preserve">trou noir de </w:t>
        </w:r>
        <w:proofErr w:type="spellStart"/>
        <w:r w:rsidRPr="00F01A98">
          <w:t>Schwarzschild</w:t>
        </w:r>
        <w:proofErr w:type="spellEnd"/>
      </w:hyperlink>
      <w:r w:rsidRPr="00F01A98">
        <w:t>).</w:t>
      </w:r>
    </w:p>
    <w:p w14:paraId="3209C211" w14:textId="32ECE940" w:rsidR="00F01A98" w:rsidRPr="00F01A98" w:rsidRDefault="00F01A98" w:rsidP="00F01A98"/>
    <w:p w14:paraId="69307332" w14:textId="77777777" w:rsidR="00F01A98" w:rsidRPr="00F01A98" w:rsidRDefault="00F01A98" w:rsidP="00F01A98">
      <w:pPr>
        <w:pStyle w:val="Titre2"/>
      </w:pPr>
      <w:bookmarkStart w:id="6" w:name="_Toc211787430"/>
      <w:r w:rsidRPr="00F01A98">
        <w:t>Horizon de Cauchy</w:t>
      </w:r>
      <w:bookmarkEnd w:id="6"/>
    </w:p>
    <w:p w14:paraId="02C031F7" w14:textId="0C5DBCE5" w:rsidR="00F01A98" w:rsidRPr="00F01A98" w:rsidRDefault="00F01A98" w:rsidP="00F01A98">
      <w:r w:rsidRPr="00F01A98">
        <w:t>Le rayon de l'horizon de Cauchy s'écrit :</w:t>
      </w:r>
    </w:p>
    <w:p w14:paraId="22497A51" w14:textId="308FDF88" w:rsidR="00F01A98" w:rsidRDefault="00F01A98" w:rsidP="00F01A98">
      <m:oMath>
        <m:sSub>
          <m:sSubPr>
            <m:ctrlPr>
              <w:rPr>
                <w:rFonts w:ascii="Cambria Math" w:hAnsi="Cambria Math"/>
              </w:rPr>
            </m:ctrlPr>
          </m:sSubPr>
          <m:e>
            <m: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Cauchy</m:t>
            </m:r>
          </m:sub>
        </m:sSub>
        <m:r>
          <w:rPr>
            <w:rFonts w:ascii="Cambria Math" w:hAnsi="Cambria Math"/>
          </w:rPr>
          <m:t>=m(1-</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m:t>
                </m:r>
              </m:sub>
              <m:sup>
                <m:r>
                  <w:rPr>
                    <w:rFonts w:ascii="Cambria Math" w:hAnsi="Cambria Math"/>
                  </w:rPr>
                  <m:t>2</m:t>
                </m:r>
              </m:sup>
            </m:sSubSup>
          </m:e>
        </m:rad>
        <m:r>
          <w:rPr>
            <w:rFonts w:ascii="Cambria Math" w:hAnsi="Cambria Math"/>
          </w:rPr>
          <m:t>)</m:t>
        </m:r>
      </m:oMath>
      <w:r w:rsidRPr="00F01A98">
        <w:t>.</w:t>
      </w:r>
    </w:p>
    <w:p w14:paraId="1E41AB89" w14:textId="77777777" w:rsidR="00F01A98" w:rsidRPr="00F01A98" w:rsidRDefault="00F01A98" w:rsidP="00F01A98"/>
    <w:p w14:paraId="77E647FF" w14:textId="77777777" w:rsidR="00F01A98" w:rsidRPr="00F01A98" w:rsidRDefault="00F01A98" w:rsidP="00F01A98">
      <w:pPr>
        <w:pStyle w:val="Titre2"/>
      </w:pPr>
      <w:bookmarkStart w:id="7" w:name="_Toc211787431"/>
      <w:r w:rsidRPr="00F01A98">
        <w:t>Ergosphère interne</w:t>
      </w:r>
      <w:bookmarkEnd w:id="7"/>
    </w:p>
    <w:p w14:paraId="5864F8EC" w14:textId="77777777" w:rsidR="00F01A98" w:rsidRPr="00F01A98" w:rsidRDefault="00F01A98" w:rsidP="00F01A98">
      <w:r w:rsidRPr="00F01A98">
        <w:t>Le rayon de l'ergosphère interne s'écrit :</w:t>
      </w:r>
    </w:p>
    <w:p w14:paraId="34AE562B" w14:textId="6FDF225E" w:rsidR="00F01A98" w:rsidRDefault="00F01A98" w:rsidP="00F01A98">
      <m:oMath>
        <m:sSub>
          <m:sSubPr>
            <m:ctrlPr>
              <w:rPr>
                <w:rFonts w:ascii="Cambria Math" w:hAnsi="Cambria Math"/>
              </w:rPr>
            </m:ctrlPr>
          </m:sSubPr>
          <m:e>
            <m:r>
              <w:rPr>
                <w:rFonts w:ascii="Cambria Math" w:hAnsi="Cambria Math"/>
              </w:rPr>
              <m:t>r</m:t>
            </m:r>
          </m:e>
          <m:sub>
            <m:r>
              <w:rPr>
                <w:rFonts w:ascii="Cambria Math" w:hAnsi="Cambria Math"/>
              </w:rPr>
              <m:t>ergoint</m:t>
            </m:r>
          </m:sub>
        </m:sSub>
        <m:r>
          <w:rPr>
            <w:rFonts w:ascii="Cambria Math" w:hAnsi="Cambria Math"/>
          </w:rPr>
          <m:t>=m(1-</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a</m:t>
                </m:r>
              </m:e>
              <m:sub>
                <m:r>
                  <w:rPr>
                    <w:rFonts w:ascii="Cambria Math" w:hAnsi="Cambria Math"/>
                  </w:rPr>
                  <m:t>*</m:t>
                </m:r>
              </m:sub>
              <m:sup>
                <m:r>
                  <w:rPr>
                    <w:rFonts w:ascii="Cambria Math" w:hAnsi="Cambria Math"/>
                  </w:rPr>
                  <m:t>2</m:t>
                </m:r>
              </m:sup>
            </m:sSubSup>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m:t>
            </m:r>
          </m:e>
        </m:rad>
        <m:r>
          <w:rPr>
            <w:rFonts w:ascii="Cambria Math" w:hAnsi="Cambria Math"/>
          </w:rPr>
          <m:t>)</m:t>
        </m:r>
      </m:oMath>
      <w:r w:rsidRPr="00F01A98">
        <w:t>.</w:t>
      </w:r>
    </w:p>
    <w:p w14:paraId="65D508A8" w14:textId="77777777" w:rsidR="00F01A98" w:rsidRPr="00F01A98" w:rsidRDefault="00F01A98" w:rsidP="00F01A98"/>
    <w:p w14:paraId="1F2C80B2" w14:textId="095C2E4A" w:rsidR="00F01A98" w:rsidRPr="00F01A98" w:rsidRDefault="00F01A98" w:rsidP="00F01A98">
      <w:pPr>
        <w:pStyle w:val="Titre2"/>
      </w:pPr>
      <w:bookmarkStart w:id="8" w:name="_Toc211787432"/>
      <w:r w:rsidRPr="00F01A98">
        <w:t>Singularité annulaire</w:t>
      </w:r>
      <w:bookmarkEnd w:id="8"/>
    </w:p>
    <w:p w14:paraId="0951F4AC" w14:textId="0936156E" w:rsidR="00F01A98" w:rsidRPr="00F01A98" w:rsidRDefault="00F01A98" w:rsidP="00F01A98">
      <w:r w:rsidRPr="00F01A98">
        <w:t>Un trou noir de Kerr est associé à une singularité dite singularité de Kerr</w:t>
      </w:r>
      <w:r w:rsidRPr="00F01A98">
        <w:t xml:space="preserve"> </w:t>
      </w:r>
      <w:r w:rsidRPr="00F01A98">
        <w:t>dont la particularité est d'être, d'une part, annulaire (sa topologie est celle d'un anneau de rayon </w:t>
      </w:r>
      <m:oMath>
        <m:r>
          <m:rPr>
            <m:sty m:val="p"/>
          </m:rPr>
          <w:rPr>
            <w:rFonts w:ascii="Cambria Math" w:hAnsi="Cambria Math"/>
          </w:rPr>
          <m:t>|</m:t>
        </m:r>
        <m:r>
          <w:rPr>
            <w:rFonts w:ascii="Cambria Math" w:hAnsi="Cambria Math"/>
          </w:rPr>
          <m:t>a</m:t>
        </m:r>
        <m:r>
          <m:rPr>
            <m:sty m:val="p"/>
          </m:rPr>
          <w:rPr>
            <w:rFonts w:ascii="Cambria Math" w:hAnsi="Cambria Math"/>
          </w:rPr>
          <m:t>|</m:t>
        </m:r>
      </m:oMath>
      <w:r w:rsidRPr="00F01A98">
        <w:t> situé dans le plan équatorial et bordant l'ergosphère interne) et, d'autre part, du </w:t>
      </w:r>
      <w:hyperlink r:id="rId18" w:anchor="Genre_espace_et_genre_temps" w:history="1">
        <w:r w:rsidRPr="00F01A98">
          <w:t>genre temps</w:t>
        </w:r>
      </w:hyperlink>
    </w:p>
    <w:p w14:paraId="7EBA1A05" w14:textId="77777777" w:rsidR="001904F9" w:rsidRDefault="001904F9" w:rsidP="00256BEA"/>
    <w:p w14:paraId="6C306BF5" w14:textId="77777777" w:rsidR="00D44A07" w:rsidRDefault="00D44A07" w:rsidP="00256BEA"/>
    <w:p w14:paraId="60128673" w14:textId="77777777" w:rsidR="00D44A07" w:rsidRDefault="00D44A07" w:rsidP="00256BEA"/>
    <w:p w14:paraId="03F0DBD2" w14:textId="77777777" w:rsidR="00D44A07" w:rsidRDefault="00D44A07" w:rsidP="00256BEA"/>
    <w:p w14:paraId="586E16D9" w14:textId="77777777" w:rsidR="00D44A07" w:rsidRPr="00256BEA" w:rsidRDefault="00D44A07" w:rsidP="00256BEA"/>
    <w:p w14:paraId="45644389" w14:textId="1ACF3627" w:rsidR="00D44A07" w:rsidRPr="00D44A07" w:rsidRDefault="00D44A07" w:rsidP="00D44A07">
      <w:pPr>
        <w:pStyle w:val="Titre1"/>
      </w:pPr>
      <w:bookmarkStart w:id="9" w:name="_Toc211787433"/>
      <w:r w:rsidRPr="00D44A07">
        <w:lastRenderedPageBreak/>
        <w:t>Mesure expérimentale du spin d'un trou noir</w:t>
      </w:r>
      <w:bookmarkEnd w:id="9"/>
    </w:p>
    <w:p w14:paraId="6AFF11A4" w14:textId="186E6D13" w:rsidR="00D44A07" w:rsidRPr="00D44A07" w:rsidRDefault="00D44A07" w:rsidP="00D44A07">
      <w:r w:rsidRPr="00D44A07">
        <w:drawing>
          <wp:anchor distT="0" distB="0" distL="114300" distR="114300" simplePos="0" relativeHeight="251659264" behindDoc="0" locked="0" layoutInCell="1" allowOverlap="1" wp14:anchorId="58F3A221" wp14:editId="578592C0">
            <wp:simplePos x="0" y="0"/>
            <wp:positionH relativeFrom="column">
              <wp:posOffset>2826385</wp:posOffset>
            </wp:positionH>
            <wp:positionV relativeFrom="paragraph">
              <wp:posOffset>48895</wp:posOffset>
            </wp:positionV>
            <wp:extent cx="3276600" cy="2455545"/>
            <wp:effectExtent l="0" t="0" r="0" b="1905"/>
            <wp:wrapSquare wrapText="bothSides"/>
            <wp:docPr id="1703987636" name="Image 8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76600" cy="2455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44A07">
        <w:t>Depuis </w:t>
      </w:r>
      <w:hyperlink r:id="rId21" w:tooltip="2006" w:history="1">
        <w:r w:rsidRPr="00D44A07">
          <w:t>2006</w:t>
        </w:r>
      </w:hyperlink>
      <w:r w:rsidRPr="00D44A07">
        <w:t>, il est possible de mesurer expérimentalement le paramètre de spin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rsidRPr="00D44A07">
        <w:t xml:space="preserve"> de certains trous noirs. Estimer le spin d'un trou noir est beaucoup plus difficile que d'estimer sa masse, car l'effet de la rotation du trou noir ne peut être mesuré que par </w:t>
      </w:r>
      <w:r w:rsidRPr="00D44A07">
        <w:t>son effet sur</w:t>
      </w:r>
      <w:r w:rsidRPr="00D44A07">
        <w:t xml:space="preserve"> de la matière observable à proximité du trou noir, comme un </w:t>
      </w:r>
      <w:hyperlink r:id="rId22" w:tooltip="Disque d'accrétion" w:history="1">
        <w:r w:rsidRPr="00D44A07">
          <w:t>disque d'accrétion</w:t>
        </w:r>
      </w:hyperlink>
      <w:r w:rsidRPr="00D44A07">
        <w:t> par exemple.</w:t>
      </w:r>
    </w:p>
    <w:p w14:paraId="5654AC79" w14:textId="50A21914" w:rsidR="00D44A07" w:rsidRPr="00D44A07" w:rsidRDefault="00D44A07" w:rsidP="00D44A07">
      <w:r w:rsidRPr="00D44A07">
        <w:t>L'estimation du paramètre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rsidRPr="00D44A07">
        <w:t> est réalisée en mesurant le rayon de la </w:t>
      </w:r>
      <w:hyperlink r:id="rId23" w:tooltip="Dernière orbite circulaire stable" w:history="1">
        <w:r w:rsidRPr="00D44A07">
          <w:t>dernière orbite circulaire stable</w:t>
        </w:r>
      </w:hyperlink>
      <w:r w:rsidRPr="00D44A07">
        <w:t> (</w:t>
      </w:r>
      <m:oMath>
        <m:sSub>
          <m:sSubPr>
            <m:ctrlPr>
              <w:rPr>
                <w:rFonts w:ascii="Cambria Math" w:hAnsi="Cambria Math"/>
              </w:rPr>
            </m:ctrlPr>
          </m:sSubPr>
          <m:e>
            <m:r>
              <w:rPr>
                <w:rFonts w:ascii="Cambria Math" w:hAnsi="Cambria Math"/>
              </w:rPr>
              <m:t>R</m:t>
            </m:r>
          </m:e>
          <m:sub>
            <m:r>
              <w:rPr>
                <w:rFonts w:ascii="Cambria Math" w:hAnsi="Cambria Math"/>
              </w:rPr>
              <m:t>ISCO</m:t>
            </m:r>
          </m:sub>
        </m:sSub>
      </m:oMath>
      <w:r w:rsidRPr="00D44A07">
        <w:t> pour </w:t>
      </w:r>
      <w:proofErr w:type="spellStart"/>
      <w:r w:rsidRPr="00D44A07">
        <w:t>Innermost</w:t>
      </w:r>
      <w:proofErr w:type="spellEnd"/>
      <w:r w:rsidRPr="00D44A07">
        <w:t xml:space="preserve"> Stable </w:t>
      </w:r>
      <w:proofErr w:type="spellStart"/>
      <w:r w:rsidRPr="00D44A07">
        <w:t>Circular</w:t>
      </w:r>
      <w:proofErr w:type="spellEnd"/>
      <w:r w:rsidRPr="00D44A07">
        <w:t xml:space="preserve"> </w:t>
      </w:r>
      <w:proofErr w:type="spellStart"/>
      <w:r w:rsidRPr="00D44A07">
        <w:t>Orbit</w:t>
      </w:r>
      <w:proofErr w:type="spellEnd"/>
      <w:r w:rsidRPr="00D44A07">
        <w:t>). La formule théorique donnant ce rayon, pour une masse du trou noir donnée, ne dépend que de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rsidRPr="00D44A07">
        <w:t> et la relation entre les deux est directe. </w:t>
      </w:r>
      <m:oMath>
        <m:sSub>
          <m:sSubPr>
            <m:ctrlPr>
              <w:rPr>
                <w:rFonts w:ascii="Cambria Math" w:hAnsi="Cambria Math"/>
              </w:rPr>
            </m:ctrlPr>
          </m:sSubPr>
          <m:e>
            <m:r>
              <w:rPr>
                <w:rFonts w:ascii="Cambria Math" w:hAnsi="Cambria Math"/>
              </w:rPr>
              <m:t>R</m:t>
            </m:r>
          </m:e>
          <m:sub>
            <m:r>
              <w:rPr>
                <w:rFonts w:ascii="Cambria Math" w:hAnsi="Cambria Math"/>
              </w:rPr>
              <m:t>ISCO</m:t>
            </m:r>
          </m:sub>
        </m:sSub>
      </m:oMath>
      <w:r w:rsidRPr="00D44A07">
        <w:t> est lui-même déterminé en mesurant le spectre des </w:t>
      </w:r>
      <w:hyperlink r:id="rId24" w:tooltip="Rayons X" w:history="1">
        <w:r w:rsidRPr="00D44A07">
          <w:t>rayons X</w:t>
        </w:r>
      </w:hyperlink>
      <w:r w:rsidRPr="00D44A07">
        <w:t> émis dans le disque d'accrétion par des </w:t>
      </w:r>
      <w:hyperlink r:id="rId25" w:tooltip="Binaire X" w:history="1">
        <w:r w:rsidRPr="00D44A07">
          <w:t>binaires X</w:t>
        </w:r>
      </w:hyperlink>
      <w:r w:rsidRPr="00D44A07">
        <w:t>, des étoiles orbitant autour d'un trou noir, ainsi que par la </w:t>
      </w:r>
      <w:hyperlink r:id="rId26" w:tooltip="Luminosité d'accrétion" w:history="1">
        <w:r w:rsidRPr="00D44A07">
          <w:t>luminosité</w:t>
        </w:r>
      </w:hyperlink>
      <w:r w:rsidRPr="00D44A07">
        <w:t> de ces émissions. Ce spectre est comparé à celui donné par un modèle théorique d'accrétion (</w:t>
      </w:r>
      <w:proofErr w:type="spellStart"/>
      <w:r w:rsidRPr="00D44A07">
        <w:t>Idealized</w:t>
      </w:r>
      <w:proofErr w:type="spellEnd"/>
      <w:r w:rsidRPr="00D44A07">
        <w:t xml:space="preserve"> </w:t>
      </w:r>
      <w:proofErr w:type="spellStart"/>
      <w:r w:rsidRPr="00D44A07">
        <w:rPr>
          <w:i/>
          <w:iCs/>
        </w:rPr>
        <w:t>Thin</w:t>
      </w:r>
      <w:proofErr w:type="spellEnd"/>
      <w:r w:rsidRPr="00D44A07">
        <w:rPr>
          <w:i/>
          <w:iCs/>
        </w:rPr>
        <w:t xml:space="preserve"> Disk Model</w:t>
      </w:r>
      <w:r w:rsidRPr="00D44A07">
        <w:t>), et les paramètres dont </w:t>
      </w:r>
      <m:oMath>
        <m:sSub>
          <m:sSubPr>
            <m:ctrlPr>
              <w:rPr>
                <w:rFonts w:ascii="Cambria Math" w:hAnsi="Cambria Math"/>
              </w:rPr>
            </m:ctrlPr>
          </m:sSubPr>
          <m:e>
            <m:r>
              <w:rPr>
                <w:rFonts w:ascii="Cambria Math" w:hAnsi="Cambria Math"/>
              </w:rPr>
              <m:t>R</m:t>
            </m:r>
          </m:e>
          <m:sub>
            <m:r>
              <w:rPr>
                <w:rFonts w:ascii="Cambria Math" w:hAnsi="Cambria Math"/>
              </w:rPr>
              <m:t>ISCO</m:t>
            </m:r>
          </m:sub>
        </m:sSub>
      </m:oMath>
      <w:r w:rsidRPr="00D44A07">
        <w:t> sont ajustés pour réaliser la meilleure corrélation entre le spectre et la luminosité mesurés, et le modèle. Pour une masse de trou noir d'une dizaine de </w:t>
      </w:r>
      <w:hyperlink r:id="rId27" w:tooltip="Masse solaire" w:history="1">
        <w:r w:rsidRPr="00D44A07">
          <w:t>masses solaires</w:t>
        </w:r>
      </w:hyperlink>
      <w:r w:rsidRPr="00D44A07">
        <w:t>, </w:t>
      </w:r>
      <m:oMath>
        <m:sSub>
          <m:sSubPr>
            <m:ctrlPr>
              <w:rPr>
                <w:rFonts w:ascii="Cambria Math" w:hAnsi="Cambria Math"/>
              </w:rPr>
            </m:ctrlPr>
          </m:sSubPr>
          <m:e>
            <m:r>
              <w:rPr>
                <w:rFonts w:ascii="Cambria Math" w:hAnsi="Cambria Math"/>
              </w:rPr>
              <m:t>R</m:t>
            </m:r>
          </m:e>
          <m:sub>
            <m:r>
              <w:rPr>
                <w:rFonts w:ascii="Cambria Math" w:hAnsi="Cambria Math"/>
              </w:rPr>
              <m:t>ISCO</m:t>
            </m:r>
          </m:sub>
        </m:sSub>
      </m:oMath>
      <w:r w:rsidRPr="00D44A07">
        <w:t> peut varier entre 15 km pour </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|=1</m:t>
        </m:r>
      </m:oMath>
      <w:r w:rsidRPr="00D44A07">
        <w:t> et 90 km pour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=0</m:t>
        </m:r>
      </m:oMath>
      <w:r w:rsidRPr="00D44A07">
        <w:t>, variabilité suffisamment grande pour influencer notablement le spectre</w:t>
      </w:r>
      <w:hyperlink r:id="rId28" w:anchor="cite_note-spin-64" w:history="1"/>
      <w:r w:rsidRPr="00D44A07">
        <w:t>.</w:t>
      </w:r>
    </w:p>
    <w:p w14:paraId="09698D61" w14:textId="06F61E10" w:rsidR="00D44A07" w:rsidRPr="00D44A07" w:rsidRDefault="00D44A07" w:rsidP="00D44A07">
      <w:r w:rsidRPr="00D44A07">
        <w:t>Certains trous noirs semblent en rotation extrêmement rapide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rsidRPr="00D44A07">
        <w:t> proche de 1), comme </w:t>
      </w:r>
      <w:hyperlink r:id="rId29" w:tooltip="GRS 1915+105" w:history="1">
        <w:r w:rsidRPr="00D44A07">
          <w:t>GRS 1915+105</w:t>
        </w:r>
      </w:hyperlink>
      <w:r w:rsidRPr="00D44A07">
        <w:t>.</w:t>
      </w:r>
    </w:p>
    <w:tbl>
      <w:tblPr>
        <w:tblW w:w="0" w:type="auto"/>
        <w:tblInd w:w="-5" w:type="dxa"/>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492"/>
        <w:gridCol w:w="2960"/>
        <w:gridCol w:w="1028"/>
      </w:tblGrid>
      <w:tr w:rsidR="00D44A07" w:rsidRPr="00D44A07" w14:paraId="0CCC8786" w14:textId="77777777" w:rsidTr="00D44A07">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6DD22CFB" w14:textId="77777777" w:rsidR="00D44A07" w:rsidRPr="00D44A07" w:rsidRDefault="00D44A07" w:rsidP="00D44A07">
            <w:pPr>
              <w:rPr>
                <w:b/>
                <w:bCs/>
              </w:rPr>
            </w:pPr>
            <w:hyperlink r:id="rId30" w:tooltip="Binaire X" w:history="1">
              <w:r w:rsidRPr="00D44A07">
                <w:rPr>
                  <w:b/>
                  <w:bCs/>
                </w:rPr>
                <w:t>Binaire X</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33147A84" w14:textId="7F9A0860" w:rsidR="00D44A07" w:rsidRPr="00D44A07" w:rsidRDefault="00D44A07" w:rsidP="00D44A07">
            <w:pPr>
              <w:rPr>
                <w:b/>
                <w:bCs/>
              </w:rPr>
            </w:pPr>
            <w:r w:rsidRPr="00D44A07">
              <w:rPr>
                <w:b/>
                <w:bCs/>
              </w:rPr>
              <w:t>Masse du trou noir (</w:t>
            </w:r>
            <m:oMath>
              <m:sSub>
                <m:sSubPr>
                  <m:ctrlPr>
                    <w:rPr>
                      <w:rFonts w:ascii="Cambria Math" w:hAnsi="Cambria Math"/>
                      <w:b/>
                      <w:bCs/>
                    </w:rPr>
                  </m:ctrlPr>
                </m:sSubPr>
                <m:e>
                  <m:r>
                    <m:rPr>
                      <m:sty m:val="bi"/>
                    </m:rPr>
                    <w:rPr>
                      <w:rFonts w:ascii="Cambria Math" w:hAnsi="Cambria Math"/>
                    </w:rPr>
                    <m:t>M</m:t>
                  </m:r>
                </m:e>
                <m:sub>
                  <m:r>
                    <m:rPr>
                      <m:sty m:val="b"/>
                    </m:rPr>
                    <w:rPr>
                      <w:rFonts w:ascii="Cambria Math" w:hAnsi="Cambria Math"/>
                    </w:rPr>
                    <m:t>⊙</m:t>
                  </m:r>
                </m:sub>
              </m:sSub>
            </m:oMath>
            <w:r w:rsidRPr="00D44A07">
              <w:rPr>
                <w:b/>
                <w:bCs/>
              </w:rPr>
              <mc:AlternateContent>
                <mc:Choice Requires="wps">
                  <w:drawing>
                    <wp:inline distT="0" distB="0" distL="0" distR="0" wp14:anchorId="1A0853AF" wp14:editId="1EFBC0E5">
                      <wp:extent cx="304800" cy="304800"/>
                      <wp:effectExtent l="0" t="0" r="0" b="0"/>
                      <wp:docPr id="219386470" name="Rectangle 77" descr="{\displaystyle M_{\odo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7B72C" id="Rectangle 77" o:spid="_x0000_s1026" alt="{\displaystyle M_{\odo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44A07">
              <w:rPr>
                <w:b/>
                <w:bCs/>
              </w:rPr>
              <w:t>)</w:t>
            </w:r>
          </w:p>
        </w:tc>
        <w:tc>
          <w:tcPr>
            <w:tcW w:w="0" w:type="auto"/>
            <w:tcBorders>
              <w:top w:val="single" w:sz="4" w:space="0" w:color="A2A9B1"/>
              <w:left w:val="single" w:sz="4" w:space="0" w:color="A2A9B1"/>
              <w:bottom w:val="single" w:sz="4" w:space="0" w:color="A2A9B1"/>
              <w:right w:val="single" w:sz="4" w:space="0" w:color="A2A9B1"/>
            </w:tcBorders>
            <w:shd w:val="clear" w:color="auto" w:fill="E6E6E6"/>
            <w:tcMar>
              <w:top w:w="48" w:type="dxa"/>
              <w:left w:w="96" w:type="dxa"/>
              <w:bottom w:w="48" w:type="dxa"/>
              <w:right w:w="96" w:type="dxa"/>
            </w:tcMar>
            <w:vAlign w:val="center"/>
            <w:hideMark/>
          </w:tcPr>
          <w:p w14:paraId="33ACF1FF" w14:textId="7CC98DE0" w:rsidR="00D44A07" w:rsidRPr="00D44A07" w:rsidRDefault="00D44A07" w:rsidP="00D44A07">
            <w:pPr>
              <w:rPr>
                <w:b/>
                <w:bCs/>
              </w:rPr>
            </w:pPr>
            <m:oMath>
              <m:sSub>
                <m:sSubPr>
                  <m:ctrlPr>
                    <w:rPr>
                      <w:rFonts w:ascii="Cambria Math" w:hAnsi="Cambria Math"/>
                      <w:b/>
                      <w:bCs/>
                    </w:rPr>
                  </m:ctrlPr>
                </m:sSubPr>
                <m:e>
                  <m:r>
                    <m:rPr>
                      <m:sty m:val="bi"/>
                    </m:rPr>
                    <w:rPr>
                      <w:rFonts w:ascii="Cambria Math" w:hAnsi="Cambria Math"/>
                    </w:rPr>
                    <m:t>a</m:t>
                  </m:r>
                </m:e>
                <m:sub>
                  <m:r>
                    <m:rPr>
                      <m:sty m:val="b"/>
                    </m:rPr>
                    <w:rPr>
                      <w:rFonts w:ascii="Cambria Math" w:hAnsi="Cambria Math"/>
                    </w:rPr>
                    <m:t>*</m:t>
                  </m:r>
                </m:sub>
              </m:sSub>
            </m:oMath>
            <w:r w:rsidRPr="00D44A07">
              <w:rPr>
                <w:b/>
                <w:bCs/>
              </w:rPr>
              <mc:AlternateContent>
                <mc:Choice Requires="wps">
                  <w:drawing>
                    <wp:inline distT="0" distB="0" distL="0" distR="0" wp14:anchorId="4C7F2967" wp14:editId="673B9771">
                      <wp:extent cx="304800" cy="304800"/>
                      <wp:effectExtent l="0" t="0" r="0" b="0"/>
                      <wp:docPr id="1403215392" name="Rectangle 76" descr="{\displaystyle a_{\as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1BEDE" id="Rectangle 76" o:spid="_x0000_s1026" alt="{\displaystyle a_{\as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D44A07" w:rsidRPr="00D44A07" w14:paraId="2CE6762F" w14:textId="77777777" w:rsidTr="00D44A07">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D77E8E3" w14:textId="77777777" w:rsidR="00D44A07" w:rsidRPr="00D44A07" w:rsidRDefault="00D44A07" w:rsidP="00D44A07">
            <w:hyperlink r:id="rId31" w:tooltip="4U 1543-47 (page inexistante)" w:history="1">
              <w:r w:rsidRPr="00D44A07">
                <w:t>4U 1543-47</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C2E11B3" w14:textId="77777777" w:rsidR="00D44A07" w:rsidRPr="00D44A07" w:rsidRDefault="00D44A07" w:rsidP="00D44A07">
            <w:r w:rsidRPr="00D44A07">
              <w:t>9.4 ± 1</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E69D393" w14:textId="77777777" w:rsidR="00D44A07" w:rsidRPr="00D44A07" w:rsidRDefault="00D44A07" w:rsidP="00D44A07">
            <w:r w:rsidRPr="00D44A07">
              <w:t>0.7 - 0.85</w:t>
            </w:r>
          </w:p>
        </w:tc>
      </w:tr>
      <w:tr w:rsidR="00D44A07" w:rsidRPr="00D44A07" w14:paraId="42AFBB63" w14:textId="77777777" w:rsidTr="00D44A07">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2050C35D" w14:textId="77777777" w:rsidR="00D44A07" w:rsidRPr="00D44A07" w:rsidRDefault="00D44A07" w:rsidP="00D44A07">
            <w:hyperlink r:id="rId32" w:tooltip="GRO J1655-40" w:history="1">
              <w:r w:rsidRPr="00D44A07">
                <w:t>GRO J1655-40</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55639BE7" w14:textId="77777777" w:rsidR="00D44A07" w:rsidRPr="00D44A07" w:rsidRDefault="00D44A07" w:rsidP="00D44A07">
            <w:r w:rsidRPr="00D44A07">
              <w:t>6.3 ± 0.27</w:t>
            </w:r>
          </w:p>
        </w:tc>
        <w:tc>
          <w:tcPr>
            <w:tcW w:w="0" w:type="auto"/>
            <w:tcBorders>
              <w:top w:val="single" w:sz="4" w:space="0" w:color="A2A9B1"/>
              <w:left w:val="single" w:sz="4" w:space="0" w:color="A2A9B1"/>
              <w:bottom w:val="single" w:sz="4" w:space="0" w:color="A2A9B1"/>
              <w:right w:val="single" w:sz="4" w:space="0" w:color="A2A9B1"/>
            </w:tcBorders>
            <w:shd w:val="clear" w:color="auto" w:fill="EEEEEE"/>
            <w:tcMar>
              <w:top w:w="48" w:type="dxa"/>
              <w:left w:w="96" w:type="dxa"/>
              <w:bottom w:w="48" w:type="dxa"/>
              <w:right w:w="96" w:type="dxa"/>
            </w:tcMar>
            <w:vAlign w:val="center"/>
            <w:hideMark/>
          </w:tcPr>
          <w:p w14:paraId="6960D3F1" w14:textId="77777777" w:rsidR="00D44A07" w:rsidRPr="00D44A07" w:rsidRDefault="00D44A07" w:rsidP="00D44A07">
            <w:r w:rsidRPr="00D44A07">
              <w:t>0.65 - 0.8</w:t>
            </w:r>
          </w:p>
        </w:tc>
      </w:tr>
      <w:tr w:rsidR="00D44A07" w:rsidRPr="00D44A07" w14:paraId="1E146E24" w14:textId="77777777" w:rsidTr="00D44A07">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6AB4A1F3" w14:textId="77777777" w:rsidR="00D44A07" w:rsidRPr="00D44A07" w:rsidRDefault="00D44A07" w:rsidP="00D44A07">
            <w:hyperlink r:id="rId33" w:tooltip="GRS 1915+105" w:history="1">
              <w:r w:rsidRPr="00D44A07">
                <w:t>GRS 1915+105</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2EB5D114" w14:textId="77777777" w:rsidR="00D44A07" w:rsidRPr="00D44A07" w:rsidRDefault="00D44A07" w:rsidP="00D44A07">
            <w:r w:rsidRPr="00D44A07">
              <w:t>14 ± 4.4</w:t>
            </w:r>
          </w:p>
        </w:tc>
        <w:tc>
          <w:tcPr>
            <w:tcW w:w="0" w:type="auto"/>
            <w:tcBorders>
              <w:top w:val="single" w:sz="4" w:space="0" w:color="A2A9B1"/>
              <w:left w:val="single" w:sz="4" w:space="0" w:color="A2A9B1"/>
              <w:bottom w:val="single" w:sz="4" w:space="0" w:color="A2A9B1"/>
              <w:right w:val="single" w:sz="4" w:space="0" w:color="A2A9B1"/>
            </w:tcBorders>
            <w:shd w:val="clear" w:color="auto" w:fill="FFFFFF"/>
            <w:tcMar>
              <w:top w:w="48" w:type="dxa"/>
              <w:left w:w="96" w:type="dxa"/>
              <w:bottom w:w="48" w:type="dxa"/>
              <w:right w:w="96" w:type="dxa"/>
            </w:tcMar>
            <w:vAlign w:val="center"/>
            <w:hideMark/>
          </w:tcPr>
          <w:p w14:paraId="1022B207" w14:textId="77777777" w:rsidR="00D44A07" w:rsidRPr="00D44A07" w:rsidRDefault="00D44A07" w:rsidP="00D44A07">
            <w:r w:rsidRPr="00D44A07">
              <w:t>0.98 - 1</w:t>
            </w:r>
          </w:p>
        </w:tc>
      </w:tr>
    </w:tbl>
    <w:p w14:paraId="10C2218F" w14:textId="77777777" w:rsidR="00256BEA" w:rsidRDefault="00256BEA" w:rsidP="0074489B"/>
    <w:p w14:paraId="205AA40C" w14:textId="77777777" w:rsidR="0074489B" w:rsidRPr="00880AA3" w:rsidRDefault="0074489B" w:rsidP="0074489B"/>
    <w:sectPr w:rsidR="0074489B" w:rsidRPr="00880AA3">
      <w:headerReference w:type="default" r:id="rId34"/>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4A511" w14:textId="77777777" w:rsidR="00EE277C" w:rsidRDefault="00EE277C" w:rsidP="00D54EB9">
      <w:pPr>
        <w:spacing w:after="0" w:line="240" w:lineRule="auto"/>
      </w:pPr>
      <w:r>
        <w:separator/>
      </w:r>
    </w:p>
  </w:endnote>
  <w:endnote w:type="continuationSeparator" w:id="0">
    <w:p w14:paraId="1BED201B" w14:textId="77777777" w:rsidR="00EE277C" w:rsidRDefault="00EE277C"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05ECA" w14:textId="77777777" w:rsidR="00EE277C" w:rsidRDefault="00EE277C" w:rsidP="00D54EB9">
      <w:pPr>
        <w:spacing w:after="0" w:line="240" w:lineRule="auto"/>
      </w:pPr>
      <w:r>
        <w:separator/>
      </w:r>
    </w:p>
  </w:footnote>
  <w:footnote w:type="continuationSeparator" w:id="0">
    <w:p w14:paraId="569A2A12" w14:textId="77777777" w:rsidR="00EE277C" w:rsidRDefault="00EE277C"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02C33A6E" w:rsidR="00D54EB9" w:rsidRDefault="00D54EB9">
    <w:pPr>
      <w:pStyle w:val="En-tte"/>
    </w:pPr>
    <w:r>
      <w:t>PHYSIQUE –</w:t>
    </w:r>
    <w:r w:rsidR="00A55D9B">
      <w:t xml:space="preserve"> </w:t>
    </w:r>
    <w:r w:rsidR="0074489B" w:rsidRPr="0074489B">
      <w:t>Trou noir de Kerr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5"/>
  </w:num>
  <w:num w:numId="2" w16cid:durableId="985860346">
    <w:abstractNumId w:val="7"/>
  </w:num>
  <w:num w:numId="3" w16cid:durableId="196166302">
    <w:abstractNumId w:val="11"/>
  </w:num>
  <w:num w:numId="4" w16cid:durableId="85611783">
    <w:abstractNumId w:val="6"/>
  </w:num>
  <w:num w:numId="5" w16cid:durableId="1764495135">
    <w:abstractNumId w:val="9"/>
  </w:num>
  <w:num w:numId="6" w16cid:durableId="9337082">
    <w:abstractNumId w:val="16"/>
  </w:num>
  <w:num w:numId="7" w16cid:durableId="1363626625">
    <w:abstractNumId w:val="0"/>
  </w:num>
  <w:num w:numId="8" w16cid:durableId="78605320">
    <w:abstractNumId w:val="1"/>
  </w:num>
  <w:num w:numId="9" w16cid:durableId="1745495026">
    <w:abstractNumId w:val="4"/>
  </w:num>
  <w:num w:numId="10" w16cid:durableId="1290820955">
    <w:abstractNumId w:val="3"/>
  </w:num>
  <w:num w:numId="11" w16cid:durableId="985741773">
    <w:abstractNumId w:val="2"/>
  </w:num>
  <w:num w:numId="12" w16cid:durableId="157624102">
    <w:abstractNumId w:val="18"/>
  </w:num>
  <w:num w:numId="13" w16cid:durableId="1794011271">
    <w:abstractNumId w:val="8"/>
  </w:num>
  <w:num w:numId="14" w16cid:durableId="2126852057">
    <w:abstractNumId w:val="12"/>
  </w:num>
  <w:num w:numId="15" w16cid:durableId="1823424295">
    <w:abstractNumId w:val="15"/>
  </w:num>
  <w:num w:numId="16" w16cid:durableId="928343046">
    <w:abstractNumId w:val="17"/>
  </w:num>
  <w:num w:numId="17" w16cid:durableId="67197130">
    <w:abstractNumId w:val="19"/>
  </w:num>
  <w:num w:numId="18" w16cid:durableId="51733916">
    <w:abstractNumId w:val="10"/>
  </w:num>
  <w:num w:numId="19" w16cid:durableId="1633438650">
    <w:abstractNumId w:val="13"/>
  </w:num>
  <w:num w:numId="20" w16cid:durableId="11571093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305B5"/>
    <w:rsid w:val="00160823"/>
    <w:rsid w:val="001904F9"/>
    <w:rsid w:val="001B225C"/>
    <w:rsid w:val="001B5761"/>
    <w:rsid w:val="001D443E"/>
    <w:rsid w:val="00256BEA"/>
    <w:rsid w:val="0027206F"/>
    <w:rsid w:val="002E3539"/>
    <w:rsid w:val="00326B0B"/>
    <w:rsid w:val="00361D9F"/>
    <w:rsid w:val="00371451"/>
    <w:rsid w:val="00372046"/>
    <w:rsid w:val="00391031"/>
    <w:rsid w:val="003B22A5"/>
    <w:rsid w:val="004326FA"/>
    <w:rsid w:val="00466571"/>
    <w:rsid w:val="00521C27"/>
    <w:rsid w:val="00536250"/>
    <w:rsid w:val="005364F4"/>
    <w:rsid w:val="00552CCB"/>
    <w:rsid w:val="005954CB"/>
    <w:rsid w:val="005974A9"/>
    <w:rsid w:val="00597966"/>
    <w:rsid w:val="00634B4A"/>
    <w:rsid w:val="00674DD9"/>
    <w:rsid w:val="006766D4"/>
    <w:rsid w:val="006E1F77"/>
    <w:rsid w:val="00740465"/>
    <w:rsid w:val="0074489B"/>
    <w:rsid w:val="007B0483"/>
    <w:rsid w:val="007D3665"/>
    <w:rsid w:val="00860933"/>
    <w:rsid w:val="00880AA3"/>
    <w:rsid w:val="00975931"/>
    <w:rsid w:val="009C6666"/>
    <w:rsid w:val="009C6EA7"/>
    <w:rsid w:val="009D3220"/>
    <w:rsid w:val="00A30394"/>
    <w:rsid w:val="00A55D9B"/>
    <w:rsid w:val="00A67375"/>
    <w:rsid w:val="00A75422"/>
    <w:rsid w:val="00AA1169"/>
    <w:rsid w:val="00B71B6F"/>
    <w:rsid w:val="00BB135E"/>
    <w:rsid w:val="00C12FFF"/>
    <w:rsid w:val="00C54A6A"/>
    <w:rsid w:val="00C570D7"/>
    <w:rsid w:val="00C72B4C"/>
    <w:rsid w:val="00C76D87"/>
    <w:rsid w:val="00C90B8E"/>
    <w:rsid w:val="00CF6EFC"/>
    <w:rsid w:val="00D14313"/>
    <w:rsid w:val="00D44A07"/>
    <w:rsid w:val="00D54EB9"/>
    <w:rsid w:val="00E42C0D"/>
    <w:rsid w:val="00EE277C"/>
    <w:rsid w:val="00F01A98"/>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Processus_de_Penrose" TargetMode="External"/><Relationship Id="rId18" Type="http://schemas.openxmlformats.org/officeDocument/2006/relationships/hyperlink" Target="https://fr.wikipedia.org/wiki/Genre_(relativit%C3%A9)" TargetMode="External"/><Relationship Id="rId26" Type="http://schemas.openxmlformats.org/officeDocument/2006/relationships/hyperlink" Target="https://fr.wikipedia.org/wiki/Luminosit%C3%A9_d%27accr%C3%A9tion" TargetMode="External"/><Relationship Id="rId21" Type="http://schemas.openxmlformats.org/officeDocument/2006/relationships/hyperlink" Target="https://fr.wikipedia.org/wiki/2006" TargetMode="External"/><Relationship Id="rId34" Type="http://schemas.openxmlformats.org/officeDocument/2006/relationships/header" Target="header1.xml"/><Relationship Id="rId7" Type="http://schemas.openxmlformats.org/officeDocument/2006/relationships/image" Target="media/image1.gif"/><Relationship Id="rId12" Type="http://schemas.openxmlformats.org/officeDocument/2006/relationships/hyperlink" Target="https://fr.wikipedia.org/wiki/%C3%89nergie_m%C3%A9canique" TargetMode="External"/><Relationship Id="rId17" Type="http://schemas.openxmlformats.org/officeDocument/2006/relationships/hyperlink" Target="https://fr.wikipedia.org/wiki/Trou_noir_de_Schwarzschild" TargetMode="External"/><Relationship Id="rId25" Type="http://schemas.openxmlformats.org/officeDocument/2006/relationships/hyperlink" Target="https://fr.wikipedia.org/wiki/Binaire_X" TargetMode="External"/><Relationship Id="rId33" Type="http://schemas.openxmlformats.org/officeDocument/2006/relationships/hyperlink" Target="https://fr.wikipedia.org/wiki/GRS_1915%2B105" TargetMode="External"/><Relationship Id="rId2" Type="http://schemas.openxmlformats.org/officeDocument/2006/relationships/styles" Target="styles.xml"/><Relationship Id="rId16" Type="http://schemas.openxmlformats.org/officeDocument/2006/relationships/hyperlink" Target="https://fr.wikipedia.org/wiki/Trou_noir" TargetMode="External"/><Relationship Id="rId20" Type="http://schemas.openxmlformats.org/officeDocument/2006/relationships/image" Target="media/image2.jpeg"/><Relationship Id="rId29" Type="http://schemas.openxmlformats.org/officeDocument/2006/relationships/hyperlink" Target="https://fr.wikipedia.org/wiki/GRS_1915%2B1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Masse" TargetMode="External"/><Relationship Id="rId24" Type="http://schemas.openxmlformats.org/officeDocument/2006/relationships/hyperlink" Target="https://fr.wikipedia.org/wiki/Rayons_X" TargetMode="External"/><Relationship Id="rId32" Type="http://schemas.openxmlformats.org/officeDocument/2006/relationships/hyperlink" Target="https://fr.wikipedia.org/wiki/GRO_J1655-40"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r.wikipedia.org/wiki/Ellipso%C3%AFde_de_r%C3%A9volution" TargetMode="External"/><Relationship Id="rId23" Type="http://schemas.openxmlformats.org/officeDocument/2006/relationships/hyperlink" Target="https://fr.wikipedia.org/wiki/Derni%C3%A8re_orbite_circulaire_stable" TargetMode="External"/><Relationship Id="rId28" Type="http://schemas.openxmlformats.org/officeDocument/2006/relationships/hyperlink" Target="https://fr.wikipedia.org/wiki/Trou_noir_de_Kerr" TargetMode="External"/><Relationship Id="rId36" Type="http://schemas.openxmlformats.org/officeDocument/2006/relationships/fontTable" Target="fontTable.xml"/><Relationship Id="rId10" Type="http://schemas.openxmlformats.org/officeDocument/2006/relationships/hyperlink" Target="https://fr.wikipedia.org/wiki/Moment_cin%C3%A9tique" TargetMode="External"/><Relationship Id="rId19" Type="http://schemas.openxmlformats.org/officeDocument/2006/relationships/hyperlink" Target="https://commons.wikimedia.org/wiki/File:How_to_Measure_the_Spin_of_a_Black_Hole.jpg?uselang=fr" TargetMode="External"/><Relationship Id="rId31" Type="http://schemas.openxmlformats.org/officeDocument/2006/relationships/hyperlink" Target="https://fr.wikipedia.org/w/index.php?title=4U_1543-47&amp;action=edit&amp;redlink=1" TargetMode="External"/><Relationship Id="rId4" Type="http://schemas.openxmlformats.org/officeDocument/2006/relationships/webSettings" Target="webSettings.xml"/><Relationship Id="rId9" Type="http://schemas.openxmlformats.org/officeDocument/2006/relationships/hyperlink" Target="https://fr.wikipedia.org/wiki/Trou_noir_de_Schwarzschild" TargetMode="External"/><Relationship Id="rId14" Type="http://schemas.openxmlformats.org/officeDocument/2006/relationships/hyperlink" Target="https://fr.wikipedia.org/wiki/%C3%89quation_polaire" TargetMode="External"/><Relationship Id="rId22" Type="http://schemas.openxmlformats.org/officeDocument/2006/relationships/hyperlink" Target="https://fr.wikipedia.org/wiki/Disque_d%27accr%C3%A9tion" TargetMode="External"/><Relationship Id="rId27" Type="http://schemas.openxmlformats.org/officeDocument/2006/relationships/hyperlink" Target="https://fr.wikipedia.org/wiki/Masse_solaire" TargetMode="External"/><Relationship Id="rId30" Type="http://schemas.openxmlformats.org/officeDocument/2006/relationships/hyperlink" Target="https://fr.wikipedia.org/wiki/Binaire_X" TargetMode="External"/><Relationship Id="rId35" Type="http://schemas.openxmlformats.org/officeDocument/2006/relationships/footer" Target="footer1.xml"/><Relationship Id="rId8" Type="http://schemas.openxmlformats.org/officeDocument/2006/relationships/hyperlink" Target="https://fr.wikipedia.org/wiki/Masse_irr%C3%A9ductible"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1672</Words>
  <Characters>9202</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39</cp:revision>
  <dcterms:created xsi:type="dcterms:W3CDTF">2022-12-23T07:20:00Z</dcterms:created>
  <dcterms:modified xsi:type="dcterms:W3CDTF">2025-10-19T15:30:00Z</dcterms:modified>
</cp:coreProperties>
</file>