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72946" w14:textId="63A42F02" w:rsidR="00AD68EE" w:rsidRDefault="00AD68EE" w:rsidP="00AD68EE">
      <w:pPr>
        <w:pStyle w:val="Titre"/>
      </w:pPr>
      <w:r>
        <w:t>Postcombustion</w:t>
      </w:r>
    </w:p>
    <w:sdt>
      <w:sdtPr>
        <w:id w:val="166674666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70C1D89" w14:textId="7AF588A2" w:rsidR="00087378" w:rsidRDefault="00087378">
          <w:pPr>
            <w:pStyle w:val="En-ttedetabledesmatires"/>
          </w:pPr>
          <w:r>
            <w:t>Table des matières</w:t>
          </w:r>
        </w:p>
        <w:p w14:paraId="32DAF434" w14:textId="70F02A44" w:rsidR="00087378" w:rsidRDefault="00087378">
          <w:pPr>
            <w:pStyle w:val="TM1"/>
            <w:tabs>
              <w:tab w:val="right" w:leader="dot" w:pos="9062"/>
            </w:tabs>
            <w:rPr>
              <w:noProof/>
            </w:rPr>
          </w:pPr>
          <w:r>
            <w:fldChar w:fldCharType="begin"/>
          </w:r>
          <w:r>
            <w:instrText xml:space="preserve"> TOC \o "1-3" \h \z \u </w:instrText>
          </w:r>
          <w:r>
            <w:fldChar w:fldCharType="separate"/>
          </w:r>
          <w:hyperlink w:anchor="_Toc133071403" w:history="1">
            <w:r w:rsidRPr="00C40078">
              <w:rPr>
                <w:rStyle w:val="Lienhypertexte"/>
                <w:b/>
                <w:bCs/>
                <w:noProof/>
              </w:rPr>
              <w:t>Introduction</w:t>
            </w:r>
            <w:r>
              <w:rPr>
                <w:noProof/>
                <w:webHidden/>
              </w:rPr>
              <w:tab/>
            </w:r>
            <w:r>
              <w:rPr>
                <w:noProof/>
                <w:webHidden/>
              </w:rPr>
              <w:fldChar w:fldCharType="begin"/>
            </w:r>
            <w:r>
              <w:rPr>
                <w:noProof/>
                <w:webHidden/>
              </w:rPr>
              <w:instrText xml:space="preserve"> PAGEREF _Toc133071403 \h </w:instrText>
            </w:r>
            <w:r>
              <w:rPr>
                <w:noProof/>
                <w:webHidden/>
              </w:rPr>
            </w:r>
            <w:r>
              <w:rPr>
                <w:noProof/>
                <w:webHidden/>
              </w:rPr>
              <w:fldChar w:fldCharType="separate"/>
            </w:r>
            <w:r>
              <w:rPr>
                <w:noProof/>
                <w:webHidden/>
              </w:rPr>
              <w:t>1</w:t>
            </w:r>
            <w:r>
              <w:rPr>
                <w:noProof/>
                <w:webHidden/>
              </w:rPr>
              <w:fldChar w:fldCharType="end"/>
            </w:r>
          </w:hyperlink>
        </w:p>
        <w:p w14:paraId="14D7352D" w14:textId="71E9B81A" w:rsidR="00087378" w:rsidRDefault="00087378">
          <w:pPr>
            <w:pStyle w:val="TM1"/>
            <w:tabs>
              <w:tab w:val="right" w:leader="dot" w:pos="9062"/>
            </w:tabs>
            <w:rPr>
              <w:noProof/>
            </w:rPr>
          </w:pPr>
          <w:hyperlink w:anchor="_Toc133071404" w:history="1">
            <w:r w:rsidRPr="00C40078">
              <w:rPr>
                <w:rStyle w:val="Lienhypertexte"/>
                <w:b/>
                <w:bCs/>
                <w:noProof/>
              </w:rPr>
              <w:t>Principe</w:t>
            </w:r>
            <w:r>
              <w:rPr>
                <w:noProof/>
                <w:webHidden/>
              </w:rPr>
              <w:tab/>
            </w:r>
            <w:r>
              <w:rPr>
                <w:noProof/>
                <w:webHidden/>
              </w:rPr>
              <w:fldChar w:fldCharType="begin"/>
            </w:r>
            <w:r>
              <w:rPr>
                <w:noProof/>
                <w:webHidden/>
              </w:rPr>
              <w:instrText xml:space="preserve"> PAGEREF _Toc133071404 \h </w:instrText>
            </w:r>
            <w:r>
              <w:rPr>
                <w:noProof/>
                <w:webHidden/>
              </w:rPr>
            </w:r>
            <w:r>
              <w:rPr>
                <w:noProof/>
                <w:webHidden/>
              </w:rPr>
              <w:fldChar w:fldCharType="separate"/>
            </w:r>
            <w:r>
              <w:rPr>
                <w:noProof/>
                <w:webHidden/>
              </w:rPr>
              <w:t>1</w:t>
            </w:r>
            <w:r>
              <w:rPr>
                <w:noProof/>
                <w:webHidden/>
              </w:rPr>
              <w:fldChar w:fldCharType="end"/>
            </w:r>
          </w:hyperlink>
        </w:p>
        <w:p w14:paraId="1F1FC15D" w14:textId="21DDE46D" w:rsidR="00087378" w:rsidRDefault="00087378">
          <w:pPr>
            <w:pStyle w:val="TM1"/>
            <w:tabs>
              <w:tab w:val="right" w:leader="dot" w:pos="9062"/>
            </w:tabs>
            <w:rPr>
              <w:noProof/>
            </w:rPr>
          </w:pPr>
          <w:hyperlink w:anchor="_Toc133071405" w:history="1">
            <w:r w:rsidRPr="00C40078">
              <w:rPr>
                <w:rStyle w:val="Lienhypertexte"/>
                <w:b/>
                <w:bCs/>
                <w:noProof/>
              </w:rPr>
              <w:t>Efficacité</w:t>
            </w:r>
            <w:r>
              <w:rPr>
                <w:noProof/>
                <w:webHidden/>
              </w:rPr>
              <w:tab/>
            </w:r>
            <w:r>
              <w:rPr>
                <w:noProof/>
                <w:webHidden/>
              </w:rPr>
              <w:fldChar w:fldCharType="begin"/>
            </w:r>
            <w:r>
              <w:rPr>
                <w:noProof/>
                <w:webHidden/>
              </w:rPr>
              <w:instrText xml:space="preserve"> PAGEREF _Toc133071405 \h </w:instrText>
            </w:r>
            <w:r>
              <w:rPr>
                <w:noProof/>
                <w:webHidden/>
              </w:rPr>
            </w:r>
            <w:r>
              <w:rPr>
                <w:noProof/>
                <w:webHidden/>
              </w:rPr>
              <w:fldChar w:fldCharType="separate"/>
            </w:r>
            <w:r>
              <w:rPr>
                <w:noProof/>
                <w:webHidden/>
              </w:rPr>
              <w:t>2</w:t>
            </w:r>
            <w:r>
              <w:rPr>
                <w:noProof/>
                <w:webHidden/>
              </w:rPr>
              <w:fldChar w:fldCharType="end"/>
            </w:r>
          </w:hyperlink>
        </w:p>
        <w:p w14:paraId="2049C13D" w14:textId="4E431E7B" w:rsidR="00087378" w:rsidRDefault="00087378">
          <w:pPr>
            <w:pStyle w:val="TM1"/>
            <w:tabs>
              <w:tab w:val="right" w:leader="dot" w:pos="9062"/>
            </w:tabs>
            <w:rPr>
              <w:noProof/>
            </w:rPr>
          </w:pPr>
          <w:hyperlink w:anchor="_Toc133071406" w:history="1">
            <w:r w:rsidRPr="00C40078">
              <w:rPr>
                <w:rStyle w:val="Lienhypertexte"/>
                <w:b/>
                <w:bCs/>
                <w:noProof/>
              </w:rPr>
              <w:t>Limites</w:t>
            </w:r>
            <w:r>
              <w:rPr>
                <w:noProof/>
                <w:webHidden/>
              </w:rPr>
              <w:tab/>
            </w:r>
            <w:r>
              <w:rPr>
                <w:noProof/>
                <w:webHidden/>
              </w:rPr>
              <w:fldChar w:fldCharType="begin"/>
            </w:r>
            <w:r>
              <w:rPr>
                <w:noProof/>
                <w:webHidden/>
              </w:rPr>
              <w:instrText xml:space="preserve"> PAGEREF _Toc133071406 \h </w:instrText>
            </w:r>
            <w:r>
              <w:rPr>
                <w:noProof/>
                <w:webHidden/>
              </w:rPr>
            </w:r>
            <w:r>
              <w:rPr>
                <w:noProof/>
                <w:webHidden/>
              </w:rPr>
              <w:fldChar w:fldCharType="separate"/>
            </w:r>
            <w:r>
              <w:rPr>
                <w:noProof/>
                <w:webHidden/>
              </w:rPr>
              <w:t>2</w:t>
            </w:r>
            <w:r>
              <w:rPr>
                <w:noProof/>
                <w:webHidden/>
              </w:rPr>
              <w:fldChar w:fldCharType="end"/>
            </w:r>
          </w:hyperlink>
        </w:p>
        <w:p w14:paraId="76D5BE3F" w14:textId="7FF52767" w:rsidR="00087378" w:rsidRDefault="00087378">
          <w:r>
            <w:rPr>
              <w:b/>
              <w:bCs/>
            </w:rPr>
            <w:fldChar w:fldCharType="end"/>
          </w:r>
        </w:p>
      </w:sdtContent>
    </w:sdt>
    <w:p w14:paraId="1098F7F5" w14:textId="488626F3" w:rsidR="003B22A5" w:rsidRDefault="003B22A5"/>
    <w:p w14:paraId="5D91121D" w14:textId="126C6A08" w:rsidR="00AD68EE" w:rsidRPr="00AD68EE" w:rsidRDefault="00AD68EE" w:rsidP="00AD68EE">
      <w:pPr>
        <w:pStyle w:val="Titre1"/>
        <w:rPr>
          <w:b/>
          <w:bCs/>
        </w:rPr>
      </w:pPr>
      <w:bookmarkStart w:id="0" w:name="_Toc133071403"/>
      <w:r w:rsidRPr="00AD68EE">
        <w:rPr>
          <w:b/>
          <w:bCs/>
        </w:rPr>
        <w:t>Introduction</w:t>
      </w:r>
      <w:bookmarkEnd w:id="0"/>
    </w:p>
    <w:p w14:paraId="7B06E044" w14:textId="76F519F5" w:rsidR="00895451" w:rsidRDefault="00895451" w:rsidP="009A2C98">
      <w:pPr>
        <w:pStyle w:val="NormalWeb"/>
        <w:jc w:val="both"/>
      </w:pPr>
      <w:r>
        <w:t xml:space="preserve">La </w:t>
      </w:r>
      <w:r w:rsidRPr="009A2C98">
        <w:t>postcombustion</w:t>
      </w:r>
      <w:r>
        <w:t>, souvent abrégée en « </w:t>
      </w:r>
      <w:r w:rsidRPr="009A2C98">
        <w:t>PC</w:t>
      </w:r>
      <w:r>
        <w:t xml:space="preserve"> » et parfois dénommée </w:t>
      </w:r>
      <w:r w:rsidRPr="009A2C98">
        <w:t>« réchauffe »</w:t>
      </w:r>
      <w:r>
        <w:t xml:space="preserve">, est un système utilisé par les avions militaires </w:t>
      </w:r>
      <w:r w:rsidRPr="009A2C98">
        <w:t>supersoniques</w:t>
      </w:r>
      <w:r>
        <w:t xml:space="preserve"> pour augmenter temporairement la poussée fournie par un </w:t>
      </w:r>
      <w:r w:rsidRPr="009A2C98">
        <w:t>turboréacteur</w:t>
      </w:r>
      <w:r>
        <w:t>. Les termes anglophones employés sont « </w:t>
      </w:r>
      <w:r w:rsidRPr="009A2C98">
        <w:t>Afterburner</w:t>
      </w:r>
      <w:r>
        <w:t> » ou « </w:t>
      </w:r>
      <w:r w:rsidRPr="009A2C98">
        <w:t>Reheat</w:t>
      </w:r>
      <w:r>
        <w:t xml:space="preserve"> ». </w:t>
      </w:r>
    </w:p>
    <w:p w14:paraId="51D677BB" w14:textId="1720CAEF" w:rsidR="00895451" w:rsidRDefault="00895451" w:rsidP="009A2C98">
      <w:pPr>
        <w:pStyle w:val="NormalWeb"/>
        <w:jc w:val="both"/>
      </w:pPr>
      <w:r>
        <w:t xml:space="preserve">Cette technique consiste à injecter et enflammer, à l'aide de brûleurs auxiliaires, du </w:t>
      </w:r>
      <w:r w:rsidRPr="009A2C98">
        <w:t>kérosène</w:t>
      </w:r>
      <w:r>
        <w:t xml:space="preserve"> derrière la </w:t>
      </w:r>
      <w:r w:rsidRPr="009A2C98">
        <w:t>turbine</w:t>
      </w:r>
      <w:r>
        <w:t xml:space="preserve"> du moteur, d'où le terme « post », dans les gaz d'échappement du réacteur, ce qui a pour conséquence une augmentation importante de la poussée. En contrepartie, la consommation de carburant augmente de façon significative. </w:t>
      </w:r>
    </w:p>
    <w:p w14:paraId="2BBC117C" w14:textId="7956B289" w:rsidR="00895451" w:rsidRDefault="00895451" w:rsidP="009A2C98">
      <w:pPr>
        <w:pStyle w:val="NormalWeb"/>
        <w:jc w:val="both"/>
      </w:pPr>
      <w:r>
        <w:t xml:space="preserve">Cet apport de puissance supplémentaire est particulièrement utile lors d'un décollage sur une piste courte, à l'image des </w:t>
      </w:r>
      <w:r w:rsidRPr="009A2C98">
        <w:t>porte-avions</w:t>
      </w:r>
      <w:r>
        <w:t xml:space="preserve">, ou pour se sortir d'une situation délicate lors d'une mission militaire. </w:t>
      </w:r>
    </w:p>
    <w:p w14:paraId="61010511" w14:textId="56563848" w:rsidR="009A2C98" w:rsidRPr="009A2C98" w:rsidRDefault="009A2C98" w:rsidP="009A2C98">
      <w:pPr>
        <w:pStyle w:val="Titre1"/>
        <w:rPr>
          <w:b/>
          <w:bCs/>
        </w:rPr>
      </w:pPr>
      <w:bookmarkStart w:id="1" w:name="_Toc133071404"/>
      <w:r w:rsidRPr="009A2C98">
        <w:rPr>
          <w:rStyle w:val="mw-headline"/>
          <w:b/>
          <w:bCs/>
        </w:rPr>
        <w:t>Principe</w:t>
      </w:r>
      <w:bookmarkEnd w:id="1"/>
    </w:p>
    <w:p w14:paraId="3AAEB435" w14:textId="1CE4804F" w:rsidR="009A2C98" w:rsidRDefault="009A2C98" w:rsidP="009A2C98">
      <w:pPr>
        <w:pStyle w:val="NormalWeb"/>
        <w:jc w:val="both"/>
      </w:pPr>
      <w:r>
        <w:rPr>
          <w:noProof/>
        </w:rPr>
        <w:drawing>
          <wp:anchor distT="0" distB="0" distL="114300" distR="114300" simplePos="0" relativeHeight="251664384" behindDoc="0" locked="0" layoutInCell="1" allowOverlap="1" wp14:anchorId="2BCABBE7" wp14:editId="4C702BED">
            <wp:simplePos x="0" y="0"/>
            <wp:positionH relativeFrom="column">
              <wp:posOffset>3646805</wp:posOffset>
            </wp:positionH>
            <wp:positionV relativeFrom="paragraph">
              <wp:posOffset>45085</wp:posOffset>
            </wp:positionV>
            <wp:extent cx="2874010" cy="1879600"/>
            <wp:effectExtent l="0" t="0" r="2540" b="635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74010" cy="1879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8BE2ED2" wp14:editId="5D983FA2">
                <wp:simplePos x="0" y="0"/>
                <wp:positionH relativeFrom="column">
                  <wp:posOffset>3822065</wp:posOffset>
                </wp:positionH>
                <wp:positionV relativeFrom="paragraph">
                  <wp:posOffset>1969135</wp:posOffset>
                </wp:positionV>
                <wp:extent cx="2628900" cy="635"/>
                <wp:effectExtent l="0" t="0" r="0" b="0"/>
                <wp:wrapSquare wrapText="bothSides"/>
                <wp:docPr id="3" name="Zone de texte 3"/>
                <wp:cNvGraphicFramePr/>
                <a:graphic xmlns:a="http://schemas.openxmlformats.org/drawingml/2006/main">
                  <a:graphicData uri="http://schemas.microsoft.com/office/word/2010/wordprocessingShape">
                    <wps:wsp>
                      <wps:cNvSpPr txBox="1"/>
                      <wps:spPr>
                        <a:xfrm>
                          <a:off x="0" y="0"/>
                          <a:ext cx="2628900" cy="635"/>
                        </a:xfrm>
                        <a:prstGeom prst="rect">
                          <a:avLst/>
                        </a:prstGeom>
                        <a:solidFill>
                          <a:prstClr val="white"/>
                        </a:solidFill>
                        <a:ln>
                          <a:noFill/>
                        </a:ln>
                      </wps:spPr>
                      <wps:txbx>
                        <w:txbxContent>
                          <w:p w14:paraId="6FE145C6" w14:textId="73FAF888" w:rsidR="009A2C98" w:rsidRPr="00A13EDB" w:rsidRDefault="009A2C98" w:rsidP="009A2C98">
                            <w:pPr>
                              <w:pStyle w:val="Lgende"/>
                              <w:jc w:val="center"/>
                              <w:rPr>
                                <w:rFonts w:ascii="Times New Roman" w:eastAsia="Times New Roman" w:hAnsi="Times New Roman" w:cs="Times New Roman"/>
                                <w:noProof/>
                                <w:color w:val="0000FF"/>
                                <w:sz w:val="24"/>
                                <w:szCs w:val="24"/>
                              </w:rPr>
                            </w:pPr>
                            <w:r>
                              <w:t xml:space="preserve">Figure </w:t>
                            </w:r>
                            <w:fldSimple w:instr=" SEQ Figure \* ARABIC ">
                              <w:r>
                                <w:rPr>
                                  <w:noProof/>
                                </w:rPr>
                                <w:t>1</w:t>
                              </w:r>
                            </w:fldSimple>
                            <w:r>
                              <w:t xml:space="preserve">: </w:t>
                            </w:r>
                            <w:r w:rsidRPr="00CE626F">
                              <w:t>Les disques visibles dans les gaz sont des ondes de choc engendrées par leur vitesse supersonique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BE2ED2" id="_x0000_t202" coordsize="21600,21600" o:spt="202" path="m,l,21600r21600,l21600,xe">
                <v:stroke joinstyle="miter"/>
                <v:path gradientshapeok="t" o:connecttype="rect"/>
              </v:shapetype>
              <v:shape id="Zone de texte 3" o:spid="_x0000_s1026" type="#_x0000_t202" style="position:absolute;left:0;text-align:left;margin-left:300.95pt;margin-top:155.05pt;width:20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" stroked="f">
                <v:textbox style="mso-fit-shape-to-text:t" inset="0,0,0,0">
                  <w:txbxContent>
                    <w:p w14:paraId="6FE145C6" w14:textId="73FAF888" w:rsidR="009A2C98" w:rsidRPr="00A13EDB" w:rsidRDefault="009A2C98" w:rsidP="009A2C98">
                      <w:pPr>
                        <w:pStyle w:val="Lgende"/>
                        <w:jc w:val="center"/>
                        <w:rPr>
                          <w:rFonts w:ascii="Times New Roman" w:eastAsia="Times New Roman" w:hAnsi="Times New Roman" w:cs="Times New Roman"/>
                          <w:noProof/>
                          <w:color w:val="0000FF"/>
                          <w:sz w:val="24"/>
                          <w:szCs w:val="24"/>
                        </w:rPr>
                      </w:pPr>
                      <w:r>
                        <w:t xml:space="preserve">Figure </w:t>
                      </w:r>
                      <w:fldSimple w:instr=" SEQ Figure \* ARABIC ">
                        <w:r>
                          <w:rPr>
                            <w:noProof/>
                          </w:rPr>
                          <w:t>1</w:t>
                        </w:r>
                      </w:fldSimple>
                      <w:r>
                        <w:t xml:space="preserve">: </w:t>
                      </w:r>
                      <w:r w:rsidRPr="00CE626F">
                        <w:t>Les disques visibles dans les gaz sont des ondes de choc engendrées par leur vitesse supersonique</w:t>
                      </w:r>
                    </w:p>
                  </w:txbxContent>
                </v:textbox>
                <w10:wrap type="square"/>
              </v:shape>
            </w:pict>
          </mc:Fallback>
        </mc:AlternateContent>
      </w:r>
      <w:r>
        <w:t>Le principe de la postcombustion est d'</w:t>
      </w:r>
      <w:r w:rsidRPr="009A2C98">
        <w:t>injecter</w:t>
      </w:r>
      <w:r>
        <w:t xml:space="preserve"> du </w:t>
      </w:r>
      <w:r w:rsidRPr="009A2C98">
        <w:t>kérosène</w:t>
      </w:r>
      <w:r>
        <w:t xml:space="preserve">, via un canal prolongeant la </w:t>
      </w:r>
      <w:r w:rsidRPr="009A2C98">
        <w:t>tuyère</w:t>
      </w:r>
      <w:r>
        <w:t xml:space="preserve"> du turboréacteur, dans les gaz d'échappement, qui s'enflamment alors spontanément sous l'effet de la chaleur. La température élevée des gaz, comprise entre 1 800 </w:t>
      </w:r>
      <w:r w:rsidRPr="009A2C98">
        <w:t>K</w:t>
      </w:r>
      <w:r>
        <w:t xml:space="preserve"> et 2 000 K, favorise en effet la formation du mélange carburant-gaz ainsi que son inflammation et sa combustion</w:t>
      </w:r>
      <w:r w:rsidRPr="009A2C98">
        <w:t>8</w:t>
      </w:r>
      <w:r>
        <w:t xml:space="preserve">. Il se produit alors une réaction supplémentaire. Le fait de réchauffer l'air en sortie de réacteur permet d'augmenter la vitesse de sortie des gaz, et donc la </w:t>
      </w:r>
      <w:r w:rsidRPr="009A2C98">
        <w:t>poussée</w:t>
      </w:r>
      <w:r>
        <w:t xml:space="preserve"> du réacteur. Ces gaz atteignent d'ailleurs des vitesses </w:t>
      </w:r>
      <w:r w:rsidRPr="009A2C98">
        <w:t>supersoniques</w:t>
      </w:r>
      <w:r>
        <w:t xml:space="preserve"> et forment des disques d'</w:t>
      </w:r>
      <w:r w:rsidRPr="009A2C98">
        <w:t>ondes de choc</w:t>
      </w:r>
      <w:r>
        <w:t xml:space="preserve"> facilement reconnaissables. En effet ces gaz sont éjectés à une vitesse supérieure à </w:t>
      </w:r>
      <w:r w:rsidRPr="009A2C98">
        <w:t>Mach</w:t>
      </w:r>
      <w:r>
        <w:t xml:space="preserve"> 1, mais à une pression inférieure à la pression atmosphérique. Pour équilibrer les pressions, un choc se produit, avec une augmentation de la pression mais aussi de la température, ce qui entraîne la combustion localisée. </w:t>
      </w:r>
    </w:p>
    <w:p w14:paraId="5B442547" w14:textId="68EF2503" w:rsidR="009A2C98" w:rsidRDefault="009A2C98" w:rsidP="009A2C98">
      <w:pPr>
        <w:pStyle w:val="NormalWeb"/>
        <w:jc w:val="both"/>
      </w:pPr>
      <w:r>
        <w:lastRenderedPageBreak/>
        <w:t>Ce système offre un très gros avantage, celui d'augmenter significativement la poussée de l'avion sans ajout de systèmes de propulsion complexes et lourds</w:t>
      </w:r>
      <w:r w:rsidRPr="009A2C98">
        <w:t>9</w:t>
      </w:r>
      <w:r>
        <w:t xml:space="preserve">. Cette puissance supplémentaire est obtenue au prix d'une augmentation importante de la consommation en carburant, environ quatre à cinq fois plus importante que sans postcombustion, du bruit et de la signature </w:t>
      </w:r>
      <w:r w:rsidRPr="009A2C98">
        <w:t>infrarouge</w:t>
      </w:r>
      <w:r>
        <w:t xml:space="preserve">. La postcombustion produit une flamme gigantesque en sortie des réacteurs, qui dépasse parfois la longueur de l'avion, ainsi qu'un bruit effroyable. </w:t>
      </w:r>
    </w:p>
    <w:p w14:paraId="02020F0B" w14:textId="16BCBD01" w:rsidR="009A2C98" w:rsidRPr="009A2C98" w:rsidRDefault="009A2C98" w:rsidP="009A2C98">
      <w:pPr>
        <w:pStyle w:val="Titre1"/>
        <w:rPr>
          <w:b/>
          <w:bCs/>
        </w:rPr>
      </w:pPr>
      <w:bookmarkStart w:id="2" w:name="_Toc133071405"/>
      <w:r w:rsidRPr="009A2C98">
        <w:rPr>
          <w:rStyle w:val="mw-headline"/>
          <w:b/>
          <w:bCs/>
        </w:rPr>
        <w:t>Efficacité</w:t>
      </w:r>
      <w:bookmarkEnd w:id="2"/>
    </w:p>
    <w:p w14:paraId="5CA333F4" w14:textId="0A577636" w:rsidR="009A2C98" w:rsidRPr="009A2C98" w:rsidRDefault="009A2C98" w:rsidP="009A2C98">
      <w:pPr>
        <w:pStyle w:val="NormalWeb"/>
        <w:jc w:val="both"/>
      </w:pPr>
      <w:r w:rsidRPr="009A2C98">
        <w:rPr>
          <w:noProof/>
        </w:rPr>
        <w:drawing>
          <wp:anchor distT="0" distB="0" distL="114300" distR="114300" simplePos="0" relativeHeight="251661312" behindDoc="0" locked="0" layoutInCell="1" allowOverlap="1" wp14:anchorId="3D1EC890" wp14:editId="088DD4B8">
            <wp:simplePos x="0" y="0"/>
            <wp:positionH relativeFrom="column">
              <wp:posOffset>3951605</wp:posOffset>
            </wp:positionH>
            <wp:positionV relativeFrom="paragraph">
              <wp:posOffset>51435</wp:posOffset>
            </wp:positionV>
            <wp:extent cx="2381250" cy="1785620"/>
            <wp:effectExtent l="0" t="0" r="0" b="5080"/>
            <wp:wrapSquare wrapText="bothSides"/>
            <wp:docPr id="1" name="Imag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785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2C98">
        <w:rPr>
          <w:noProof/>
        </w:rPr>
        <mc:AlternateContent>
          <mc:Choice Requires="wps">
            <w:drawing>
              <wp:anchor distT="0" distB="0" distL="114300" distR="114300" simplePos="0" relativeHeight="251663360" behindDoc="0" locked="0" layoutInCell="1" allowOverlap="1" wp14:anchorId="07B1052D" wp14:editId="7F22B293">
                <wp:simplePos x="0" y="0"/>
                <wp:positionH relativeFrom="column">
                  <wp:posOffset>3957955</wp:posOffset>
                </wp:positionH>
                <wp:positionV relativeFrom="paragraph">
                  <wp:posOffset>1913255</wp:posOffset>
                </wp:positionV>
                <wp:extent cx="2381250" cy="635"/>
                <wp:effectExtent l="0" t="0" r="0" b="0"/>
                <wp:wrapSquare wrapText="bothSides"/>
                <wp:docPr id="4" name="Zone de texte 4"/>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14:paraId="27ECC400" w14:textId="3B418CAC" w:rsidR="009A2C98" w:rsidRPr="006326FB" w:rsidRDefault="009A2C98" w:rsidP="009A2C98">
                            <w:pPr>
                              <w:pStyle w:val="Lgende"/>
                              <w:jc w:val="center"/>
                              <w:rPr>
                                <w:rFonts w:ascii="Times New Roman" w:eastAsia="Times New Roman" w:hAnsi="Times New Roman" w:cs="Times New Roman"/>
                                <w:noProof/>
                                <w:color w:val="0000FF"/>
                                <w:sz w:val="24"/>
                                <w:szCs w:val="24"/>
                              </w:rPr>
                            </w:pPr>
                            <w:r>
                              <w:t xml:space="preserve">Figure </w:t>
                            </w:r>
                            <w:fldSimple w:instr=" SEQ Figure \* ARABIC ">
                              <w:r>
                                <w:rPr>
                                  <w:noProof/>
                                </w:rPr>
                                <w:t>2</w:t>
                              </w:r>
                            </w:fldSimple>
                            <w:r>
                              <w:t xml:space="preserve">: </w:t>
                            </w:r>
                            <w:r w:rsidRPr="00A061A8">
                              <w:t>Tuyère d'un MiG-23 laissant apercevoir les anneaux d'injection de carburant de la postcombustion (en vert)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B1052D" id="Zone de texte 4" o:spid="_x0000_s1027" type="#_x0000_t202" style="position:absolute;left:0;text-align:left;margin-left:311.65pt;margin-top:150.65pt;width:18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" stroked="f">
                <v:textbox style="mso-fit-shape-to-text:t" inset="0,0,0,0">
                  <w:txbxContent>
                    <w:p w14:paraId="27ECC400" w14:textId="3B418CAC" w:rsidR="009A2C98" w:rsidRPr="006326FB" w:rsidRDefault="009A2C98" w:rsidP="009A2C98">
                      <w:pPr>
                        <w:pStyle w:val="Lgende"/>
                        <w:jc w:val="center"/>
                        <w:rPr>
                          <w:rFonts w:ascii="Times New Roman" w:eastAsia="Times New Roman" w:hAnsi="Times New Roman" w:cs="Times New Roman"/>
                          <w:noProof/>
                          <w:color w:val="0000FF"/>
                          <w:sz w:val="24"/>
                          <w:szCs w:val="24"/>
                        </w:rPr>
                      </w:pPr>
                      <w:r>
                        <w:t xml:space="preserve">Figure </w:t>
                      </w:r>
                      <w:fldSimple w:instr=" SEQ Figure \* ARABIC ">
                        <w:r>
                          <w:rPr>
                            <w:noProof/>
                          </w:rPr>
                          <w:t>2</w:t>
                        </w:r>
                      </w:fldSimple>
                      <w:r>
                        <w:t xml:space="preserve">: </w:t>
                      </w:r>
                      <w:r w:rsidRPr="00A061A8">
                        <w:t>Tuyère d'un MiG-23 laissant apercevoir les anneaux d'injection de carburant de la postcombustion (en vert)</w:t>
                      </w:r>
                    </w:p>
                  </w:txbxContent>
                </v:textbox>
                <w10:wrap type="square"/>
              </v:shape>
            </w:pict>
          </mc:Fallback>
        </mc:AlternateContent>
      </w:r>
      <w:r w:rsidRPr="009A2C98">
        <w:t xml:space="preserve">Quand on mesure la poussée d'un réacteur, on parle de poussée « à sec » (« dry thrust » en anglais) quand la postcombustion n'est pas utilisée, et « avec PC » ou « avec réchauffe » (« wet thrust » en anglais) quand elle est enclenchée. </w:t>
      </w:r>
    </w:p>
    <w:p w14:paraId="7C0D087B" w14:textId="148B213E" w:rsidR="009A2C98" w:rsidRPr="009A2C98" w:rsidRDefault="009A2C98" w:rsidP="009A2C98">
      <w:pPr>
        <w:pStyle w:val="NormalWeb"/>
        <w:jc w:val="both"/>
      </w:pPr>
      <w:r w:rsidRPr="009A2C98">
        <w:t xml:space="preserve">Sur les avions militaires, la poussée obtenue avec PC maximale atteint en général 150 % de la poussée à sec. C'est par-exemple le cas du réacteur General Electric J79, qui équipe certains avions militaires célèbres comme le F-104 Starfighter ou le F-4 Phantom II, et du Snecma M53-P2 qui équipe le Mirage 2000. Sur le Concorde, la poussée du moteur Olympus 593 passait de 14,7 à 17,4 kdaN (de 15 à 17,7 tonnes) avec PC, soit une augmentation de seulement 18 %. </w:t>
      </w:r>
    </w:p>
    <w:p w14:paraId="3F7E237E" w14:textId="77777777" w:rsidR="009A2C98" w:rsidRPr="009A2C98" w:rsidRDefault="009A2C98" w:rsidP="009A2C98">
      <w:pPr>
        <w:pStyle w:val="Titre1"/>
        <w:rPr>
          <w:b/>
          <w:bCs/>
        </w:rPr>
      </w:pPr>
      <w:bookmarkStart w:id="3" w:name="_Toc133071406"/>
      <w:r w:rsidRPr="009A2C98">
        <w:rPr>
          <w:rStyle w:val="mw-headline"/>
          <w:b/>
          <w:bCs/>
        </w:rPr>
        <w:t>Limites</w:t>
      </w:r>
      <w:bookmarkEnd w:id="3"/>
    </w:p>
    <w:p w14:paraId="2A9FFB1B" w14:textId="2B1D36F4" w:rsidR="00895451" w:rsidRPr="009A2C98" w:rsidRDefault="009A2C98" w:rsidP="009A2C98">
      <w:pPr>
        <w:pStyle w:val="NormalWeb"/>
        <w:jc w:val="both"/>
      </w:pPr>
      <w:r w:rsidRPr="009A2C98">
        <w:t>Sur les avions militaires, la postcombustion ne peut généralement être utilisée plus d'une dizaine de minutes, en raison non seulement de l'augmentation de la consommation de carburant, mais aussi des contraintes thermiques et structurelles qu'elle implique. Quelques avions ont cependant été conçus dès le départ pour supporter la PC plus longtemps, comme le Mirage IV et le Lockheed SR-71 Blackbird.</w:t>
      </w:r>
    </w:p>
    <w:p w14:paraId="642C6A67" w14:textId="77777777" w:rsidR="00AD68EE" w:rsidRDefault="00AD68EE"/>
    <w:sectPr w:rsidR="00AD68EE">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CC4C9" w14:textId="77777777" w:rsidR="00536BCD" w:rsidRDefault="00536BCD" w:rsidP="00AD68EE">
      <w:pPr>
        <w:spacing w:after="0" w:line="240" w:lineRule="auto"/>
      </w:pPr>
      <w:r>
        <w:separator/>
      </w:r>
    </w:p>
  </w:endnote>
  <w:endnote w:type="continuationSeparator" w:id="0">
    <w:p w14:paraId="066001C6" w14:textId="77777777" w:rsidR="00536BCD" w:rsidRDefault="00536BCD" w:rsidP="00AD6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621153"/>
      <w:docPartObj>
        <w:docPartGallery w:val="Page Numbers (Bottom of Page)"/>
        <w:docPartUnique/>
      </w:docPartObj>
    </w:sdtPr>
    <w:sdtContent>
      <w:p w14:paraId="2C36024B" w14:textId="156D6099" w:rsidR="00AD68EE" w:rsidRDefault="00AD68EE">
        <w:pPr>
          <w:pStyle w:val="Pieddepage"/>
          <w:jc w:val="right"/>
        </w:pPr>
        <w:r>
          <w:fldChar w:fldCharType="begin"/>
        </w:r>
        <w:r>
          <w:instrText>PAGE   \* MERGEFORMAT</w:instrText>
        </w:r>
        <w:r>
          <w:fldChar w:fldCharType="separate"/>
        </w:r>
        <w:r>
          <w:t>2</w:t>
        </w:r>
        <w:r>
          <w:fldChar w:fldCharType="end"/>
        </w:r>
      </w:p>
    </w:sdtContent>
  </w:sdt>
  <w:p w14:paraId="74ECE0D2" w14:textId="77777777" w:rsidR="00AD68EE" w:rsidRDefault="00AD68E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D9D89" w14:textId="77777777" w:rsidR="00536BCD" w:rsidRDefault="00536BCD" w:rsidP="00AD68EE">
      <w:pPr>
        <w:spacing w:after="0" w:line="240" w:lineRule="auto"/>
      </w:pPr>
      <w:r>
        <w:separator/>
      </w:r>
    </w:p>
  </w:footnote>
  <w:footnote w:type="continuationSeparator" w:id="0">
    <w:p w14:paraId="3FB5F0A7" w14:textId="77777777" w:rsidR="00536BCD" w:rsidRDefault="00536BCD" w:rsidP="00AD6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247BA" w14:textId="3EFFD931" w:rsidR="00AD68EE" w:rsidRDefault="00AD68EE">
    <w:pPr>
      <w:pStyle w:val="En-tte"/>
    </w:pPr>
    <w:r>
      <w:t>SI - Postcombustion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D2"/>
    <w:rsid w:val="00087378"/>
    <w:rsid w:val="003B22A5"/>
    <w:rsid w:val="00536BCD"/>
    <w:rsid w:val="006C13D2"/>
    <w:rsid w:val="006C3959"/>
    <w:rsid w:val="00895451"/>
    <w:rsid w:val="00975931"/>
    <w:rsid w:val="009A2C98"/>
    <w:rsid w:val="00AD68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2378"/>
  <w15:chartTrackingRefBased/>
  <w15:docId w15:val="{91A8AACA-8DEB-41BF-9233-D00AD9DE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68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A2C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D68EE"/>
    <w:pPr>
      <w:tabs>
        <w:tab w:val="center" w:pos="4536"/>
        <w:tab w:val="right" w:pos="9072"/>
      </w:tabs>
      <w:spacing w:after="0" w:line="240" w:lineRule="auto"/>
    </w:pPr>
  </w:style>
  <w:style w:type="character" w:customStyle="1" w:styleId="En-tteCar">
    <w:name w:val="En-tête Car"/>
    <w:basedOn w:val="Policepardfaut"/>
    <w:link w:val="En-tte"/>
    <w:uiPriority w:val="99"/>
    <w:rsid w:val="00AD68EE"/>
  </w:style>
  <w:style w:type="paragraph" w:styleId="Pieddepage">
    <w:name w:val="footer"/>
    <w:basedOn w:val="Normal"/>
    <w:link w:val="PieddepageCar"/>
    <w:uiPriority w:val="99"/>
    <w:unhideWhenUsed/>
    <w:rsid w:val="00AD68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D68EE"/>
  </w:style>
  <w:style w:type="paragraph" w:styleId="Titre">
    <w:name w:val="Title"/>
    <w:basedOn w:val="Normal"/>
    <w:next w:val="Normal"/>
    <w:link w:val="TitreCar"/>
    <w:uiPriority w:val="10"/>
    <w:qFormat/>
    <w:rsid w:val="00AD68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68EE"/>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AD68EE"/>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89545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895451"/>
    <w:rPr>
      <w:color w:val="0000FF"/>
      <w:u w:val="single"/>
    </w:rPr>
  </w:style>
  <w:style w:type="character" w:customStyle="1" w:styleId="citation">
    <w:name w:val="citation"/>
    <w:basedOn w:val="Policepardfaut"/>
    <w:rsid w:val="00895451"/>
  </w:style>
  <w:style w:type="character" w:customStyle="1" w:styleId="lang-en">
    <w:name w:val="lang-en"/>
    <w:basedOn w:val="Policepardfaut"/>
    <w:rsid w:val="00895451"/>
  </w:style>
  <w:style w:type="character" w:customStyle="1" w:styleId="Titre3Car">
    <w:name w:val="Titre 3 Car"/>
    <w:basedOn w:val="Policepardfaut"/>
    <w:link w:val="Titre3"/>
    <w:uiPriority w:val="9"/>
    <w:semiHidden/>
    <w:rsid w:val="009A2C98"/>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9A2C98"/>
  </w:style>
  <w:style w:type="paragraph" w:styleId="Lgende">
    <w:name w:val="caption"/>
    <w:basedOn w:val="Normal"/>
    <w:next w:val="Normal"/>
    <w:uiPriority w:val="35"/>
    <w:unhideWhenUsed/>
    <w:qFormat/>
    <w:rsid w:val="009A2C98"/>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087378"/>
    <w:pPr>
      <w:outlineLvl w:val="9"/>
    </w:pPr>
    <w:rPr>
      <w:lang w:eastAsia="fr-FR"/>
    </w:rPr>
  </w:style>
  <w:style w:type="paragraph" w:styleId="TM1">
    <w:name w:val="toc 1"/>
    <w:basedOn w:val="Normal"/>
    <w:next w:val="Normal"/>
    <w:autoRedefine/>
    <w:uiPriority w:val="39"/>
    <w:unhideWhenUsed/>
    <w:rsid w:val="0008737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661162">
      <w:bodyDiv w:val="1"/>
      <w:marLeft w:val="0"/>
      <w:marRight w:val="0"/>
      <w:marTop w:val="0"/>
      <w:marBottom w:val="0"/>
      <w:divBdr>
        <w:top w:val="none" w:sz="0" w:space="0" w:color="auto"/>
        <w:left w:val="none" w:sz="0" w:space="0" w:color="auto"/>
        <w:bottom w:val="none" w:sz="0" w:space="0" w:color="auto"/>
        <w:right w:val="none" w:sz="0" w:space="0" w:color="auto"/>
      </w:divBdr>
    </w:div>
    <w:div w:id="809905554">
      <w:bodyDiv w:val="1"/>
      <w:marLeft w:val="0"/>
      <w:marRight w:val="0"/>
      <w:marTop w:val="0"/>
      <w:marBottom w:val="0"/>
      <w:divBdr>
        <w:top w:val="none" w:sz="0" w:space="0" w:color="auto"/>
        <w:left w:val="none" w:sz="0" w:space="0" w:color="auto"/>
        <w:bottom w:val="none" w:sz="0" w:space="0" w:color="auto"/>
        <w:right w:val="none" w:sz="0" w:space="0" w:color="auto"/>
      </w:divBdr>
      <w:divsChild>
        <w:div w:id="1855459959">
          <w:marLeft w:val="0"/>
          <w:marRight w:val="0"/>
          <w:marTop w:val="0"/>
          <w:marBottom w:val="0"/>
          <w:divBdr>
            <w:top w:val="none" w:sz="0" w:space="0" w:color="auto"/>
            <w:left w:val="none" w:sz="0" w:space="0" w:color="auto"/>
            <w:bottom w:val="none" w:sz="0" w:space="0" w:color="auto"/>
            <w:right w:val="none" w:sz="0" w:space="0" w:color="auto"/>
          </w:divBdr>
        </w:div>
        <w:div w:id="996953911">
          <w:marLeft w:val="0"/>
          <w:marRight w:val="0"/>
          <w:marTop w:val="0"/>
          <w:marBottom w:val="0"/>
          <w:divBdr>
            <w:top w:val="none" w:sz="0" w:space="0" w:color="auto"/>
            <w:left w:val="none" w:sz="0" w:space="0" w:color="auto"/>
            <w:bottom w:val="none" w:sz="0" w:space="0" w:color="auto"/>
            <w:right w:val="none" w:sz="0" w:space="0" w:color="auto"/>
          </w:divBdr>
          <w:divsChild>
            <w:div w:id="1146167637">
              <w:marLeft w:val="0"/>
              <w:marRight w:val="0"/>
              <w:marTop w:val="0"/>
              <w:marBottom w:val="0"/>
              <w:divBdr>
                <w:top w:val="none" w:sz="0" w:space="0" w:color="auto"/>
                <w:left w:val="none" w:sz="0" w:space="0" w:color="auto"/>
                <w:bottom w:val="none" w:sz="0" w:space="0" w:color="auto"/>
                <w:right w:val="none" w:sz="0" w:space="0" w:color="auto"/>
              </w:divBdr>
              <w:divsChild>
                <w:div w:id="196230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1627">
          <w:marLeft w:val="0"/>
          <w:marRight w:val="0"/>
          <w:marTop w:val="0"/>
          <w:marBottom w:val="0"/>
          <w:divBdr>
            <w:top w:val="none" w:sz="0" w:space="0" w:color="auto"/>
            <w:left w:val="none" w:sz="0" w:space="0" w:color="auto"/>
            <w:bottom w:val="none" w:sz="0" w:space="0" w:color="auto"/>
            <w:right w:val="none" w:sz="0" w:space="0" w:color="auto"/>
          </w:divBdr>
        </w:div>
        <w:div w:id="148399419">
          <w:marLeft w:val="0"/>
          <w:marRight w:val="0"/>
          <w:marTop w:val="0"/>
          <w:marBottom w:val="0"/>
          <w:divBdr>
            <w:top w:val="none" w:sz="0" w:space="0" w:color="auto"/>
            <w:left w:val="none" w:sz="0" w:space="0" w:color="auto"/>
            <w:bottom w:val="none" w:sz="0" w:space="0" w:color="auto"/>
            <w:right w:val="none" w:sz="0" w:space="0" w:color="auto"/>
          </w:divBdr>
          <w:divsChild>
            <w:div w:id="667292510">
              <w:marLeft w:val="0"/>
              <w:marRight w:val="0"/>
              <w:marTop w:val="0"/>
              <w:marBottom w:val="0"/>
              <w:divBdr>
                <w:top w:val="none" w:sz="0" w:space="0" w:color="auto"/>
                <w:left w:val="none" w:sz="0" w:space="0" w:color="auto"/>
                <w:bottom w:val="none" w:sz="0" w:space="0" w:color="auto"/>
                <w:right w:val="none" w:sz="0" w:space="0" w:color="auto"/>
              </w:divBdr>
              <w:divsChild>
                <w:div w:id="2746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88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commons.wikimedia.org/wiki/File:MiG-23_afterburner_exhaust_airbrakes.jpg?uselang=fr"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590</Words>
  <Characters>3250</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5</cp:revision>
  <dcterms:created xsi:type="dcterms:W3CDTF">2022-12-20T10:48:00Z</dcterms:created>
  <dcterms:modified xsi:type="dcterms:W3CDTF">2023-04-22T13:56:00Z</dcterms:modified>
</cp:coreProperties>
</file>