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before="0"/>
        <w:jc w:val="center"/>
      </w:pPr>
      <w:r>
        <w:rPr>
          <w:rFonts w:ascii="Arial" w:cs="Arial" w:eastAsia="Arial" w:hAnsi="Arial"/>
          <w:b/>
          <w:bCs/>
          <w:color w:val="2E75B6"/>
          <w:sz w:val="20"/>
          <w:szCs w:val="20"/>
        </w:rPr>
        <w:t xml:space="preserve">ECHO STUDENT VOICES NETWORK</w:t>
      </w:r>
    </w:p>
    <w:p>
      <w:pPr>
        <w:pBdr>
          <w:bottom w:val="single" w:color="2E75B6" w:sz="8" w:space="4"/>
        </w:pBdr>
        <w:spacing w:after="200" w:before="0"/>
        <w:jc w:val="center"/>
      </w:pPr>
      <w:r>
        <w:rPr>
          <w:rFonts w:ascii="Arial" w:cs="Arial" w:eastAsia="Arial" w:hAnsi="Arial"/>
          <w:color w:val="777777"/>
          <w:sz w:val="18"/>
          <w:szCs w:val="18"/>
        </w:rPr>
        <w:t xml:space="preserve">Federal University of Technology, Akure</w:t>
      </w:r>
    </w:p>
    <w:p>
      <w:r>
        <w:t xml:space="preserve"/>
      </w:r>
    </w:p>
    <w:p>
      <w:pPr>
        <w:spacing w:after="120" w:before="0"/>
        <w:jc w:val="center"/>
      </w:pPr>
      <w:r>
        <w:rPr>
          <w:rFonts w:ascii="Arial" w:cs="Arial" w:eastAsia="Arial" w:hAnsi="Arial"/>
          <w:b/>
          <w:bCs/>
          <w:color w:val="1F4E8C"/>
          <w:sz w:val="52"/>
          <w:szCs w:val="52"/>
        </w:rPr>
        <w:t xml:space="preserve">CBT CENTRE EXPERIENCE AUDIT</w:t>
      </w:r>
    </w:p>
    <w:p>
      <w:pPr>
        <w:spacing w:after="80" w:before="0"/>
        <w:jc w:val="center"/>
      </w:pPr>
      <w:r>
        <w:rPr>
          <w:rFonts w:ascii="Arial" w:cs="Arial" w:eastAsia="Arial" w:hAnsi="Arial"/>
          <w:color w:val="2E75B6"/>
          <w:sz w:val="32"/>
          <w:szCs w:val="32"/>
        </w:rPr>
        <w:t xml:space="preserve">Student Experience Report</w:t>
      </w:r>
    </w:p>
    <w:p>
      <w:pPr>
        <w:spacing w:after="400" w:before="0"/>
        <w:jc w:val="center"/>
      </w:pPr>
      <w:r>
        <w:rPr>
          <w:rFonts w:ascii="Arial" w:cs="Arial" w:eastAsia="Arial" w:hAnsi="Arial"/>
          <w:color w:val="888888"/>
          <w:sz w:val="22"/>
          <w:szCs w:val="22"/>
        </w:rPr>
        <w:t xml:space="preserve">February 2026  |  317 Student Responses  |  10 Academic Schools</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00"/>
        <w:gridCol w:w="200"/>
        <w:gridCol w:w="2200"/>
        <w:gridCol w:w="200"/>
        <w:gridCol w:w="2200"/>
        <w:gridCol w:w="200"/>
        <w:gridCol w:w="2026"/>
      </w:tblGrid>
      <w:tr>
        <w:tc>
          <w:tcPr>
            <w:tcW w:type="dxa" w:w="2200"/>
            <w:tcBorders>
              <w:top w:val="none" w:color="FFFFFF" w:sz="0"/>
              <w:left w:val="none" w:color="FFFFFF" w:sz="0"/>
              <w:bottom w:val="none" w:color="FFFFFF" w:sz="0"/>
              <w:right w:val="none" w:color="FFFFFF" w:sz="0"/>
            </w:tcBorders>
            <w:shd w:fill="D6E4F0" w:val="clear"/>
            <w:tcMar>
              <w:top w:type="dxa" w:w="150"/>
              <w:left w:type="dxa" w:w="150"/>
              <w:bottom w:type="dxa" w:w="150"/>
              <w:right w:type="dxa" w:w="150"/>
            </w:tcMar>
            <w:vAlign w:val="center"/>
          </w:tcPr>
          <w:p>
            <w:pPr>
              <w:spacing w:after="40" w:before="0"/>
              <w:jc w:val="center"/>
            </w:pPr>
            <w:r>
              <w:rPr>
                <w:rFonts w:ascii="Arial" w:cs="Arial" w:eastAsia="Arial" w:hAnsi="Arial"/>
                <w:b/>
                <w:bCs/>
                <w:color w:val="1F4E8C"/>
                <w:sz w:val="52"/>
                <w:szCs w:val="52"/>
              </w:rPr>
              <w:t xml:space="preserve">83.9%</w:t>
            </w:r>
          </w:p>
          <w:p>
            <w:pPr>
              <w:spacing w:after="40" w:before="0"/>
              <w:jc w:val="center"/>
            </w:pPr>
            <w:r>
              <w:rPr>
                <w:rFonts w:ascii="Arial" w:cs="Arial" w:eastAsia="Arial" w:hAnsi="Arial"/>
                <w:b/>
                <w:bCs/>
                <w:color w:val="2E75B6"/>
                <w:sz w:val="26"/>
                <w:szCs w:val="26"/>
              </w:rPr>
              <w:t xml:space="preserve">266 of 317</w:t>
            </w:r>
          </w:p>
          <w:p>
            <w:pPr>
              <w:spacing w:after="0" w:before="0"/>
              <w:jc w:val="center"/>
            </w:pPr>
            <w:r>
              <w:rPr>
                <w:rFonts w:ascii="Arial" w:cs="Arial" w:eastAsia="Arial" w:hAnsi="Arial"/>
                <w:color w:val="555555"/>
                <w:sz w:val="18"/>
                <w:szCs w:val="18"/>
              </w:rPr>
              <w:t xml:space="preserve">Experienced Congestion</w:t>
            </w:r>
          </w:p>
        </w:tc>
        <w:tc>
          <w:tcPr>
            <w:tcW w:type="dxa" w:w="200"/>
            <w:tcBorders>
              <w:top w:val="none" w:color="FFFFFF" w:sz="0"/>
              <w:left w:val="none" w:color="FFFFFF" w:sz="0"/>
              <w:bottom w:val="none" w:color="FFFFFF" w:sz="0"/>
              <w:right w:val="none" w:color="FFFFFF" w:sz="0"/>
            </w:tcBorders>
          </w:tcPr>
          <w:p/>
        </w:tc>
        <w:tc>
          <w:tcPr>
            <w:tcW w:type="dxa" w:w="2200"/>
            <w:tcBorders>
              <w:top w:val="none" w:color="FFFFFF" w:sz="0"/>
              <w:left w:val="none" w:color="FFFFFF" w:sz="0"/>
              <w:bottom w:val="none" w:color="FFFFFF" w:sz="0"/>
              <w:right w:val="none" w:color="FFFFFF" w:sz="0"/>
            </w:tcBorders>
            <w:shd w:fill="D6E4F0" w:val="clear"/>
            <w:tcMar>
              <w:top w:type="dxa" w:w="150"/>
              <w:left w:type="dxa" w:w="150"/>
              <w:bottom w:type="dxa" w:w="150"/>
              <w:right w:type="dxa" w:w="150"/>
            </w:tcMar>
            <w:vAlign w:val="center"/>
          </w:tcPr>
          <w:p>
            <w:pPr>
              <w:spacing w:after="40" w:before="0"/>
              <w:jc w:val="center"/>
            </w:pPr>
            <w:r>
              <w:rPr>
                <w:rFonts w:ascii="Arial" w:cs="Arial" w:eastAsia="Arial" w:hAnsi="Arial"/>
                <w:b/>
                <w:bCs/>
                <w:color w:val="1F4E8C"/>
                <w:sz w:val="52"/>
                <w:szCs w:val="52"/>
              </w:rPr>
              <w:t xml:space="preserve">72.6%</w:t>
            </w:r>
          </w:p>
          <w:p>
            <w:pPr>
              <w:spacing w:after="40" w:before="0"/>
              <w:jc w:val="center"/>
            </w:pPr>
            <w:r>
              <w:rPr>
                <w:rFonts w:ascii="Arial" w:cs="Arial" w:eastAsia="Arial" w:hAnsi="Arial"/>
                <w:b/>
                <w:bCs/>
                <w:color w:val="2E75B6"/>
                <w:sz w:val="26"/>
                <w:szCs w:val="26"/>
              </w:rPr>
              <w:t xml:space="preserve">230 of 317</w:t>
            </w:r>
          </w:p>
          <w:p>
            <w:pPr>
              <w:spacing w:after="0" w:before="0"/>
              <w:jc w:val="center"/>
            </w:pPr>
            <w:r>
              <w:rPr>
                <w:rFonts w:ascii="Arial" w:cs="Arial" w:eastAsia="Arial" w:hAnsi="Arial"/>
                <w:color w:val="555555"/>
                <w:sz w:val="18"/>
                <w:szCs w:val="18"/>
              </w:rPr>
              <w:t xml:space="preserve">Waited 1+ Hours</w:t>
            </w:r>
          </w:p>
        </w:tc>
        <w:tc>
          <w:tcPr>
            <w:tcW w:type="dxa" w:w="200"/>
            <w:tcBorders>
              <w:top w:val="none" w:color="FFFFFF" w:sz="0"/>
              <w:left w:val="none" w:color="FFFFFF" w:sz="0"/>
              <w:bottom w:val="none" w:color="FFFFFF" w:sz="0"/>
              <w:right w:val="none" w:color="FFFFFF" w:sz="0"/>
            </w:tcBorders>
          </w:tcPr>
          <w:p/>
        </w:tc>
        <w:tc>
          <w:tcPr>
            <w:tcW w:type="dxa" w:w="2200"/>
            <w:tcBorders>
              <w:top w:val="none" w:color="FFFFFF" w:sz="0"/>
              <w:left w:val="none" w:color="FFFFFF" w:sz="0"/>
              <w:bottom w:val="none" w:color="FFFFFF" w:sz="0"/>
              <w:right w:val="none" w:color="FFFFFF" w:sz="0"/>
            </w:tcBorders>
            <w:shd w:fill="D6E4F0" w:val="clear"/>
            <w:tcMar>
              <w:top w:type="dxa" w:w="150"/>
              <w:left w:type="dxa" w:w="150"/>
              <w:bottom w:type="dxa" w:w="150"/>
              <w:right w:type="dxa" w:w="150"/>
            </w:tcMar>
            <w:vAlign w:val="center"/>
          </w:tcPr>
          <w:p>
            <w:pPr>
              <w:spacing w:after="40" w:before="0"/>
              <w:jc w:val="center"/>
            </w:pPr>
            <w:r>
              <w:rPr>
                <w:rFonts w:ascii="Arial" w:cs="Arial" w:eastAsia="Arial" w:hAnsi="Arial"/>
                <w:b/>
                <w:bCs/>
                <w:color w:val="1F4E8C"/>
                <w:sz w:val="52"/>
                <w:szCs w:val="52"/>
              </w:rPr>
              <w:t xml:space="preserve">63.4%</w:t>
            </w:r>
          </w:p>
          <w:p>
            <w:pPr>
              <w:spacing w:after="40" w:before="0"/>
              <w:jc w:val="center"/>
            </w:pPr>
            <w:r>
              <w:rPr>
                <w:rFonts w:ascii="Arial" w:cs="Arial" w:eastAsia="Arial" w:hAnsi="Arial"/>
                <w:b/>
                <w:bCs/>
                <w:color w:val="2E75B6"/>
                <w:sz w:val="26"/>
                <w:szCs w:val="26"/>
              </w:rPr>
              <w:t xml:space="preserve">201 of 317</w:t>
            </w:r>
          </w:p>
          <w:p>
            <w:pPr>
              <w:spacing w:after="0" w:before="0"/>
              <w:jc w:val="center"/>
            </w:pPr>
            <w:r>
              <w:rPr>
                <w:rFonts w:ascii="Arial" w:cs="Arial" w:eastAsia="Arial" w:hAnsi="Arial"/>
                <w:color w:val="555555"/>
                <w:sz w:val="18"/>
                <w:szCs w:val="18"/>
              </w:rPr>
              <w:t xml:space="preserve">Health Incident</w:t>
            </w:r>
          </w:p>
        </w:tc>
        <w:tc>
          <w:tcPr>
            <w:tcW w:type="dxa" w:w="200"/>
            <w:tcBorders>
              <w:top w:val="none" w:color="FFFFFF" w:sz="0"/>
              <w:left w:val="none" w:color="FFFFFF" w:sz="0"/>
              <w:bottom w:val="none" w:color="FFFFFF" w:sz="0"/>
              <w:right w:val="none" w:color="FFFFFF" w:sz="0"/>
            </w:tcBorders>
          </w:tcPr>
          <w:p/>
        </w:tc>
        <w:tc>
          <w:tcPr>
            <w:tcW w:type="dxa" w:w="2200"/>
            <w:tcBorders>
              <w:top w:val="none" w:color="FFFFFF" w:sz="0"/>
              <w:left w:val="none" w:color="FFFFFF" w:sz="0"/>
              <w:bottom w:val="none" w:color="FFFFFF" w:sz="0"/>
              <w:right w:val="none" w:color="FFFFFF" w:sz="0"/>
            </w:tcBorders>
            <w:shd w:fill="D6E4F0" w:val="clear"/>
            <w:tcMar>
              <w:top w:type="dxa" w:w="150"/>
              <w:left w:type="dxa" w:w="150"/>
              <w:bottom w:type="dxa" w:w="150"/>
              <w:right w:type="dxa" w:w="150"/>
            </w:tcMar>
            <w:vAlign w:val="center"/>
          </w:tcPr>
          <w:p>
            <w:pPr>
              <w:spacing w:after="40" w:before="0"/>
              <w:jc w:val="center"/>
            </w:pPr>
            <w:r>
              <w:rPr>
                <w:rFonts w:ascii="Arial" w:cs="Arial" w:eastAsia="Arial" w:hAnsi="Arial"/>
                <w:b/>
                <w:bCs/>
                <w:color w:val="1F4E8C"/>
                <w:sz w:val="52"/>
                <w:szCs w:val="52"/>
              </w:rPr>
              <w:t xml:space="preserve">59.9%</w:t>
            </w:r>
          </w:p>
          <w:p>
            <w:pPr>
              <w:spacing w:after="40" w:before="0"/>
              <w:jc w:val="center"/>
            </w:pPr>
            <w:r>
              <w:rPr>
                <w:rFonts w:ascii="Arial" w:cs="Arial" w:eastAsia="Arial" w:hAnsi="Arial"/>
                <w:b/>
                <w:bCs/>
                <w:color w:val="2E75B6"/>
                <w:sz w:val="26"/>
                <w:szCs w:val="26"/>
              </w:rPr>
              <w:t xml:space="preserve">190 of 317</w:t>
            </w:r>
          </w:p>
          <w:p>
            <w:pPr>
              <w:spacing w:after="0" w:before="0"/>
              <w:jc w:val="center"/>
            </w:pPr>
            <w:r>
              <w:rPr>
                <w:rFonts w:ascii="Arial" w:cs="Arial" w:eastAsia="Arial" w:hAnsi="Arial"/>
                <w:color w:val="555555"/>
                <w:sz w:val="18"/>
                <w:szCs w:val="18"/>
              </w:rPr>
              <w:t xml:space="preserve">Very High Crowding</w:t>
            </w:r>
          </w:p>
        </w:tc>
      </w:tr>
    </w:tbl>
    <w:p>
      <w:r>
        <w:t xml:space="preserve"/>
      </w:r>
    </w:p>
    <w:p>
      <w:r>
        <w:t xml:space="preserve"/>
      </w:r>
    </w:p>
    <w:p>
      <w:r>
        <w:t xml:space="preserve"/>
      </w:r>
    </w:p>
    <w:p>
      <w:r>
        <w:t xml:space="preserve"/>
      </w:r>
    </w:p>
    <w:p>
      <w:pPr>
        <w:spacing w:after="40" w:before="0"/>
        <w:jc w:val="center"/>
      </w:pPr>
      <w:r>
        <w:rPr>
          <w:rFonts w:ascii="Arial" w:cs="Arial" w:eastAsia="Arial" w:hAnsi="Arial"/>
          <w:color w:val="888888"/>
          <w:sz w:val="18"/>
          <w:szCs w:val="18"/>
        </w:rPr>
        <w:t xml:space="preserve">Prepared by:</w:t>
      </w:r>
    </w:p>
    <w:p>
      <w:pPr>
        <w:spacing w:after="40" w:before="0"/>
        <w:jc w:val="center"/>
      </w:pPr>
      <w:r>
        <w:rPr>
          <w:rFonts w:ascii="Arial" w:cs="Arial" w:eastAsia="Arial" w:hAnsi="Arial"/>
          <w:b/>
          <w:bCs/>
          <w:color w:val="1A1A1A"/>
          <w:sz w:val="24"/>
          <w:szCs w:val="24"/>
        </w:rPr>
        <w:t xml:space="preserve">Saheed Otubu</w:t>
      </w:r>
    </w:p>
    <w:p>
      <w:pPr>
        <w:spacing w:after="40" w:before="0"/>
        <w:jc w:val="center"/>
      </w:pPr>
      <w:r>
        <w:rPr>
          <w:rFonts w:ascii="Arial" w:cs="Arial" w:eastAsia="Arial" w:hAnsi="Arial"/>
          <w:color w:val="555555"/>
          <w:sz w:val="20"/>
          <w:szCs w:val="20"/>
        </w:rPr>
        <w:t xml:space="preserve">Founder, ECHO Student Voices Network  |  Data Analyst</w:t>
      </w:r>
    </w:p>
    <w:p>
      <w:pPr>
        <w:spacing w:after="0" w:before="0"/>
        <w:jc w:val="center"/>
      </w:pPr>
      <w:r>
        <w:rPr>
          <w:rFonts w:ascii="Arial" w:cs="Arial" w:eastAsia="Arial" w:hAnsi="Arial"/>
          <w:color w:val="2E75B6"/>
          <w:sz w:val="18"/>
          <w:szCs w:val="18"/>
        </w:rPr>
        <w:t xml:space="preserve">otubusaheedoluwakemi@gmail.com  |  www.linkedin.com/in/saheedotubu</w:t>
      </w:r>
    </w:p>
    <w:p>
      <w:r>
        <w:br w:type="page"/>
      </w:r>
    </w:p>
    <w:p>
      <w:pPr>
        <w:pStyle w:val="Heading1"/>
        <w:pBdr>
          <w:bottom w:val="single" w:color="2E75B6" w:sz="6" w:space="4"/>
        </w:pBdr>
        <w:spacing w:after="160" w:before="360"/>
      </w:pPr>
      <w:r>
        <w:rPr>
          <w:rFonts w:ascii="Arial" w:cs="Arial" w:eastAsia="Arial" w:hAnsi="Arial"/>
          <w:b/>
          <w:bCs/>
          <w:color w:val="1F4E8C"/>
          <w:sz w:val="28"/>
          <w:szCs w:val="28"/>
        </w:rPr>
        <w:t xml:space="preserve">Executive Summary</w:t>
      </w:r>
    </w:p>
    <w:p>
      <w:pPr>
        <w:spacing w:after="120" w:before="80"/>
        <w:jc w:val="left"/>
      </w:pPr>
      <w:r>
        <w:rPr>
          <w:rFonts w:ascii="Arial" w:cs="Arial" w:eastAsia="Arial" w:hAnsi="Arial"/>
          <w:b w:val="false"/>
          <w:bCs w:val="false"/>
          <w:i w:val="false"/>
          <w:iCs w:val="false"/>
          <w:color w:val="1A1A1A"/>
          <w:sz w:val="22"/>
          <w:szCs w:val="22"/>
        </w:rPr>
        <w:t xml:space="preserve">This report presents findings from a structured audit of student experiences at the Computer Resource Centre (CRC) at the Federal University of Technology, Akure (FUTA), conducted by ECHO Student Voices Network in February 2026. The audit collected 317 responses across 10 academic schools, representing a broad cross-section of the student population.</w:t>
      </w:r>
    </w:p>
    <w:p>
      <w:pPr>
        <w:spacing w:after="120" w:before="80"/>
        <w:jc w:val="left"/>
      </w:pPr>
      <w:r>
        <w:rPr>
          <w:rFonts w:ascii="Arial" w:cs="Arial" w:eastAsia="Arial" w:hAnsi="Arial"/>
          <w:b w:val="false"/>
          <w:bCs w:val="false"/>
          <w:i w:val="false"/>
          <w:iCs w:val="false"/>
          <w:color w:val="1A1A1A"/>
          <w:sz w:val="22"/>
          <w:szCs w:val="22"/>
        </w:rPr>
        <w:t xml:space="preserve">The data reveals a systemic crisis in CBT examination delivery. Severe congestion, extended waiting periods, and widespread health-related incidents are significantly undermining student welfare and academic performance. These are not isolated complaints — they are consistent, measurable patterns that demand institutional action.</w:t>
      </w:r>
    </w:p>
    <w:p>
      <w:pPr>
        <w:spacing w:after="120" w:before="80"/>
        <w:jc w:val="left"/>
      </w:pPr>
      <w:r>
        <w:rPr>
          <w:rFonts w:ascii="Arial" w:cs="Arial" w:eastAsia="Arial" w:hAnsi="Arial"/>
          <w:b w:val="false"/>
          <w:bCs w:val="false"/>
          <w:i/>
          <w:iCs/>
          <w:color w:val="2E75B6"/>
          <w:sz w:val="22"/>
          <w:szCs w:val="22"/>
        </w:rPr>
        <w:t xml:space="preserve">A formal university memorandum was issued within 24 hours of the submission of initial findings, confirming the credibility and urgency of this report.</w:t>
      </w:r>
    </w:p>
    <w:p>
      <w:r>
        <w:t xml:space="preserve"/>
      </w:r>
    </w:p>
    <w:p>
      <w:pPr>
        <w:pStyle w:val="Heading1"/>
        <w:pBdr>
          <w:bottom w:val="single" w:color="2E75B6" w:sz="6" w:space="4"/>
        </w:pBdr>
        <w:spacing w:after="160" w:before="360"/>
      </w:pPr>
      <w:r>
        <w:rPr>
          <w:rFonts w:ascii="Arial" w:cs="Arial" w:eastAsia="Arial" w:hAnsi="Arial"/>
          <w:b/>
          <w:bCs/>
          <w:color w:val="1F4E8C"/>
          <w:sz w:val="28"/>
          <w:szCs w:val="28"/>
        </w:rPr>
        <w:t xml:space="preserve">Methodology</w:t>
      </w:r>
    </w:p>
    <w:p>
      <w:pPr>
        <w:spacing w:after="120" w:before="80"/>
        <w:jc w:val="left"/>
      </w:pPr>
      <w:r>
        <w:rPr>
          <w:rFonts w:ascii="Arial" w:cs="Arial" w:eastAsia="Arial" w:hAnsi="Arial"/>
          <w:b w:val="false"/>
          <w:bCs w:val="false"/>
          <w:i w:val="false"/>
          <w:iCs w:val="false"/>
          <w:color w:val="1A1A1A"/>
          <w:sz w:val="22"/>
          <w:szCs w:val="22"/>
        </w:rPr>
        <w:t xml:space="preserve">The audit was designed and executed by ECHO Student Voices Network using a structured digital survey distributed across all academic schools at FUTA. Data collection took place in February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w:t>
            </w:r>
          </w:p>
        </w:tc>
        <w:tc>
          <w:tcPr>
            <w:tcW w:type="dxa" w:w="5526"/>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Total Responses</w:t>
            </w:r>
          </w:p>
        </w:tc>
        <w:tc>
          <w:tcPr>
            <w:tcW w:type="dxa" w:w="55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317 students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Schools Represented</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10 academic schools</w:t>
            </w:r>
          </w:p>
        </w:tc>
      </w:tr>
      <w:tr>
        <w:tc>
          <w:tcPr>
            <w:tcW w:type="dxa" w:w="3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Data Collection Method</w:t>
            </w:r>
          </w:p>
        </w:tc>
        <w:tc>
          <w:tcPr>
            <w:tcW w:type="dxa" w:w="55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Structured digital survey (Google Forms)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Collection Period</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February 2026</w:t>
            </w:r>
          </w:p>
        </w:tc>
      </w:tr>
      <w:tr>
        <w:tc>
          <w:tcPr>
            <w:tcW w:type="dxa" w:w="3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Dominant Respondent Levels</w:t>
            </w:r>
          </w:p>
        </w:tc>
        <w:tc>
          <w:tcPr>
            <w:tcW w:type="dxa" w:w="55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100 Level (46.4%) and 200 Level (41.0%)</w:t>
            </w:r>
          </w:p>
        </w:tc>
      </w:tr>
    </w:tbl>
    <w:p>
      <w:r>
        <w:t xml:space="preserve"/>
      </w:r>
    </w:p>
    <w:p>
      <w:pPr>
        <w:pStyle w:val="Heading1"/>
        <w:pBdr>
          <w:bottom w:val="single" w:color="2E75B6" w:sz="6" w:space="4"/>
        </w:pBdr>
        <w:spacing w:after="160" w:before="360"/>
      </w:pPr>
      <w:r>
        <w:rPr>
          <w:rFonts w:ascii="Arial" w:cs="Arial" w:eastAsia="Arial" w:hAnsi="Arial"/>
          <w:b/>
          <w:bCs/>
          <w:color w:val="1F4E8C"/>
          <w:sz w:val="28"/>
          <w:szCs w:val="28"/>
        </w:rPr>
        <w:t xml:space="preserve">Key Findings</w:t>
      </w:r>
    </w:p>
    <w:p>
      <w:pPr>
        <w:pStyle w:val="Heading2"/>
        <w:spacing w:after="120" w:before="240"/>
      </w:pPr>
      <w:r>
        <w:rPr>
          <w:rFonts w:ascii="Arial" w:cs="Arial" w:eastAsia="Arial" w:hAnsi="Arial"/>
          <w:b/>
          <w:bCs/>
          <w:color w:val="2E75B6"/>
          <w:sz w:val="24"/>
          <w:szCs w:val="24"/>
        </w:rPr>
        <w:t xml:space="preserve">1. Congestion is near-universal</w:t>
      </w:r>
    </w:p>
    <w:p>
      <w:pPr>
        <w:spacing w:after="120" w:before="80"/>
        <w:jc w:val="left"/>
      </w:pPr>
      <w:r>
        <w:rPr>
          <w:rFonts w:ascii="Arial" w:cs="Arial" w:eastAsia="Arial" w:hAnsi="Arial"/>
          <w:b w:val="false"/>
          <w:bCs w:val="false"/>
          <w:i w:val="false"/>
          <w:iCs w:val="false"/>
          <w:color w:val="1A1A1A"/>
          <w:sz w:val="22"/>
          <w:szCs w:val="22"/>
        </w:rPr>
        <w:t xml:space="preserve">83.9% of respondents (266 of 317) confirmed they experienced congestion at the CRC Centre on their test day. Only 16.1% reported no congestion. This near-universal rate indicates that congestion is not an occasional inconvenience — it is the standard student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c>
          <w:tcPr>
            <w:tcW w:type="dxa" w:w="500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Congestion Experienced</w:t>
            </w:r>
          </w:p>
        </w:tc>
        <w:tc>
          <w:tcPr>
            <w:tcW w:type="dxa" w:w="200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Responses</w:t>
            </w:r>
          </w:p>
        </w:tc>
        <w:tc>
          <w:tcPr>
            <w:tcW w:type="dxa" w:w="236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Percentage</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Yes — Experienced Congestion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266</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83.9%</w:t>
            </w:r>
          </w:p>
        </w:tc>
      </w:tr>
      <w:tr>
        <w:tc>
          <w:tcPr>
            <w:tcW w:type="dxa" w:w="5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No — Did Not Experience Congestion</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51</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16.1%</w:t>
            </w:r>
          </w:p>
        </w:tc>
      </w:tr>
      <w:tr>
        <w:tc>
          <w:tcPr>
            <w:tcW w:type="dxa" w:w="5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Total</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317</w:t>
            </w:r>
          </w:p>
        </w:tc>
        <w:tc>
          <w:tcPr>
            <w:tcW w:type="dxa" w:w="2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100%</w:t>
            </w:r>
          </w:p>
        </w:tc>
      </w:tr>
    </w:tbl>
    <w:p>
      <w:r>
        <w:t xml:space="preserve"/>
      </w:r>
    </w:p>
    <w:p>
      <w:pPr>
        <w:pStyle w:val="Heading2"/>
        <w:spacing w:after="120" w:before="240"/>
      </w:pPr>
      <w:r>
        <w:rPr>
          <w:rFonts w:ascii="Arial" w:cs="Arial" w:eastAsia="Arial" w:hAnsi="Arial"/>
          <w:b/>
          <w:bCs/>
          <w:color w:val="2E75B6"/>
          <w:sz w:val="24"/>
          <w:szCs w:val="24"/>
        </w:rPr>
        <w:t xml:space="preserve">2. Waiting times are excessive</w:t>
      </w:r>
    </w:p>
    <w:p>
      <w:pPr>
        <w:spacing w:after="120" w:before="80"/>
        <w:jc w:val="left"/>
      </w:pPr>
      <w:r>
        <w:rPr>
          <w:rFonts w:ascii="Arial" w:cs="Arial" w:eastAsia="Arial" w:hAnsi="Arial"/>
          <w:b w:val="false"/>
          <w:bCs w:val="false"/>
          <w:i w:val="false"/>
          <w:iCs w:val="false"/>
          <w:color w:val="1A1A1A"/>
          <w:sz w:val="22"/>
          <w:szCs w:val="22"/>
        </w:rPr>
        <w:t xml:space="preserve">72.6% of students waited more than one hour before their test commenced. Nearly half of all respondents (47.0%) waited over two hours. This is time lost to academic preparation, and for many students, the wait itself becomes physically and mentally exhausting before the exam begins.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c>
          <w:tcPr>
            <w:tcW w:type="dxa" w:w="500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Wait Time Before Test</w:t>
            </w:r>
          </w:p>
        </w:tc>
        <w:tc>
          <w:tcPr>
            <w:tcW w:type="dxa" w:w="200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Responses</w:t>
            </w:r>
          </w:p>
        </w:tc>
        <w:tc>
          <w:tcPr>
            <w:tcW w:type="dxa" w:w="236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Percentage</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More than 2 hours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149</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47.0%</w:t>
            </w:r>
          </w:p>
        </w:tc>
      </w:tr>
      <w:tr>
        <w:tc>
          <w:tcPr>
            <w:tcW w:type="dxa" w:w="5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 to 2 hours</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82</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25.9%</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30 to 60 minutes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54</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17.0%</w:t>
            </w:r>
          </w:p>
        </w:tc>
      </w:tr>
      <w:tr>
        <w:tc>
          <w:tcPr>
            <w:tcW w:type="dxa" w:w="5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Less than 30 minutes</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32</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10.1%</w:t>
            </w:r>
          </w:p>
        </w:tc>
      </w:tr>
      <w:tr>
        <w:tc>
          <w:tcPr>
            <w:tcW w:type="dxa" w:w="5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Total</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317</w:t>
            </w:r>
          </w:p>
        </w:tc>
        <w:tc>
          <w:tcPr>
            <w:tcW w:type="dxa" w:w="2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100%</w:t>
            </w:r>
          </w:p>
        </w:tc>
      </w:tr>
    </w:tbl>
    <w:p>
      <w:r>
        <w:t xml:space="preserve"/>
      </w:r>
    </w:p>
    <w:p>
      <w:pPr>
        <w:pStyle w:val="Heading2"/>
        <w:spacing w:after="120" w:before="240"/>
      </w:pPr>
      <w:r>
        <w:rPr>
          <w:rFonts w:ascii="Arial" w:cs="Arial" w:eastAsia="Arial" w:hAnsi="Arial"/>
          <w:b/>
          <w:bCs/>
          <w:color w:val="2E75B6"/>
          <w:sz w:val="24"/>
          <w:szCs w:val="24"/>
        </w:rPr>
        <w:t xml:space="preserve">3. Crowding levels are dangerous</w:t>
      </w:r>
    </w:p>
    <w:p>
      <w:pPr>
        <w:spacing w:after="120" w:before="80"/>
        <w:jc w:val="left"/>
      </w:pPr>
      <w:r>
        <w:rPr>
          <w:rFonts w:ascii="Arial" w:cs="Arial" w:eastAsia="Arial" w:hAnsi="Arial"/>
          <w:b w:val="false"/>
          <w:bCs w:val="false"/>
          <w:i w:val="false"/>
          <w:iCs w:val="false"/>
          <w:color w:val="1A1A1A"/>
          <w:sz w:val="22"/>
          <w:szCs w:val="22"/>
        </w:rPr>
        <w:t xml:space="preserve">An overwhelming 91.2% of students rated the level of crowding as High or Very High. Only 2.2% described crowding as Minimal. These conditions create physical risk, not merely discomfort.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c>
          <w:tcPr>
            <w:tcW w:type="dxa" w:w="500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Crowding Level Rating</w:t>
            </w:r>
          </w:p>
        </w:tc>
        <w:tc>
          <w:tcPr>
            <w:tcW w:type="dxa" w:w="200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Responses</w:t>
            </w:r>
          </w:p>
        </w:tc>
        <w:tc>
          <w:tcPr>
            <w:tcW w:type="dxa" w:w="236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Percentage</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Very High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190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59.9%</w:t>
            </w:r>
          </w:p>
        </w:tc>
      </w:tr>
      <w:tr>
        <w:tc>
          <w:tcPr>
            <w:tcW w:type="dxa" w:w="5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99</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31.2%</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Moderate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21</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6.6%</w:t>
            </w:r>
          </w:p>
        </w:tc>
      </w:tr>
      <w:tr>
        <w:tc>
          <w:tcPr>
            <w:tcW w:type="dxa" w:w="5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Minimal</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7</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2.2%</w:t>
            </w:r>
          </w:p>
        </w:tc>
      </w:tr>
      <w:tr>
        <w:tc>
          <w:tcPr>
            <w:tcW w:type="dxa" w:w="5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Total</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317</w:t>
            </w:r>
          </w:p>
        </w:tc>
        <w:tc>
          <w:tcPr>
            <w:tcW w:type="dxa" w:w="2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100%</w:t>
            </w:r>
          </w:p>
        </w:tc>
      </w:tr>
    </w:tbl>
    <w:p>
      <w:r>
        <w:t xml:space="preserve"/>
      </w:r>
    </w:p>
    <w:p>
      <w:pPr>
        <w:pStyle w:val="Heading2"/>
        <w:spacing w:after="120" w:before="240"/>
      </w:pPr>
      <w:r>
        <w:rPr>
          <w:rFonts w:ascii="Arial" w:cs="Arial" w:eastAsia="Arial" w:hAnsi="Arial"/>
          <w:b/>
          <w:bCs/>
          <w:color w:val="2E75B6"/>
          <w:sz w:val="24"/>
          <w:szCs w:val="24"/>
        </w:rPr>
        <w:t xml:space="preserve">4. Physical comfort is severely compromised</w:t>
      </w:r>
    </w:p>
    <w:p>
      <w:pPr>
        <w:spacing w:after="120" w:before="80"/>
        <w:jc w:val="left"/>
      </w:pPr>
      <w:r>
        <w:rPr>
          <w:rFonts w:ascii="Arial" w:cs="Arial" w:eastAsia="Arial" w:hAnsi="Arial"/>
          <w:b w:val="false"/>
          <w:bCs w:val="false"/>
          <w:i w:val="false"/>
          <w:iCs w:val="false"/>
          <w:color w:val="1A1A1A"/>
          <w:sz w:val="22"/>
          <w:szCs w:val="22"/>
        </w:rPr>
        <w:t xml:space="preserve">63.2% of students reported that congestion severely or moderately affected their physical comfort. Only 8.8% reported no effect at all. Students described conditions including extreme heat, physical contact, and inability to move freely.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c>
          <w:tcPr>
            <w:tcW w:type="dxa" w:w="500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Physical Comfort Impact</w:t>
            </w:r>
          </w:p>
        </w:tc>
        <w:tc>
          <w:tcPr>
            <w:tcW w:type="dxa" w:w="200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Responses</w:t>
            </w:r>
          </w:p>
        </w:tc>
        <w:tc>
          <w:tcPr>
            <w:tcW w:type="dxa" w:w="236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Percentage</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Severely Affected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126</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39.7%</w:t>
            </w:r>
          </w:p>
        </w:tc>
      </w:tr>
      <w:tr>
        <w:tc>
          <w:tcPr>
            <w:tcW w:type="dxa" w:w="5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Moderately Affected</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74</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23.3%</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Slightly Affected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89</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28.1%</w:t>
            </w:r>
          </w:p>
        </w:tc>
      </w:tr>
      <w:tr>
        <w:tc>
          <w:tcPr>
            <w:tcW w:type="dxa" w:w="5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Not Affected</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28</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8.8%</w:t>
            </w:r>
          </w:p>
        </w:tc>
      </w:tr>
      <w:tr>
        <w:tc>
          <w:tcPr>
            <w:tcW w:type="dxa" w:w="5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Total</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317</w:t>
            </w:r>
          </w:p>
        </w:tc>
        <w:tc>
          <w:tcPr>
            <w:tcW w:type="dxa" w:w="2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100%</w:t>
            </w:r>
          </w:p>
        </w:tc>
      </w:tr>
    </w:tbl>
    <w:p>
      <w:r>
        <w:t xml:space="preserve"/>
      </w:r>
    </w:p>
    <w:p>
      <w:pPr>
        <w:pStyle w:val="Heading2"/>
        <w:spacing w:after="120" w:before="240"/>
      </w:pPr>
      <w:r>
        <w:rPr>
          <w:rFonts w:ascii="Arial" w:cs="Arial" w:eastAsia="Arial" w:hAnsi="Arial"/>
          <w:b/>
          <w:bCs/>
          <w:color w:val="2E75B6"/>
          <w:sz w:val="24"/>
          <w:szCs w:val="24"/>
        </w:rPr>
        <w:t xml:space="preserve">5. Academic performance is undermined before the test begins</w:t>
      </w:r>
    </w:p>
    <w:p>
      <w:pPr>
        <w:spacing w:after="120" w:before="80"/>
        <w:jc w:val="left"/>
      </w:pPr>
      <w:r>
        <w:rPr>
          <w:rFonts w:ascii="Arial" w:cs="Arial" w:eastAsia="Arial" w:hAnsi="Arial"/>
          <w:b w:val="false"/>
          <w:bCs w:val="false"/>
          <w:i w:val="false"/>
          <w:iCs w:val="false"/>
          <w:color w:val="1A1A1A"/>
          <w:sz w:val="22"/>
          <w:szCs w:val="22"/>
        </w:rPr>
        <w:t xml:space="preserve">52.7% of students reported that waiting conditions severely or moderately affected their concentration and performance during the test. Students arrive at their examination already fatigued, stressed, and physically compromised. The CBT examination is not a fair assessment under these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c>
          <w:tcPr>
            <w:tcW w:type="dxa" w:w="500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Concentration &amp; Performance Impact</w:t>
            </w:r>
          </w:p>
        </w:tc>
        <w:tc>
          <w:tcPr>
            <w:tcW w:type="dxa" w:w="200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Responses</w:t>
            </w:r>
          </w:p>
        </w:tc>
        <w:tc>
          <w:tcPr>
            <w:tcW w:type="dxa" w:w="236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Percentage</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Severely Affected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99</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31.2%</w:t>
            </w:r>
          </w:p>
        </w:tc>
      </w:tr>
      <w:tr>
        <w:tc>
          <w:tcPr>
            <w:tcW w:type="dxa" w:w="5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Moderately Affected</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66</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20.8%</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Slightly Affected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111</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35.0%</w:t>
            </w:r>
          </w:p>
        </w:tc>
      </w:tr>
      <w:tr>
        <w:tc>
          <w:tcPr>
            <w:tcW w:type="dxa" w:w="5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Not Affected</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41</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12.9%</w:t>
            </w:r>
          </w:p>
        </w:tc>
      </w:tr>
      <w:tr>
        <w:tc>
          <w:tcPr>
            <w:tcW w:type="dxa" w:w="5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Total</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317</w:t>
            </w:r>
          </w:p>
        </w:tc>
        <w:tc>
          <w:tcPr>
            <w:tcW w:type="dxa" w:w="2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100%</w:t>
            </w:r>
          </w:p>
        </w:tc>
      </w:tr>
    </w:tbl>
    <w:p>
      <w:r>
        <w:t xml:space="preserve"/>
      </w:r>
    </w:p>
    <w:p>
      <w:pPr>
        <w:pStyle w:val="Heading2"/>
        <w:spacing w:after="120" w:before="240"/>
      </w:pPr>
      <w:r>
        <w:rPr>
          <w:rFonts w:ascii="Arial" w:cs="Arial" w:eastAsia="Arial" w:hAnsi="Arial"/>
          <w:b/>
          <w:bCs/>
          <w:color w:val="2E75B6"/>
          <w:sz w:val="24"/>
          <w:szCs w:val="24"/>
        </w:rPr>
        <w:t xml:space="preserve">6. Health incidents are alarmingly widespread</w:t>
      </w:r>
    </w:p>
    <w:p>
      <w:pPr>
        <w:spacing w:after="120" w:before="80"/>
        <w:jc w:val="left"/>
      </w:pPr>
      <w:r>
        <w:rPr>
          <w:rFonts w:ascii="Arial" w:cs="Arial" w:eastAsia="Arial" w:hAnsi="Arial"/>
          <w:b w:val="false"/>
          <w:bCs w:val="false"/>
          <w:i w:val="false"/>
          <w:iCs w:val="false"/>
          <w:color w:val="1A1A1A"/>
          <w:sz w:val="22"/>
          <w:szCs w:val="22"/>
        </w:rPr>
        <w:t xml:space="preserve">63.4% of respondents — 201 out of 317 students — reported witnessing or personally experiencing a health-related incident during the waiting period. Incidents described include fainting, dizziness, extreme discomfort, physical altercations, and collapse. This is not a welfare concern. This is a public health emergency.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c>
          <w:tcPr>
            <w:tcW w:type="dxa" w:w="500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Health Incident Witnessed / Experienced</w:t>
            </w:r>
          </w:p>
        </w:tc>
        <w:tc>
          <w:tcPr>
            <w:tcW w:type="dxa" w:w="200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Responses</w:t>
            </w:r>
          </w:p>
        </w:tc>
        <w:tc>
          <w:tcPr>
            <w:tcW w:type="dxa" w:w="236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Percentage</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Yes — Incident Occurred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201</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63.4%</w:t>
            </w:r>
          </w:p>
        </w:tc>
      </w:tr>
      <w:tr>
        <w:tc>
          <w:tcPr>
            <w:tcW w:type="dxa" w:w="5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No — No Incident</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116</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36.6%</w:t>
            </w:r>
          </w:p>
        </w:tc>
      </w:tr>
      <w:tr>
        <w:tc>
          <w:tcPr>
            <w:tcW w:type="dxa" w:w="5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Total</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317</w:t>
            </w:r>
          </w:p>
        </w:tc>
        <w:tc>
          <w:tcPr>
            <w:tcW w:type="dxa" w:w="2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8C"/>
                <w:sz w:val="20"/>
                <w:szCs w:val="20"/>
              </w:rPr>
              <w:t xml:space="preserve">100%</w:t>
            </w:r>
          </w:p>
        </w:tc>
      </w:tr>
    </w:tbl>
    <w:p>
      <w:r>
        <w:t xml:space="preserve"/>
      </w:r>
    </w:p>
    <w:p>
      <w:pPr>
        <w:pStyle w:val="Heading1"/>
        <w:pBdr>
          <w:bottom w:val="single" w:color="2E75B6" w:sz="6" w:space="4"/>
        </w:pBdr>
        <w:spacing w:after="160" w:before="360"/>
      </w:pPr>
      <w:r>
        <w:rPr>
          <w:rFonts w:ascii="Arial" w:cs="Arial" w:eastAsia="Arial" w:hAnsi="Arial"/>
          <w:b/>
          <w:bCs/>
          <w:color w:val="1F4E8C"/>
          <w:sz w:val="28"/>
          <w:szCs w:val="28"/>
        </w:rPr>
        <w:t xml:space="preserve">Student Voices</w:t>
      </w:r>
    </w:p>
    <w:p>
      <w:pPr>
        <w:spacing w:after="120" w:before="80"/>
        <w:jc w:val="left"/>
      </w:pPr>
      <w:r>
        <w:rPr>
          <w:rFonts w:ascii="Arial" w:cs="Arial" w:eastAsia="Arial" w:hAnsi="Arial"/>
          <w:b w:val="false"/>
          <w:bCs w:val="false"/>
          <w:i w:val="false"/>
          <w:iCs w:val="false"/>
          <w:color w:val="1A1A1A"/>
          <w:sz w:val="22"/>
          <w:szCs w:val="22"/>
        </w:rPr>
        <w:t xml:space="preserve">The following direct accounts were provided by respondents in their own words:</w:t>
      </w:r>
    </w:p>
    <w:p>
      <w:pPr>
        <w:pStyle w:val="ListParagraph"/>
        <w:numPr>
          <w:ilvl w:val="0"/>
          <w:numId w:val="2"/>
        </w:numPr>
        <w:spacing w:after="60" w:before="60"/>
      </w:pPr>
      <w:r>
        <w:rPr>
          <w:rFonts w:ascii="Arial" w:cs="Arial" w:eastAsia="Arial" w:hAnsi="Arial"/>
          <w:color w:val="1A1A1A"/>
          <w:sz w:val="22"/>
          <w:szCs w:val="22"/>
        </w:rPr>
        <w:t xml:space="preserve">"We were fighting over the line. I was pushed to the ground."</w:t>
      </w:r>
    </w:p>
    <w:p>
      <w:pPr>
        <w:pStyle w:val="ListParagraph"/>
        <w:numPr>
          <w:ilvl w:val="0"/>
          <w:numId w:val="2"/>
        </w:numPr>
        <w:spacing w:after="60" w:before="60"/>
      </w:pPr>
      <w:r>
        <w:rPr>
          <w:rFonts w:ascii="Arial" w:cs="Arial" w:eastAsia="Arial" w:hAnsi="Arial"/>
          <w:color w:val="1A1A1A"/>
          <w:sz w:val="22"/>
          <w:szCs w:val="22"/>
        </w:rPr>
        <w:t xml:space="preserve">"Someone fainted during the process and we were given little time for our main exam."</w:t>
      </w:r>
    </w:p>
    <w:p>
      <w:pPr>
        <w:pStyle w:val="ListParagraph"/>
        <w:numPr>
          <w:ilvl w:val="0"/>
          <w:numId w:val="2"/>
        </w:numPr>
        <w:spacing w:after="60" w:before="60"/>
      </w:pPr>
      <w:r>
        <w:rPr>
          <w:rFonts w:ascii="Arial" w:cs="Arial" w:eastAsia="Arial" w:hAnsi="Arial"/>
          <w:color w:val="1A1A1A"/>
          <w:sz w:val="22"/>
          <w:szCs w:val="22"/>
        </w:rPr>
        <w:t xml:space="preserve">"The long wait on the line made me feel stressed before the test."</w:t>
      </w:r>
    </w:p>
    <w:p>
      <w:pPr>
        <w:pStyle w:val="ListParagraph"/>
        <w:numPr>
          <w:ilvl w:val="0"/>
          <w:numId w:val="2"/>
        </w:numPr>
        <w:spacing w:after="60" w:before="60"/>
      </w:pPr>
      <w:r>
        <w:rPr>
          <w:rFonts w:ascii="Arial" w:cs="Arial" w:eastAsia="Arial" w:hAnsi="Arial"/>
          <w:color w:val="1A1A1A"/>
          <w:sz w:val="22"/>
          <w:szCs w:val="22"/>
        </w:rPr>
        <w:t xml:space="preserve">"Its one of the worst experiences."</w:t>
      </w:r>
    </w:p>
    <w:p>
      <w:pPr>
        <w:pStyle w:val="ListParagraph"/>
        <w:numPr>
          <w:ilvl w:val="0"/>
          <w:numId w:val="2"/>
        </w:numPr>
        <w:spacing w:after="60" w:before="60"/>
      </w:pPr>
      <w:r>
        <w:rPr>
          <w:rFonts w:ascii="Arial" w:cs="Arial" w:eastAsia="Arial" w:hAnsi="Arial"/>
          <w:color w:val="1A1A1A"/>
          <w:sz w:val="22"/>
          <w:szCs w:val="22"/>
        </w:rPr>
        <w:t xml:space="preserve">"Long wait before the test commence."</w:t>
      </w:r>
    </w:p>
    <w:p>
      <w:r>
        <w:t xml:space="preserve"/>
      </w:r>
    </w:p>
    <w:p>
      <w:pPr>
        <w:pStyle w:val="Heading1"/>
        <w:pBdr>
          <w:bottom w:val="single" w:color="2E75B6" w:sz="6" w:space="4"/>
        </w:pBdr>
        <w:spacing w:after="160" w:before="360"/>
      </w:pPr>
      <w:r>
        <w:rPr>
          <w:rFonts w:ascii="Arial" w:cs="Arial" w:eastAsia="Arial" w:hAnsi="Arial"/>
          <w:b/>
          <w:bCs/>
          <w:color w:val="1F4E8C"/>
          <w:sz w:val="28"/>
          <w:szCs w:val="28"/>
        </w:rPr>
        <w:t xml:space="preserve">Recommendations</w:t>
      </w:r>
    </w:p>
    <w:p>
      <w:pPr>
        <w:spacing w:after="120" w:before="80"/>
        <w:jc w:val="left"/>
      </w:pPr>
      <w:r>
        <w:rPr>
          <w:rFonts w:ascii="Arial" w:cs="Arial" w:eastAsia="Arial" w:hAnsi="Arial"/>
          <w:b w:val="false"/>
          <w:bCs w:val="false"/>
          <w:i w:val="false"/>
          <w:iCs w:val="false"/>
          <w:color w:val="1A1A1A"/>
          <w:sz w:val="22"/>
          <w:szCs w:val="22"/>
        </w:rPr>
        <w:t xml:space="preserve">The following recommendations were derived from student responses and structured analysis:</w:t>
      </w:r>
    </w:p>
    <w:p>
      <w:pPr>
        <w:pStyle w:val="Heading2"/>
        <w:spacing w:after="120" w:before="240"/>
      </w:pPr>
      <w:r>
        <w:rPr>
          <w:rFonts w:ascii="Arial" w:cs="Arial" w:eastAsia="Arial" w:hAnsi="Arial"/>
          <w:b/>
          <w:bCs/>
          <w:color w:val="2E75B6"/>
          <w:sz w:val="24"/>
          <w:szCs w:val="24"/>
        </w:rPr>
        <w:t xml:space="preserve">Immediate Actions (0 to 30 days)</w:t>
      </w:r>
    </w:p>
    <w:p>
      <w:pPr>
        <w:pStyle w:val="ListParagraph"/>
        <w:numPr>
          <w:ilvl w:val="0"/>
          <w:numId w:val="2"/>
        </w:numPr>
        <w:spacing w:after="60" w:before="60"/>
      </w:pPr>
      <w:r>
        <w:rPr>
          <w:rFonts w:ascii="Arial" w:cs="Arial" w:eastAsia="Arial" w:hAnsi="Arial"/>
          <w:color w:val="1A1A1A"/>
          <w:sz w:val="22"/>
          <w:szCs w:val="22"/>
        </w:rPr>
        <w:t xml:space="preserve">Implement strict time scheduling with enforced adherence per student batch</w:t>
      </w:r>
    </w:p>
    <w:p>
      <w:pPr>
        <w:pStyle w:val="ListParagraph"/>
        <w:numPr>
          <w:ilvl w:val="0"/>
          <w:numId w:val="2"/>
        </w:numPr>
        <w:spacing w:after="60" w:before="60"/>
      </w:pPr>
      <w:r>
        <w:rPr>
          <w:rFonts w:ascii="Arial" w:cs="Arial" w:eastAsia="Arial" w:hAnsi="Arial"/>
          <w:color w:val="1A1A1A"/>
          <w:sz w:val="22"/>
          <w:szCs w:val="22"/>
        </w:rPr>
        <w:t xml:space="preserve">Deploy crowd management personnel during CBT examination periods</w:t>
      </w:r>
    </w:p>
    <w:p>
      <w:pPr>
        <w:pStyle w:val="ListParagraph"/>
        <w:numPr>
          <w:ilvl w:val="0"/>
          <w:numId w:val="2"/>
        </w:numPr>
        <w:spacing w:after="60" w:before="60"/>
      </w:pPr>
      <w:r>
        <w:rPr>
          <w:rFonts w:ascii="Arial" w:cs="Arial" w:eastAsia="Arial" w:hAnsi="Arial"/>
          <w:color w:val="1A1A1A"/>
          <w:sz w:val="22"/>
          <w:szCs w:val="22"/>
        </w:rPr>
        <w:t xml:space="preserve">Establish a medical response protocol and first aid presence at the CRC Centre</w:t>
      </w:r>
    </w:p>
    <w:p>
      <w:pPr>
        <w:pStyle w:val="ListParagraph"/>
        <w:numPr>
          <w:ilvl w:val="0"/>
          <w:numId w:val="2"/>
        </w:numPr>
        <w:spacing w:after="60" w:before="60"/>
      </w:pPr>
      <w:r>
        <w:rPr>
          <w:rFonts w:ascii="Arial" w:cs="Arial" w:eastAsia="Arial" w:hAnsi="Arial"/>
          <w:color w:val="1A1A1A"/>
          <w:sz w:val="22"/>
          <w:szCs w:val="22"/>
        </w:rPr>
        <w:t xml:space="preserve">Create a formal queue management system to prevent physical altercations</w:t>
      </w:r>
    </w:p>
    <w:p>
      <w:pPr>
        <w:pStyle w:val="Heading2"/>
        <w:spacing w:after="120" w:before="240"/>
      </w:pPr>
      <w:r>
        <w:rPr>
          <w:rFonts w:ascii="Arial" w:cs="Arial" w:eastAsia="Arial" w:hAnsi="Arial"/>
          <w:b/>
          <w:bCs/>
          <w:color w:val="2E75B6"/>
          <w:sz w:val="24"/>
          <w:szCs w:val="24"/>
        </w:rPr>
        <w:t xml:space="preserve">Short-Term Actions (1 to 3 months)</w:t>
      </w:r>
    </w:p>
    <w:p>
      <w:pPr>
        <w:pStyle w:val="ListParagraph"/>
        <w:numPr>
          <w:ilvl w:val="0"/>
          <w:numId w:val="2"/>
        </w:numPr>
        <w:spacing w:after="60" w:before="60"/>
      </w:pPr>
      <w:r>
        <w:rPr>
          <w:rFonts w:ascii="Arial" w:cs="Arial" w:eastAsia="Arial" w:hAnsi="Arial"/>
          <w:color w:val="1A1A1A"/>
          <w:sz w:val="22"/>
          <w:szCs w:val="22"/>
        </w:rPr>
        <w:t xml:space="preserve">Schedule examinations by department or faculty to reduce simultaneous load</w:t>
      </w:r>
    </w:p>
    <w:p>
      <w:pPr>
        <w:pStyle w:val="ListParagraph"/>
        <w:numPr>
          <w:ilvl w:val="0"/>
          <w:numId w:val="2"/>
        </w:numPr>
        <w:spacing w:after="60" w:before="60"/>
      </w:pPr>
      <w:r>
        <w:rPr>
          <w:rFonts w:ascii="Arial" w:cs="Arial" w:eastAsia="Arial" w:hAnsi="Arial"/>
          <w:color w:val="1A1A1A"/>
          <w:sz w:val="22"/>
          <w:szCs w:val="22"/>
        </w:rPr>
        <w:t xml:space="preserve">Introduce multiple time slots to distribute student flow across the day</w:t>
      </w:r>
    </w:p>
    <w:p>
      <w:pPr>
        <w:pStyle w:val="ListParagraph"/>
        <w:numPr>
          <w:ilvl w:val="0"/>
          <w:numId w:val="2"/>
        </w:numPr>
        <w:spacing w:after="60" w:before="60"/>
      </w:pPr>
      <w:r>
        <w:rPr>
          <w:rFonts w:ascii="Arial" w:cs="Arial" w:eastAsia="Arial" w:hAnsi="Arial"/>
          <w:color w:val="1A1A1A"/>
          <w:sz w:val="22"/>
          <w:szCs w:val="22"/>
        </w:rPr>
        <w:t xml:space="preserve">Provide shaded or covered waiting areas with seating and ventilation</w:t>
      </w:r>
    </w:p>
    <w:p>
      <w:pPr>
        <w:pStyle w:val="ListParagraph"/>
        <w:numPr>
          <w:ilvl w:val="0"/>
          <w:numId w:val="2"/>
        </w:numPr>
        <w:spacing w:after="60" w:before="60"/>
      </w:pPr>
      <w:r>
        <w:rPr>
          <w:rFonts w:ascii="Arial" w:cs="Arial" w:eastAsia="Arial" w:hAnsi="Arial"/>
          <w:color w:val="1A1A1A"/>
          <w:sz w:val="22"/>
          <w:szCs w:val="22"/>
        </w:rPr>
        <w:t xml:space="preserve">Establish a real-time feedback channel for students during examination periods</w:t>
      </w:r>
    </w:p>
    <w:p>
      <w:pPr>
        <w:pStyle w:val="Heading2"/>
        <w:spacing w:after="120" w:before="240"/>
      </w:pPr>
      <w:r>
        <w:rPr>
          <w:rFonts w:ascii="Arial" w:cs="Arial" w:eastAsia="Arial" w:hAnsi="Arial"/>
          <w:b/>
          <w:bCs/>
          <w:color w:val="2E75B6"/>
          <w:sz w:val="24"/>
          <w:szCs w:val="24"/>
        </w:rPr>
        <w:t xml:space="preserve">Long-Term Actions (3 to 12 months)</w:t>
      </w:r>
    </w:p>
    <w:p>
      <w:pPr>
        <w:pStyle w:val="ListParagraph"/>
        <w:numPr>
          <w:ilvl w:val="0"/>
          <w:numId w:val="2"/>
        </w:numPr>
        <w:spacing w:after="60" w:before="60"/>
      </w:pPr>
      <w:r>
        <w:rPr>
          <w:rFonts w:ascii="Arial" w:cs="Arial" w:eastAsia="Arial" w:hAnsi="Arial"/>
          <w:color w:val="1A1A1A"/>
          <w:sz w:val="22"/>
          <w:szCs w:val="22"/>
        </w:rPr>
        <w:t xml:space="preserve">Expand CRC Centre capacity through additional computer systems or satellite centres</w:t>
      </w:r>
    </w:p>
    <w:p>
      <w:pPr>
        <w:pStyle w:val="ListParagraph"/>
        <w:numPr>
          <w:ilvl w:val="0"/>
          <w:numId w:val="2"/>
        </w:numPr>
        <w:spacing w:after="60" w:before="60"/>
      </w:pPr>
      <w:r>
        <w:rPr>
          <w:rFonts w:ascii="Arial" w:cs="Arial" w:eastAsia="Arial" w:hAnsi="Arial"/>
          <w:color w:val="1A1A1A"/>
          <w:sz w:val="22"/>
          <w:szCs w:val="22"/>
        </w:rPr>
        <w:t xml:space="preserve">Commission a formal infrastructure review of the CRC Centre relative to student population</w:t>
      </w:r>
    </w:p>
    <w:p>
      <w:pPr>
        <w:pStyle w:val="ListParagraph"/>
        <w:numPr>
          <w:ilvl w:val="0"/>
          <w:numId w:val="2"/>
        </w:numPr>
        <w:spacing w:after="60" w:before="60"/>
      </w:pPr>
      <w:r>
        <w:rPr>
          <w:rFonts w:ascii="Arial" w:cs="Arial" w:eastAsia="Arial" w:hAnsi="Arial"/>
          <w:color w:val="1A1A1A"/>
          <w:sz w:val="22"/>
          <w:szCs w:val="22"/>
        </w:rPr>
        <w:t xml:space="preserve">Develop a Student Experience Dashboard to monitor CBT delivery quality continuously</w:t>
      </w:r>
    </w:p>
    <w:p>
      <w:pPr>
        <w:pStyle w:val="ListParagraph"/>
        <w:numPr>
          <w:ilvl w:val="0"/>
          <w:numId w:val="2"/>
        </w:numPr>
        <w:spacing w:after="60" w:before="60"/>
      </w:pPr>
      <w:r>
        <w:rPr>
          <w:rFonts w:ascii="Arial" w:cs="Arial" w:eastAsia="Arial" w:hAnsi="Arial"/>
          <w:color w:val="1A1A1A"/>
          <w:sz w:val="22"/>
          <w:szCs w:val="22"/>
        </w:rPr>
        <w:t xml:space="preserve">Institutionalise student audits as part of the university's quality assurance process</w:t>
      </w:r>
    </w:p>
    <w:p>
      <w:r>
        <w:t xml:space="preserve"/>
      </w:r>
    </w:p>
    <w:p>
      <w:pPr>
        <w:pStyle w:val="Heading1"/>
        <w:pBdr>
          <w:bottom w:val="single" w:color="2E75B6" w:sz="6" w:space="4"/>
        </w:pBdr>
        <w:spacing w:after="160" w:before="360"/>
      </w:pPr>
      <w:r>
        <w:rPr>
          <w:rFonts w:ascii="Arial" w:cs="Arial" w:eastAsia="Arial" w:hAnsi="Arial"/>
          <w:b/>
          <w:bCs/>
          <w:color w:val="1F4E8C"/>
          <w:sz w:val="28"/>
          <w:szCs w:val="28"/>
        </w:rPr>
        <w:t xml:space="preserve">Conclusion</w:t>
      </w:r>
    </w:p>
    <w:p>
      <w:pPr>
        <w:spacing w:after="120" w:before="80"/>
        <w:jc w:val="left"/>
      </w:pPr>
      <w:r>
        <w:rPr>
          <w:rFonts w:ascii="Arial" w:cs="Arial" w:eastAsia="Arial" w:hAnsi="Arial"/>
          <w:b w:val="false"/>
          <w:bCs w:val="false"/>
          <w:i w:val="false"/>
          <w:iCs w:val="false"/>
          <w:color w:val="1A1A1A"/>
          <w:sz w:val="22"/>
          <w:szCs w:val="22"/>
        </w:rPr>
        <w:t xml:space="preserve">The data is unambiguous. The current state of CBT examination delivery at FUTA is failing students — not marginally, but severely and systematically. 83.9% experienced congestion. 63.4% witnessed or experienced health incidents. 72.6% waited over an hour before their exam began.</w:t>
      </w:r>
    </w:p>
    <w:p>
      <w:pPr>
        <w:spacing w:after="120" w:before="80"/>
        <w:jc w:val="left"/>
      </w:pPr>
      <w:r>
        <w:rPr>
          <w:rFonts w:ascii="Arial" w:cs="Arial" w:eastAsia="Arial" w:hAnsi="Arial"/>
          <w:b w:val="false"/>
          <w:bCs w:val="false"/>
          <w:i w:val="false"/>
          <w:iCs w:val="false"/>
          <w:color w:val="1A1A1A"/>
          <w:sz w:val="22"/>
          <w:szCs w:val="22"/>
        </w:rPr>
        <w:t xml:space="preserve">These are not complaints. They are documented facts, backed by 317 student responses across every academic school in the university.</w:t>
      </w:r>
    </w:p>
    <w:p>
      <w:pPr>
        <w:spacing w:after="120" w:before="80"/>
        <w:jc w:val="left"/>
      </w:pPr>
      <w:r>
        <w:rPr>
          <w:rFonts w:ascii="Arial" w:cs="Arial" w:eastAsia="Arial" w:hAnsi="Arial"/>
          <w:b w:val="false"/>
          <w:bCs w:val="false"/>
          <w:i w:val="false"/>
          <w:iCs w:val="false"/>
          <w:color w:val="1A1A1A"/>
          <w:sz w:val="22"/>
          <w:szCs w:val="22"/>
        </w:rPr>
        <w:t xml:space="preserve">ECHO Student Voices Network calls on university administration to treat this report not as feedback, but as a mandate for urgent, measurable reform. Students deserve examination conditions that give them a fair opportunity to succeed.</w:t>
      </w:r>
    </w:p>
    <w:p>
      <w:r>
        <w:t xml:space="preserve"/>
      </w:r>
    </w:p>
    <w:p>
      <w:pPr>
        <w:pBdr>
          <w:top w:val="single" w:color="2E75B6" w:sz="4" w:space="4"/>
        </w:pBdr>
        <w:spacing w:after="80" w:before="200"/>
        <w:jc w:val="center"/>
      </w:pPr>
      <w:r>
        <w:rPr>
          <w:rFonts w:ascii="Arial" w:cs="Arial" w:eastAsia="Arial" w:hAnsi="Arial"/>
          <w:color w:val="888888"/>
          <w:sz w:val="18"/>
          <w:szCs w:val="18"/>
        </w:rPr>
        <w:t xml:space="preserve">ECHO Student Voices Network  |  Federal University of Technology, Akure</w:t>
      </w:r>
    </w:p>
    <w:p>
      <w:pPr>
        <w:jc w:val="center"/>
      </w:pPr>
      <w:r>
        <w:rPr>
          <w:rFonts w:ascii="Arial" w:cs="Arial" w:eastAsia="Arial" w:hAnsi="Arial"/>
          <w:color w:val="2E75B6"/>
          <w:sz w:val="18"/>
          <w:szCs w:val="18"/>
        </w:rPr>
        <w:t xml:space="preserve">Saheed Otubu, Founder  |  otubusaheedoluwakemi@gmail.com  |  linkedin.com/in/saheedotubu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8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2026-04-02T22:54:11.972Z</dcterms:created>
  <dcterms:modified xsi:type="dcterms:W3CDTF">2026-04-02T22:54:11.973Z</dcterms:modified>
</cp:coreProperties>
</file>

<file path=docProps/custom.xml><?xml version="1.0" encoding="utf-8"?>
<Properties xmlns="http://schemas.openxmlformats.org/officeDocument/2006/custom-properties" xmlns:vt="http://schemas.openxmlformats.org/officeDocument/2006/docPropsVTypes"/>
</file>