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6F19" w:rsidRDefault="00C4399A">
      <w:pPr>
        <w:pStyle w:val="papertitle"/>
        <w:spacing w:before="100" w:after="100"/>
      </w:pPr>
      <w:r>
        <w:t xml:space="preserve">Paper Title* (use style: </w:t>
      </w:r>
      <w:r>
        <w:rPr>
          <w:i/>
          <w:iCs/>
        </w:rPr>
        <w:t>paper title</w:t>
      </w:r>
      <w:r>
        <w:t>)</w:t>
      </w:r>
    </w:p>
    <w:p w:rsidR="00A36F19" w:rsidRDefault="00C4399A">
      <w:pPr>
        <w:pStyle w:val="Author"/>
        <w:spacing w:before="100" w:after="100" w:line="120" w:lineRule="auto"/>
        <w:rPr>
          <w:sz w:val="16"/>
          <w:szCs w:val="16"/>
        </w:rPr>
      </w:pPr>
      <w:r>
        <w:rPr>
          <w:sz w:val="16"/>
          <w:szCs w:val="16"/>
        </w:rPr>
        <w:t>*Note: Sub-titles are not captured in Xplore and should not be used</w:t>
      </w:r>
    </w:p>
    <w:p w:rsidR="00A36F19" w:rsidRDefault="00A36F19">
      <w:pPr>
        <w:pStyle w:val="Author"/>
        <w:spacing w:before="100" w:after="100" w:line="120" w:lineRule="auto"/>
        <w:rPr>
          <w:sz w:val="16"/>
          <w:szCs w:val="16"/>
        </w:rPr>
      </w:pPr>
    </w:p>
    <w:p w:rsidR="00A36F19" w:rsidRDefault="00A36F19">
      <w:pPr>
        <w:pStyle w:val="Author"/>
        <w:spacing w:before="100" w:after="100" w:line="120" w:lineRule="auto"/>
        <w:sectPr w:rsidR="00A36F19">
          <w:headerReference w:type="default" r:id="rId8"/>
          <w:footerReference w:type="default" r:id="rId9"/>
          <w:headerReference w:type="first" r:id="rId10"/>
          <w:footerReference w:type="first" r:id="rId11"/>
          <w:pgSz w:w="11900" w:h="16840"/>
          <w:pgMar w:top="540" w:right="893" w:bottom="1440" w:left="893" w:header="720" w:footer="720" w:gutter="0"/>
          <w:cols w:space="720"/>
          <w:titlePg/>
        </w:sectPr>
      </w:pPr>
    </w:p>
    <w:p w:rsidR="00A36F19" w:rsidRDefault="00C4399A">
      <w:pPr>
        <w:pStyle w:val="Author"/>
        <w:spacing w:before="100"/>
        <w:rPr>
          <w:sz w:val="18"/>
          <w:szCs w:val="18"/>
        </w:rPr>
      </w:pPr>
      <w:r>
        <w:rPr>
          <w:sz w:val="18"/>
          <w:szCs w:val="18"/>
        </w:rPr>
        <w:t>line 1: 1</w:t>
      </w:r>
      <w:r>
        <w:rPr>
          <w:sz w:val="18"/>
          <w:szCs w:val="18"/>
          <w:vertAlign w:val="superscript"/>
        </w:rPr>
        <w:t>st</w:t>
      </w:r>
      <w:r>
        <w:rPr>
          <w:sz w:val="18"/>
          <w:szCs w:val="18"/>
        </w:rPr>
        <w:t xml:space="preserve"> Given Name Surname </w:t>
      </w:r>
      <w:r>
        <w:rPr>
          <w:sz w:val="18"/>
          <w:szCs w:val="18"/>
        </w:rPr>
        <w:br/>
      </w:r>
      <w:r>
        <w:rPr>
          <w:sz w:val="18"/>
          <w:szCs w:val="18"/>
        </w:rPr>
        <w:t xml:space="preserve">line 2: </w:t>
      </w:r>
      <w:r>
        <w:rPr>
          <w:i/>
          <w:iCs/>
          <w:sz w:val="18"/>
          <w:szCs w:val="18"/>
        </w:rPr>
        <w:t xml:space="preserve">dept. name of organization </w:t>
      </w:r>
      <w:r>
        <w:rPr>
          <w:i/>
          <w:iCs/>
          <w:sz w:val="18"/>
          <w:szCs w:val="18"/>
        </w:rPr>
        <w:br/>
      </w:r>
      <w:r>
        <w:rPr>
          <w:i/>
          <w:iCs/>
          <w:sz w:val="18"/>
          <w:szCs w:val="18"/>
        </w:rPr>
        <w:t>(of Affiliation)</w:t>
      </w:r>
      <w:r>
        <w:rPr>
          <w:sz w:val="18"/>
          <w:szCs w:val="18"/>
        </w:rPr>
        <w:br/>
      </w:r>
      <w:r>
        <w:rPr>
          <w:sz w:val="18"/>
          <w:szCs w:val="18"/>
        </w:rPr>
        <w:t xml:space="preserve">line 3: </w:t>
      </w:r>
      <w:r>
        <w:rPr>
          <w:i/>
          <w:iCs/>
          <w:sz w:val="18"/>
          <w:szCs w:val="18"/>
        </w:rPr>
        <w:t xml:space="preserve">name of organization </w:t>
      </w:r>
      <w:r>
        <w:rPr>
          <w:i/>
          <w:iCs/>
          <w:sz w:val="18"/>
          <w:szCs w:val="18"/>
        </w:rPr>
        <w:br/>
      </w:r>
      <w:r>
        <w:rPr>
          <w:i/>
          <w:iCs/>
          <w:sz w:val="18"/>
          <w:szCs w:val="18"/>
        </w:rPr>
        <w:t>(of Affiliation)</w:t>
      </w:r>
      <w:r>
        <w:rPr>
          <w:i/>
          <w:iCs/>
          <w:sz w:val="18"/>
          <w:szCs w:val="18"/>
        </w:rPr>
        <w:br/>
      </w:r>
      <w:r>
        <w:rPr>
          <w:sz w:val="18"/>
          <w:szCs w:val="18"/>
        </w:rPr>
        <w:t>line 4: City, Country</w:t>
      </w:r>
      <w:r>
        <w:rPr>
          <w:sz w:val="18"/>
          <w:szCs w:val="18"/>
        </w:rPr>
        <w:br/>
      </w:r>
      <w:r>
        <w:rPr>
          <w:sz w:val="18"/>
          <w:szCs w:val="18"/>
        </w:rPr>
        <w:t>line 5: email address or ORCID</w:t>
      </w:r>
    </w:p>
    <w:p w:rsidR="00A36F19" w:rsidRDefault="00C4399A">
      <w:pPr>
        <w:pStyle w:val="Author"/>
        <w:spacing w:before="100"/>
      </w:pPr>
      <w:r>
        <w:rPr>
          <w:sz w:val="18"/>
          <w:szCs w:val="18"/>
        </w:rPr>
        <w:t>line 1: 4</w:t>
      </w:r>
      <w:r>
        <w:rPr>
          <w:sz w:val="18"/>
          <w:szCs w:val="18"/>
          <w:vertAlign w:val="superscript"/>
        </w:rPr>
        <w:t>th</w:t>
      </w:r>
      <w:r>
        <w:rPr>
          <w:sz w:val="18"/>
          <w:szCs w:val="18"/>
        </w:rPr>
        <w:t xml:space="preserve"> Given Name Surname</w:t>
      </w:r>
      <w:r>
        <w:rPr>
          <w:sz w:val="18"/>
          <w:szCs w:val="18"/>
        </w:rPr>
        <w:br/>
      </w:r>
      <w:r>
        <w:rPr>
          <w:sz w:val="18"/>
          <w:szCs w:val="18"/>
        </w:rPr>
        <w:t xml:space="preserve">line 2: </w:t>
      </w:r>
      <w:r>
        <w:rPr>
          <w:i/>
          <w:iCs/>
          <w:sz w:val="18"/>
          <w:szCs w:val="18"/>
        </w:rPr>
        <w:t>dept. name of organization</w:t>
      </w:r>
      <w:r>
        <w:rPr>
          <w:sz w:val="18"/>
          <w:szCs w:val="18"/>
        </w:rPr>
        <w:br/>
      </w:r>
      <w:r>
        <w:rPr>
          <w:i/>
          <w:iCs/>
          <w:sz w:val="18"/>
          <w:szCs w:val="18"/>
        </w:rPr>
        <w:t>(of Affiliation)</w:t>
      </w:r>
      <w:r>
        <w:rPr>
          <w:sz w:val="18"/>
          <w:szCs w:val="18"/>
        </w:rPr>
        <w:br/>
      </w:r>
      <w:r>
        <w:rPr>
          <w:sz w:val="18"/>
          <w:szCs w:val="18"/>
        </w:rPr>
        <w:t xml:space="preserve">line 3: </w:t>
      </w:r>
      <w:r>
        <w:rPr>
          <w:i/>
          <w:iCs/>
          <w:sz w:val="18"/>
          <w:szCs w:val="18"/>
        </w:rPr>
        <w:t xml:space="preserve">name of organization </w:t>
      </w:r>
      <w:r>
        <w:rPr>
          <w:i/>
          <w:iCs/>
          <w:sz w:val="18"/>
          <w:szCs w:val="18"/>
        </w:rPr>
        <w:br/>
      </w:r>
      <w:r>
        <w:rPr>
          <w:i/>
          <w:iCs/>
          <w:sz w:val="18"/>
          <w:szCs w:val="18"/>
        </w:rPr>
        <w:t>(of Affiliation)</w:t>
      </w:r>
      <w:r>
        <w:rPr>
          <w:i/>
          <w:iCs/>
          <w:sz w:val="18"/>
          <w:szCs w:val="18"/>
        </w:rPr>
        <w:br/>
      </w:r>
      <w:r>
        <w:rPr>
          <w:sz w:val="18"/>
          <w:szCs w:val="18"/>
        </w:rPr>
        <w:t>line 4: City, Country</w:t>
      </w:r>
      <w:r>
        <w:rPr>
          <w:sz w:val="18"/>
          <w:szCs w:val="18"/>
        </w:rPr>
        <w:br/>
      </w:r>
      <w:r>
        <w:rPr>
          <w:sz w:val="18"/>
          <w:szCs w:val="18"/>
        </w:rPr>
        <w:t xml:space="preserve">line 5: email </w:t>
      </w:r>
      <w:proofErr w:type="gramStart"/>
      <w:r>
        <w:rPr>
          <w:sz w:val="18"/>
          <w:szCs w:val="18"/>
        </w:rPr>
        <w:t>address  or</w:t>
      </w:r>
      <w:proofErr w:type="gramEnd"/>
      <w:r>
        <w:rPr>
          <w:sz w:val="18"/>
          <w:szCs w:val="18"/>
        </w:rPr>
        <w:t xml:space="preserve"> ORCID</w:t>
      </w:r>
      <w:r>
        <w:rPr>
          <w:rFonts w:ascii="Arial Unicode MS" w:hAnsi="Arial Unicode MS"/>
          <w:sz w:val="18"/>
          <w:szCs w:val="18"/>
        </w:rPr>
        <w:br w:type="column"/>
      </w:r>
    </w:p>
    <w:p w:rsidR="00A36F19" w:rsidRDefault="00A36F19">
      <w:pPr>
        <w:pStyle w:val="Author"/>
        <w:spacing w:before="100"/>
      </w:pPr>
    </w:p>
    <w:p w:rsidR="00A36F19" w:rsidRDefault="00C4399A">
      <w:pPr>
        <w:pStyle w:val="Author"/>
        <w:spacing w:before="100"/>
        <w:rPr>
          <w:sz w:val="18"/>
          <w:szCs w:val="18"/>
        </w:rPr>
      </w:pPr>
      <w:r>
        <w:rPr>
          <w:sz w:val="18"/>
          <w:szCs w:val="18"/>
        </w:rPr>
        <w:t>line 1: 2</w:t>
      </w:r>
      <w:r>
        <w:rPr>
          <w:sz w:val="18"/>
          <w:szCs w:val="18"/>
          <w:vertAlign w:val="superscript"/>
        </w:rPr>
        <w:t>nd</w:t>
      </w:r>
      <w:r>
        <w:rPr>
          <w:sz w:val="18"/>
          <w:szCs w:val="18"/>
        </w:rPr>
        <w:t xml:space="preserve"> Given Name Surname</w:t>
      </w:r>
      <w:r>
        <w:rPr>
          <w:sz w:val="18"/>
          <w:szCs w:val="18"/>
        </w:rPr>
        <w:br/>
      </w:r>
      <w:r>
        <w:rPr>
          <w:sz w:val="18"/>
          <w:szCs w:val="18"/>
        </w:rPr>
        <w:t xml:space="preserve">line 2: </w:t>
      </w:r>
      <w:r>
        <w:rPr>
          <w:i/>
          <w:iCs/>
          <w:sz w:val="18"/>
          <w:szCs w:val="18"/>
        </w:rPr>
        <w:t xml:space="preserve">dept. name of organization </w:t>
      </w:r>
      <w:r>
        <w:rPr>
          <w:i/>
          <w:iCs/>
          <w:sz w:val="18"/>
          <w:szCs w:val="18"/>
        </w:rPr>
        <w:br/>
      </w:r>
      <w:r>
        <w:rPr>
          <w:i/>
          <w:iCs/>
          <w:sz w:val="18"/>
          <w:szCs w:val="18"/>
        </w:rPr>
        <w:t>(of Affiliation)</w:t>
      </w:r>
      <w:r>
        <w:rPr>
          <w:sz w:val="18"/>
          <w:szCs w:val="18"/>
        </w:rPr>
        <w:br/>
      </w:r>
      <w:r>
        <w:rPr>
          <w:sz w:val="18"/>
          <w:szCs w:val="18"/>
        </w:rPr>
        <w:t xml:space="preserve">line 3: </w:t>
      </w:r>
      <w:r>
        <w:rPr>
          <w:i/>
          <w:iCs/>
          <w:sz w:val="18"/>
          <w:szCs w:val="18"/>
        </w:rPr>
        <w:t xml:space="preserve">name of organization </w:t>
      </w:r>
      <w:r>
        <w:rPr>
          <w:i/>
          <w:iCs/>
          <w:sz w:val="18"/>
          <w:szCs w:val="18"/>
        </w:rPr>
        <w:br/>
      </w:r>
      <w:r>
        <w:rPr>
          <w:i/>
          <w:iCs/>
          <w:sz w:val="18"/>
          <w:szCs w:val="18"/>
        </w:rPr>
        <w:t>(of Affiliation)</w:t>
      </w:r>
      <w:r>
        <w:rPr>
          <w:i/>
          <w:iCs/>
          <w:sz w:val="18"/>
          <w:szCs w:val="18"/>
        </w:rPr>
        <w:br/>
      </w:r>
      <w:r>
        <w:rPr>
          <w:sz w:val="18"/>
          <w:szCs w:val="18"/>
        </w:rPr>
        <w:t>line 4: City, Country</w:t>
      </w:r>
      <w:r>
        <w:rPr>
          <w:sz w:val="18"/>
          <w:szCs w:val="18"/>
        </w:rPr>
        <w:br/>
      </w:r>
      <w:r>
        <w:rPr>
          <w:sz w:val="18"/>
          <w:szCs w:val="18"/>
        </w:rPr>
        <w:t>line 5: email address or ORCID</w:t>
      </w:r>
    </w:p>
    <w:p w:rsidR="00A36F19" w:rsidRDefault="00C4399A">
      <w:pPr>
        <w:pStyle w:val="Author"/>
        <w:spacing w:before="100"/>
      </w:pPr>
      <w:r>
        <w:rPr>
          <w:sz w:val="18"/>
          <w:szCs w:val="18"/>
        </w:rPr>
        <w:t>line 1: 5</w:t>
      </w:r>
      <w:r>
        <w:rPr>
          <w:sz w:val="18"/>
          <w:szCs w:val="18"/>
          <w:vertAlign w:val="superscript"/>
        </w:rPr>
        <w:t>th</w:t>
      </w:r>
      <w:r>
        <w:rPr>
          <w:sz w:val="18"/>
          <w:szCs w:val="18"/>
        </w:rPr>
        <w:t xml:space="preserve"> Given Name Surname</w:t>
      </w:r>
      <w:r>
        <w:rPr>
          <w:sz w:val="18"/>
          <w:szCs w:val="18"/>
        </w:rPr>
        <w:br/>
      </w:r>
      <w:r>
        <w:rPr>
          <w:sz w:val="18"/>
          <w:szCs w:val="18"/>
        </w:rPr>
        <w:t xml:space="preserve">line 2: </w:t>
      </w:r>
      <w:r>
        <w:rPr>
          <w:i/>
          <w:iCs/>
          <w:sz w:val="18"/>
          <w:szCs w:val="18"/>
        </w:rPr>
        <w:t xml:space="preserve">dept. name of organization </w:t>
      </w:r>
      <w:r>
        <w:rPr>
          <w:i/>
          <w:iCs/>
          <w:sz w:val="18"/>
          <w:szCs w:val="18"/>
        </w:rPr>
        <w:br/>
      </w:r>
      <w:r>
        <w:rPr>
          <w:i/>
          <w:iCs/>
          <w:sz w:val="18"/>
          <w:szCs w:val="18"/>
        </w:rPr>
        <w:t>(of Affiliation)</w:t>
      </w:r>
      <w:r>
        <w:rPr>
          <w:sz w:val="18"/>
          <w:szCs w:val="18"/>
        </w:rPr>
        <w:br/>
      </w:r>
      <w:r>
        <w:rPr>
          <w:sz w:val="18"/>
          <w:szCs w:val="18"/>
        </w:rPr>
        <w:t xml:space="preserve">line 3: </w:t>
      </w:r>
      <w:r>
        <w:rPr>
          <w:i/>
          <w:iCs/>
          <w:sz w:val="18"/>
          <w:szCs w:val="18"/>
        </w:rPr>
        <w:t xml:space="preserve">name of organization </w:t>
      </w:r>
      <w:r>
        <w:rPr>
          <w:i/>
          <w:iCs/>
          <w:sz w:val="18"/>
          <w:szCs w:val="18"/>
        </w:rPr>
        <w:br/>
      </w:r>
      <w:r>
        <w:rPr>
          <w:i/>
          <w:iCs/>
          <w:sz w:val="18"/>
          <w:szCs w:val="18"/>
        </w:rPr>
        <w:t>(of Affiliation)</w:t>
      </w:r>
      <w:r>
        <w:rPr>
          <w:i/>
          <w:iCs/>
          <w:sz w:val="18"/>
          <w:szCs w:val="18"/>
        </w:rPr>
        <w:br/>
      </w:r>
      <w:r>
        <w:rPr>
          <w:sz w:val="18"/>
          <w:szCs w:val="18"/>
        </w:rPr>
        <w:t>line 4: City, Country</w:t>
      </w:r>
      <w:r>
        <w:rPr>
          <w:sz w:val="18"/>
          <w:szCs w:val="18"/>
        </w:rPr>
        <w:br/>
      </w:r>
      <w:r>
        <w:rPr>
          <w:sz w:val="18"/>
          <w:szCs w:val="18"/>
        </w:rPr>
        <w:t xml:space="preserve">line 5: email </w:t>
      </w:r>
      <w:proofErr w:type="gramStart"/>
      <w:r>
        <w:rPr>
          <w:sz w:val="18"/>
          <w:szCs w:val="18"/>
        </w:rPr>
        <w:t>address  or</w:t>
      </w:r>
      <w:proofErr w:type="gramEnd"/>
      <w:r>
        <w:rPr>
          <w:sz w:val="18"/>
          <w:szCs w:val="18"/>
        </w:rPr>
        <w:t xml:space="preserve"> ORCID</w:t>
      </w:r>
      <w:r>
        <w:rPr>
          <w:rFonts w:ascii="Arial Unicode MS" w:hAnsi="Arial Unicode MS"/>
          <w:sz w:val="18"/>
          <w:szCs w:val="18"/>
        </w:rPr>
        <w:br w:type="column"/>
      </w:r>
    </w:p>
    <w:p w:rsidR="00A36F19" w:rsidRDefault="00A36F19">
      <w:pPr>
        <w:pStyle w:val="Author"/>
        <w:spacing w:before="100"/>
      </w:pPr>
    </w:p>
    <w:p w:rsidR="00A36F19" w:rsidRDefault="00C4399A">
      <w:pPr>
        <w:pStyle w:val="Author"/>
        <w:spacing w:before="100"/>
        <w:rPr>
          <w:sz w:val="18"/>
          <w:szCs w:val="18"/>
        </w:rPr>
      </w:pPr>
      <w:r>
        <w:rPr>
          <w:sz w:val="18"/>
          <w:szCs w:val="18"/>
        </w:rPr>
        <w:t>line 1: 3</w:t>
      </w:r>
      <w:r>
        <w:rPr>
          <w:sz w:val="18"/>
          <w:szCs w:val="18"/>
          <w:vertAlign w:val="superscript"/>
        </w:rPr>
        <w:t>rd</w:t>
      </w:r>
      <w:r>
        <w:rPr>
          <w:sz w:val="18"/>
          <w:szCs w:val="18"/>
        </w:rPr>
        <w:t xml:space="preserve"> Given Name Surname</w:t>
      </w:r>
      <w:r>
        <w:rPr>
          <w:sz w:val="18"/>
          <w:szCs w:val="18"/>
        </w:rPr>
        <w:br/>
      </w:r>
      <w:r>
        <w:rPr>
          <w:sz w:val="18"/>
          <w:szCs w:val="18"/>
        </w:rPr>
        <w:t>line 2</w:t>
      </w:r>
      <w:r>
        <w:rPr>
          <w:sz w:val="18"/>
          <w:szCs w:val="18"/>
        </w:rPr>
        <w:t xml:space="preserve">: </w:t>
      </w:r>
      <w:r>
        <w:rPr>
          <w:i/>
          <w:iCs/>
          <w:sz w:val="18"/>
          <w:szCs w:val="18"/>
        </w:rPr>
        <w:t xml:space="preserve">dept. name of organization </w:t>
      </w:r>
      <w:r>
        <w:rPr>
          <w:i/>
          <w:iCs/>
          <w:sz w:val="18"/>
          <w:szCs w:val="18"/>
        </w:rPr>
        <w:br/>
      </w:r>
      <w:r>
        <w:rPr>
          <w:i/>
          <w:iCs/>
          <w:sz w:val="18"/>
          <w:szCs w:val="18"/>
        </w:rPr>
        <w:t>(of Affiliation)</w:t>
      </w:r>
      <w:r>
        <w:rPr>
          <w:sz w:val="18"/>
          <w:szCs w:val="18"/>
        </w:rPr>
        <w:br/>
      </w:r>
      <w:r>
        <w:rPr>
          <w:sz w:val="18"/>
          <w:szCs w:val="18"/>
        </w:rPr>
        <w:t xml:space="preserve">line 3: </w:t>
      </w:r>
      <w:r>
        <w:rPr>
          <w:i/>
          <w:iCs/>
          <w:sz w:val="18"/>
          <w:szCs w:val="18"/>
        </w:rPr>
        <w:t xml:space="preserve">name of organization </w:t>
      </w:r>
      <w:r>
        <w:rPr>
          <w:i/>
          <w:iCs/>
          <w:sz w:val="18"/>
          <w:szCs w:val="18"/>
        </w:rPr>
        <w:br/>
      </w:r>
      <w:r>
        <w:rPr>
          <w:i/>
          <w:iCs/>
          <w:sz w:val="18"/>
          <w:szCs w:val="18"/>
        </w:rPr>
        <w:t>(of Affiliation)</w:t>
      </w:r>
      <w:r>
        <w:rPr>
          <w:i/>
          <w:iCs/>
          <w:sz w:val="18"/>
          <w:szCs w:val="18"/>
        </w:rPr>
        <w:br/>
      </w:r>
      <w:r>
        <w:rPr>
          <w:sz w:val="18"/>
          <w:szCs w:val="18"/>
        </w:rPr>
        <w:t>line 4: City, Country</w:t>
      </w:r>
      <w:r>
        <w:rPr>
          <w:sz w:val="18"/>
          <w:szCs w:val="18"/>
        </w:rPr>
        <w:br/>
      </w:r>
      <w:r>
        <w:rPr>
          <w:sz w:val="18"/>
          <w:szCs w:val="18"/>
        </w:rPr>
        <w:t>line 5: email address or ORCID</w:t>
      </w:r>
    </w:p>
    <w:p w:rsidR="00A36F19" w:rsidRDefault="00C4399A">
      <w:pPr>
        <w:pStyle w:val="Author"/>
        <w:spacing w:before="100"/>
      </w:pPr>
      <w:r>
        <w:rPr>
          <w:sz w:val="18"/>
          <w:szCs w:val="18"/>
        </w:rPr>
        <w:t>line 1: 6</w:t>
      </w:r>
      <w:r>
        <w:rPr>
          <w:sz w:val="18"/>
          <w:szCs w:val="18"/>
          <w:vertAlign w:val="superscript"/>
        </w:rPr>
        <w:t>th</w:t>
      </w:r>
      <w:r>
        <w:rPr>
          <w:sz w:val="18"/>
          <w:szCs w:val="18"/>
        </w:rPr>
        <w:t xml:space="preserve"> Given Name Surname</w:t>
      </w:r>
      <w:r>
        <w:rPr>
          <w:sz w:val="18"/>
          <w:szCs w:val="18"/>
        </w:rPr>
        <w:br/>
      </w:r>
      <w:r>
        <w:rPr>
          <w:sz w:val="18"/>
          <w:szCs w:val="18"/>
        </w:rPr>
        <w:t xml:space="preserve">line 2: </w:t>
      </w:r>
      <w:r>
        <w:rPr>
          <w:i/>
          <w:iCs/>
          <w:sz w:val="18"/>
          <w:szCs w:val="18"/>
        </w:rPr>
        <w:t xml:space="preserve">dept. name of organization </w:t>
      </w:r>
      <w:r>
        <w:rPr>
          <w:i/>
          <w:iCs/>
          <w:sz w:val="18"/>
          <w:szCs w:val="18"/>
        </w:rPr>
        <w:br/>
      </w:r>
      <w:r>
        <w:rPr>
          <w:i/>
          <w:iCs/>
          <w:sz w:val="18"/>
          <w:szCs w:val="18"/>
        </w:rPr>
        <w:t>(of Affiliation)</w:t>
      </w:r>
      <w:r>
        <w:rPr>
          <w:sz w:val="18"/>
          <w:szCs w:val="18"/>
        </w:rPr>
        <w:br/>
      </w:r>
      <w:r>
        <w:rPr>
          <w:sz w:val="18"/>
          <w:szCs w:val="18"/>
        </w:rPr>
        <w:t xml:space="preserve">line 3: </w:t>
      </w:r>
      <w:r>
        <w:rPr>
          <w:i/>
          <w:iCs/>
          <w:sz w:val="18"/>
          <w:szCs w:val="18"/>
        </w:rPr>
        <w:t>name of organizat</w:t>
      </w:r>
      <w:r>
        <w:rPr>
          <w:i/>
          <w:iCs/>
          <w:sz w:val="18"/>
          <w:szCs w:val="18"/>
        </w:rPr>
        <w:t xml:space="preserve">ion </w:t>
      </w:r>
      <w:r>
        <w:rPr>
          <w:i/>
          <w:iCs/>
          <w:sz w:val="18"/>
          <w:szCs w:val="18"/>
        </w:rPr>
        <w:br/>
      </w:r>
      <w:r>
        <w:rPr>
          <w:i/>
          <w:iCs/>
          <w:sz w:val="18"/>
          <w:szCs w:val="18"/>
        </w:rPr>
        <w:t>(of Affiliation)</w:t>
      </w:r>
      <w:r>
        <w:rPr>
          <w:i/>
          <w:iCs/>
          <w:sz w:val="18"/>
          <w:szCs w:val="18"/>
        </w:rPr>
        <w:br/>
      </w:r>
      <w:r>
        <w:rPr>
          <w:sz w:val="18"/>
          <w:szCs w:val="18"/>
        </w:rPr>
        <w:t>line 4: City, Country</w:t>
      </w:r>
      <w:r>
        <w:rPr>
          <w:sz w:val="18"/>
          <w:szCs w:val="18"/>
        </w:rPr>
        <w:br/>
      </w:r>
      <w:r>
        <w:rPr>
          <w:sz w:val="18"/>
          <w:szCs w:val="18"/>
        </w:rPr>
        <w:t>line 5: email address or ORCID</w:t>
      </w:r>
      <w:r>
        <w:t xml:space="preserve"> </w:t>
      </w:r>
    </w:p>
    <w:p w:rsidR="00A36F19" w:rsidRDefault="00A36F19">
      <w:pPr>
        <w:sectPr w:rsidR="00A36F19">
          <w:type w:val="continuous"/>
          <w:pgSz w:w="11900" w:h="16840"/>
          <w:pgMar w:top="450" w:right="893" w:bottom="1440" w:left="893" w:header="720" w:footer="720" w:gutter="0"/>
          <w:cols w:num="3" w:space="720"/>
        </w:sectPr>
      </w:pPr>
    </w:p>
    <w:p w:rsidR="00A36F19" w:rsidRDefault="00C4399A">
      <w:r>
        <w:rPr>
          <w:rFonts w:ascii="Arial Unicode MS" w:eastAsia="Arial Unicode MS" w:hAnsi="Arial Unicode MS" w:cs="Arial Unicode MS"/>
        </w:rPr>
        <w:br w:type="column"/>
      </w:r>
    </w:p>
    <w:p w:rsidR="00A36F19" w:rsidRDefault="00A36F19"/>
    <w:p w:rsidR="00A36F19" w:rsidRDefault="00A36F19">
      <w:pPr>
        <w:sectPr w:rsidR="00A36F19">
          <w:type w:val="continuous"/>
          <w:pgSz w:w="11900" w:h="16840"/>
          <w:pgMar w:top="450" w:right="893" w:bottom="1440" w:left="893" w:header="720" w:footer="720" w:gutter="0"/>
          <w:cols w:num="3" w:space="720"/>
        </w:sectPr>
      </w:pPr>
    </w:p>
    <w:p w:rsidR="00A36F19" w:rsidRDefault="00C4399A">
      <w:pPr>
        <w:pStyle w:val="Abstract"/>
      </w:pPr>
      <w:r>
        <w:rPr>
          <w:i/>
          <w:iCs/>
        </w:rPr>
        <w:t>Abstract</w:t>
      </w:r>
      <w:r>
        <w:t xml:space="preserve">—Accurate road network extraction from satellite imagery remains challenging due to occlusions, terrain diversity, and spectral </w:t>
      </w:r>
      <w:r>
        <w:t>similarities in regions like India, necessitating automated deep learning solutions for urban planning and disaster management. This paper presents an advanced semantic segmentation framework, rigorously evaluating U-Net, DeepLabv3, and Inception-ResNet-v2</w:t>
      </w:r>
      <w:r>
        <w:t xml:space="preserve"> models across </w:t>
      </w:r>
      <w:proofErr w:type="spellStart"/>
      <w:r>
        <w:t>DeepGlobe</w:t>
      </w:r>
      <w:proofErr w:type="spellEnd"/>
      <w:r>
        <w:t xml:space="preserve">, </w:t>
      </w:r>
      <w:proofErr w:type="spellStart"/>
      <w:r>
        <w:t>SpaceNet</w:t>
      </w:r>
      <w:proofErr w:type="spellEnd"/>
      <w:r>
        <w:t xml:space="preserve">, and Massachusetts Roads datasets before selecting Inception-ResNet-v2 with </w:t>
      </w:r>
      <w:proofErr w:type="spellStart"/>
      <w:r>
        <w:t>SpaceNet</w:t>
      </w:r>
      <w:proofErr w:type="spellEnd"/>
      <w:r>
        <w:t xml:space="preserve"> 5 as optimal, achieving 99.64% accuracy and 72.82% F1-score for road extraction. We enhance it by converting hyperspectral Pavia Univers</w:t>
      </w:r>
      <w:r>
        <w:t>ity data to multispectral for training a material classifier integrated atop segmentation via speed masks, plus trace parser export for real-time error monitoring and low-downtime operation. The scalable pipeline with streaming frontend enables ISRO/</w:t>
      </w:r>
      <w:proofErr w:type="spellStart"/>
      <w:r>
        <w:t>MoRTH</w:t>
      </w:r>
      <w:proofErr w:type="spellEnd"/>
      <w:r>
        <w:t xml:space="preserve"> </w:t>
      </w:r>
      <w:r>
        <w:t>applications, outperforming baselines in production-ready robustness</w:t>
      </w:r>
    </w:p>
    <w:p w:rsidR="00A36F19" w:rsidRDefault="00C4399A">
      <w:pPr>
        <w:pStyle w:val="Abstract"/>
        <w:rPr>
          <w:i/>
          <w:iCs/>
        </w:rPr>
      </w:pPr>
      <w:r>
        <w:rPr>
          <w:i/>
          <w:iCs/>
        </w:rPr>
        <w:t>*CRITICAL:  Do Not Use Symbols, Special Characters, Footnotes, or Math in Paper Title or Abstract</w:t>
      </w:r>
      <w:r>
        <w:t>. (</w:t>
      </w:r>
      <w:r>
        <w:rPr>
          <w:b w:val="0"/>
          <w:bCs w:val="0"/>
          <w:i/>
          <w:iCs/>
        </w:rPr>
        <w:t>Abstract</w:t>
      </w:r>
      <w:r>
        <w:t>)</w:t>
      </w:r>
    </w:p>
    <w:p w:rsidR="00A36F19" w:rsidRDefault="00C4399A">
      <w:pPr>
        <w:pStyle w:val="Keywords"/>
      </w:pPr>
      <w:r>
        <w:t>Keywords—Road Network, Multispectral Imagery, style, styling, insert (</w:t>
      </w:r>
      <w:r>
        <w:rPr>
          <w:b w:val="0"/>
          <w:bCs w:val="0"/>
        </w:rPr>
        <w:t>key wor</w:t>
      </w:r>
      <w:r>
        <w:rPr>
          <w:b w:val="0"/>
          <w:bCs w:val="0"/>
        </w:rPr>
        <w:t>ds</w:t>
      </w:r>
      <w:r>
        <w:t>)</w:t>
      </w:r>
    </w:p>
    <w:p w:rsidR="00A36F19" w:rsidRDefault="00C4399A">
      <w:pPr>
        <w:pStyle w:val="Heading1"/>
        <w:numPr>
          <w:ilvl w:val="0"/>
          <w:numId w:val="2"/>
        </w:numPr>
      </w:pPr>
      <w:r>
        <w:t>Introduction</w:t>
      </w:r>
    </w:p>
    <w:p w:rsidR="00A36F19" w:rsidRDefault="00C4399A">
      <w:pPr>
        <w:pStyle w:val="BodyText"/>
      </w:pPr>
      <w:r>
        <w:t>Road network extraction is the process of mapping roads from images such as satellite imagery, aerial photography, etc. It is a major requirement for policy-makers, urban planning, transportation management, and disaster response. Road net</w:t>
      </w:r>
      <w:r>
        <w:t xml:space="preserve">work extraction is vital in major </w:t>
      </w:r>
      <w:proofErr w:type="gramStart"/>
      <w:r>
        <w:t>decision making</w:t>
      </w:r>
      <w:proofErr w:type="gramEnd"/>
      <w:r>
        <w:t xml:space="preserve"> scenarios that involve millions of lives. However, manual extraction and updating of road maps from satellite imagery is time-consuming, costly, and impractical for large and rapidly changing regions like I</w:t>
      </w:r>
      <w:r>
        <w:t xml:space="preserve">ndia. The </w:t>
      </w:r>
      <w:proofErr w:type="gramStart"/>
      <w:r>
        <w:t>diversity  of</w:t>
      </w:r>
      <w:proofErr w:type="gramEnd"/>
      <w:r>
        <w:t xml:space="preserve"> landscapes, varying road widths, occlusions from shadows and vegetation, and visually similar background features make automated extraction a challenging task for traditional methods. With the increasing availability of </w:t>
      </w:r>
      <w:proofErr w:type="gramStart"/>
      <w:r>
        <w:t>high resolut</w:t>
      </w:r>
      <w:r>
        <w:t>ion</w:t>
      </w:r>
      <w:proofErr w:type="gramEnd"/>
      <w:r>
        <w:t xml:space="preserve"> remote sensing data, there is a strong need for robust and scalable automated solutions. Deep learning-based semantic segmentation provides the capability to learn complex and multi-scale features, enabling reliable and efficient extraction </w:t>
      </w:r>
      <w:r>
        <w:t>of road net</w:t>
      </w:r>
      <w:r>
        <w:t xml:space="preserve">works from complex environments. While there </w:t>
      </w:r>
      <w:proofErr w:type="gramStart"/>
      <w:r>
        <w:t>exists</w:t>
      </w:r>
      <w:proofErr w:type="gramEnd"/>
      <w:r>
        <w:t xml:space="preserve"> open source resources that enable access to road networks such as OpenStreetMap (OSM), they are not always reliable. Their accuracy tends to become </w:t>
      </w:r>
      <w:proofErr w:type="gramStart"/>
      <w:r>
        <w:t>unreliable  especially</w:t>
      </w:r>
      <w:proofErr w:type="gramEnd"/>
      <w:r>
        <w:t xml:space="preserve"> in rural areas where road network</w:t>
      </w:r>
      <w:r>
        <w:t>s are not updated frequently or even missing. A variety of other issues also come to the surface such as the annotative quality in different regions which are dependent on the number and mapping skills of the volunteers. [</w:t>
      </w:r>
      <w:proofErr w:type="spellStart"/>
      <w:proofErr w:type="gramStart"/>
      <w:r>
        <w:t>OSM:Challenges</w:t>
      </w:r>
      <w:proofErr w:type="spellEnd"/>
      <w:proofErr w:type="gramEnd"/>
      <w:r>
        <w:t xml:space="preserve"> and opportunities i</w:t>
      </w:r>
      <w:r>
        <w:t>n machine learning and remote sensing]These shortcomings are a major drawback in countries with variegated terrains, extremely diverse climatic conditions and especially complex land acquisition for high-density areas like cities.</w:t>
      </w:r>
    </w:p>
    <w:p w:rsidR="00A36F19" w:rsidRDefault="00A36F19">
      <w:pPr>
        <w:pStyle w:val="BodyText"/>
      </w:pPr>
    </w:p>
    <w:p w:rsidR="00A36F19" w:rsidRDefault="00C4399A">
      <w:pPr>
        <w:pStyle w:val="Heading1"/>
        <w:numPr>
          <w:ilvl w:val="0"/>
          <w:numId w:val="2"/>
        </w:numPr>
        <w:rPr>
          <w:lang w:val="en-US"/>
        </w:rPr>
      </w:pPr>
      <w:r>
        <w:rPr>
          <w:lang w:val="en-US"/>
        </w:rPr>
        <w:t>Related works</w:t>
      </w:r>
    </w:p>
    <w:p w:rsidR="00A36F19" w:rsidRDefault="00C4399A">
      <w:pPr>
        <w:pStyle w:val="BodyText"/>
      </w:pPr>
      <w:r>
        <w:t xml:space="preserve">To tackle </w:t>
      </w:r>
      <w:r>
        <w:t xml:space="preserve">the problem of road network generation from satellite imagery in a country with heterogeneous terrain such as China, </w:t>
      </w:r>
      <w:proofErr w:type="gramStart"/>
      <w:r>
        <w:t>Xi</w:t>
      </w:r>
      <w:proofErr w:type="gramEnd"/>
      <w:r>
        <w:t xml:space="preserve"> et al. proposed a solution that combines an encoder-decoder architecture along with morphological operations specifically to generate th</w:t>
      </w:r>
      <w:r>
        <w:t xml:space="preserve">e road </w:t>
      </w:r>
      <w:proofErr w:type="spellStart"/>
      <w:r>
        <w:t>centrelines</w:t>
      </w:r>
      <w:proofErr w:type="spellEnd"/>
      <w:r>
        <w:t xml:space="preserve">. These networks are used to perform a socioeconomic analysis and furthermore a correlation analysis thereby giving </w:t>
      </w:r>
      <w:proofErr w:type="gramStart"/>
      <w:r>
        <w:t>insight  that</w:t>
      </w:r>
      <w:proofErr w:type="gramEnd"/>
      <w:r>
        <w:t xml:space="preserve"> road infrastructure development strengthens economic development. Their architecture resulted in an improved</w:t>
      </w:r>
      <w:r>
        <w:t xml:space="preserve"> F1-score of 42.7% as compared to baseline methods in impoverished regions. [From Pixels to Progress]</w:t>
      </w:r>
    </w:p>
    <w:p w:rsidR="00A36F19" w:rsidRDefault="00C4399A">
      <w:pPr>
        <w:pStyle w:val="BodyText"/>
      </w:pPr>
      <w:r>
        <w:t xml:space="preserve">Additional solutions have been devised by </w:t>
      </w:r>
      <w:proofErr w:type="spellStart"/>
      <w:r>
        <w:t>utilising</w:t>
      </w:r>
      <w:proofErr w:type="spellEnd"/>
      <w:r>
        <w:t xml:space="preserve"> GPS data. The combination of satellite imagery along with GPS data in CNN models particularly the U-Ne</w:t>
      </w:r>
      <w:r>
        <w:t xml:space="preserve">t model brought about a 10% increase compared to other methods. The reasoning behind the usage of GPS data is due to the fact that RGB images tend to vary by region and thereby increases the workload. The impact of GPS noise and sparsity is another factor </w:t>
      </w:r>
      <w:r>
        <w:t>that needs to be taken under consideration. Sun et al. state that GPS data can positively offset the impact of a lack of training data. [Combining Satellite Imagery and GPS data]</w:t>
      </w:r>
    </w:p>
    <w:p w:rsidR="00A36F19" w:rsidRDefault="00C4399A">
      <w:pPr>
        <w:pStyle w:val="BodyText"/>
      </w:pPr>
      <w:proofErr w:type="spellStart"/>
      <w:r>
        <w:t>Mandale</w:t>
      </w:r>
      <w:proofErr w:type="spellEnd"/>
      <w:r>
        <w:t xml:space="preserve"> et al. proposed an integrated IoT and satellite imagery system for au</w:t>
      </w:r>
      <w:r>
        <w:t xml:space="preserve">tomated road extraction and change </w:t>
      </w:r>
      <w:r>
        <w:lastRenderedPageBreak/>
        <w:t>detection, using CNNs to classify road conditions and compare historical data for identifying deteriorations like potholes. Recent deep learning advancements, including U-Net variants and attention mechanisms like UBR-Net</w:t>
      </w:r>
      <w:r>
        <w:t>, have improved accuracy in extracting roads from high-resolution remote sensing images despite challenges such as occlusions. Comprehensive surveys highlight the shift from traditional methods to CNN-based approaches for both road segmentation and tempora</w:t>
      </w:r>
      <w:r>
        <w:t>l change monitoring in urban planning.</w:t>
      </w:r>
    </w:p>
    <w:p w:rsidR="00631B9C" w:rsidRDefault="00C4399A" w:rsidP="00631B9C">
      <w:pPr>
        <w:pStyle w:val="BodyText"/>
      </w:pPr>
      <w:r>
        <w:t xml:space="preserve">Brewer et al. introduced a transfer learning framework using CNNs to predict road quality categories (low, middle, high) from high-resolution satellite imagery, trained on 53,686 US road images labeled via smartphone </w:t>
      </w:r>
      <w:r>
        <w:t xml:space="preserve">vibration data and achieving 80% accuracy. The model demonstrated strong generalization, with 99.4% of predictions within one class of the true label, and fine-tuning on a small Nigerian dataset boosted performance to 94% for paved vs. unpaved roads. This </w:t>
      </w:r>
      <w:r>
        <w:t>approach extends road mapping literature by enabling remote, scalable quality assessment across geographies without extensive ground surveys.</w:t>
      </w:r>
    </w:p>
    <w:p w:rsidR="00631B9C" w:rsidRDefault="00631B9C">
      <w:pPr>
        <w:pStyle w:val="BodyText"/>
      </w:pPr>
      <w:r w:rsidRPr="00631B9C">
        <w:t>An additional direction in automated feature extraction from high-resolution satellite imagery leverages transformer backbones within encoder–decoder pipelines. In “Leveraging Transformer Architectures for Automated Building Detection in High-Resolution Satellite Images”, the authors use a Pyramid Vision Transformer (PVT) as the backbone inside an encoder–decoder architecture for building detection. This design improves detection quality substantially, reporting a precision of 0.88 compared to 0.72 when the PVT backbone is not used. However, the approach is computationally complex, which makes it less suitable for live/real-time segmentation scenarios; despite strong accuracy, it exhibits poor throughput, limiting deployment in latency-sensitive applications.</w:t>
      </w:r>
    </w:p>
    <w:p w:rsidR="00EE243E" w:rsidRDefault="00EE243E">
      <w:pPr>
        <w:pStyle w:val="BodyText"/>
      </w:pPr>
      <w:r>
        <w:t>I</w:t>
      </w:r>
      <w:r w:rsidRPr="00EE243E">
        <w:t xml:space="preserve">n “Automated Road Extraction from Satellite Imagery Integrating Dense </w:t>
      </w:r>
      <w:proofErr w:type="spellStart"/>
      <w:r w:rsidRPr="00EE243E">
        <w:t>Depthwise</w:t>
      </w:r>
      <w:proofErr w:type="spellEnd"/>
      <w:r w:rsidRPr="00EE243E">
        <w:t xml:space="preserve"> Dilated Separable Spatial Pyramid Pooling with DeepLabV3+”, the authors modify DeepLabV3+ by replacing the standard ASPP module with Dense </w:t>
      </w:r>
      <w:proofErr w:type="spellStart"/>
      <w:r w:rsidRPr="00EE243E">
        <w:t>Depthwise</w:t>
      </w:r>
      <w:proofErr w:type="spellEnd"/>
      <w:r w:rsidRPr="00EE243E">
        <w:t xml:space="preserve"> Dilated Separable Spatial Pyramid Pooling (</w:t>
      </w:r>
      <w:proofErr w:type="spellStart"/>
      <w:r w:rsidRPr="00EE243E">
        <w:t>DenseDDSSPP</w:t>
      </w:r>
      <w:proofErr w:type="spellEnd"/>
      <w:r w:rsidRPr="00EE243E">
        <w:t>) and further integrate Squeeze-and-Excitation (SE) attention to enhance feature recalibration. This design improves multi-scale feature detection, resulting in a better F1-score for road extraction tasks. A key limitation is that the model can require high computational resources during training, and it tends to have lower FPS in video/streaming segmentation scenarios. Overall, the method reports state-of-the-art performance while aiming to improve efficiency relative to conventional multi-scale aggregation.</w:t>
      </w:r>
    </w:p>
    <w:p w:rsidR="00A36F19" w:rsidRDefault="00C4399A">
      <w:pPr>
        <w:pStyle w:val="Heading1"/>
        <w:numPr>
          <w:ilvl w:val="0"/>
          <w:numId w:val="2"/>
        </w:numPr>
        <w:rPr>
          <w:lang w:val="en-US"/>
        </w:rPr>
      </w:pPr>
      <w:r>
        <w:rPr>
          <w:lang w:val="en-US"/>
        </w:rPr>
        <w:t xml:space="preserve">Proposed methodology </w:t>
      </w:r>
    </w:p>
    <w:p w:rsidR="0053350E" w:rsidRDefault="00C4399A" w:rsidP="0053350E">
      <w:pPr>
        <w:pStyle w:val="BodyText"/>
      </w:pPr>
      <w:r>
        <w:t>The proposed methodology for the road material class</w:t>
      </w:r>
      <w:r>
        <w:t>ification is</w:t>
      </w:r>
      <w:r w:rsidR="0053350E">
        <w:t xml:space="preserve"> done</w:t>
      </w:r>
      <w:r>
        <w:t xml:space="preserve"> discussed in the following section:</w:t>
      </w:r>
    </w:p>
    <w:p w:rsidR="0053350E" w:rsidRDefault="0053350E" w:rsidP="0053350E">
      <w:pPr>
        <w:pStyle w:val="Heading2"/>
        <w:numPr>
          <w:ilvl w:val="1"/>
          <w:numId w:val="2"/>
        </w:numPr>
        <w:rPr>
          <w:lang w:val="fr-FR"/>
        </w:rPr>
      </w:pPr>
      <w:r>
        <w:rPr>
          <w:lang w:val="fr-FR"/>
        </w:rPr>
        <w:t>Road Segmentation</w:t>
      </w:r>
    </w:p>
    <w:p w:rsidR="0053350E" w:rsidRDefault="0053350E" w:rsidP="0053350E">
      <w:pPr>
        <w:pStyle w:val="BodyText"/>
        <w:ind w:firstLine="0"/>
      </w:pPr>
      <w:r>
        <w:rPr>
          <w:rFonts w:eastAsia="Times New Roman" w:cs="Times New Roman"/>
          <w:lang w:val="fr-FR"/>
          <w14:textOutline w14:w="12700" w14:cap="flat" w14:cmpd="sng" w14:algn="ctr">
            <w14:noFill/>
            <w14:prstDash w14:val="solid"/>
            <w14:miter w14:lim="400000"/>
          </w14:textOutline>
        </w:rPr>
        <w:tab/>
      </w:r>
      <w:r w:rsidRPr="0053350E">
        <w:t xml:space="preserve">First part of the road material identification is to segment the roads from the satellite images. We have decided to use a hybrid model which contains an ensemble of 4 Inception-ResNet-v2 models and 4 DPN92 models which will used for feature extraction from the image and this will be pipelined with a U-NET model for segmentation. </w:t>
      </w:r>
    </w:p>
    <w:p w:rsidR="0053350E" w:rsidRDefault="0053350E" w:rsidP="0053350E">
      <w:pPr>
        <w:pStyle w:val="bulletlist"/>
        <w:numPr>
          <w:ilvl w:val="0"/>
          <w:numId w:val="4"/>
        </w:numPr>
      </w:pPr>
      <w:r>
        <w:t>Inception-Resnet-v2</w:t>
      </w:r>
    </w:p>
    <w:p w:rsidR="0053350E" w:rsidRDefault="0053350E" w:rsidP="0053350E">
      <w:pPr>
        <w:pStyle w:val="bulletlist"/>
        <w:ind w:left="576"/>
      </w:pPr>
      <w:r>
        <w:t>It is a deep learning architecture that combines the advantages of the Inception network and Residual Network (</w:t>
      </w:r>
      <w:proofErr w:type="spellStart"/>
      <w:r>
        <w:t>ResNet</w:t>
      </w:r>
      <w:proofErr w:type="spellEnd"/>
      <w:r>
        <w:t>). The model is designed to achieve high classification accuracy while maintaining efficient computational performance. It uses multiple convolutional operations in parallel along with residual shortcut connections to improve feature extraction and training stability.</w:t>
      </w:r>
    </w:p>
    <w:p w:rsidR="0053350E" w:rsidRDefault="0053350E" w:rsidP="0053350E">
      <w:pPr>
        <w:pStyle w:val="bulletlist"/>
        <w:ind w:left="576"/>
      </w:pPr>
      <w:r>
        <w:t>The architecture mainly consists of the following components:</w:t>
      </w:r>
    </w:p>
    <w:p w:rsidR="009D3AD3" w:rsidRDefault="009D3AD3" w:rsidP="009D3AD3">
      <w:pPr>
        <w:pStyle w:val="bulletlist"/>
        <w:numPr>
          <w:ilvl w:val="0"/>
          <w:numId w:val="18"/>
        </w:numPr>
        <w:ind w:left="936"/>
      </w:pPr>
      <w:r>
        <w:t xml:space="preserve">Stem Layer: </w:t>
      </w:r>
      <w:r w:rsidRPr="009D3AD3">
        <w:t xml:space="preserve">The stem layer performs the initial feature extraction from the input image using a series of convolution and pooling operations. It reduces the spatial dimensions of the image while increasing the depth of feature maps for further </w:t>
      </w:r>
      <w:proofErr w:type="spellStart"/>
      <w:r w:rsidRPr="009D3AD3">
        <w:t>processing.</w:t>
      </w:r>
      <w:proofErr w:type="spellEnd"/>
    </w:p>
    <w:p w:rsidR="009D3AD3" w:rsidRDefault="009D3AD3" w:rsidP="009D3AD3">
      <w:pPr>
        <w:pStyle w:val="bulletlist"/>
        <w:numPr>
          <w:ilvl w:val="0"/>
          <w:numId w:val="18"/>
        </w:numPr>
        <w:ind w:left="936"/>
      </w:pPr>
      <w:r w:rsidRPr="009D3AD3">
        <w:rPr>
          <w:rFonts w:cs="Times New Roman"/>
        </w:rPr>
        <w:t>Inception-</w:t>
      </w:r>
      <w:proofErr w:type="spellStart"/>
      <w:r w:rsidRPr="009D3AD3">
        <w:rPr>
          <w:rFonts w:cs="Times New Roman"/>
        </w:rPr>
        <w:t>ResNet</w:t>
      </w:r>
      <w:proofErr w:type="spellEnd"/>
      <w:r w:rsidRPr="009D3AD3">
        <w:rPr>
          <w:rFonts w:cs="Times New Roman"/>
        </w:rPr>
        <w:t xml:space="preserve"> Blocks</w:t>
      </w:r>
      <w:r w:rsidRPr="009D3AD3">
        <w:rPr>
          <w:rFonts w:cs="Times New Roman"/>
        </w:rPr>
        <w:t>:</w:t>
      </w:r>
      <w:r>
        <w:t xml:space="preserve"> </w:t>
      </w:r>
      <w:r>
        <w:t>These blocks combine Inception modules with residual connections. Each block performs multiple convolution operations with different filter sizes in parallel to capture features at multiple scales. The outputs are merged and added to the original input using a residual connection, which helps improve gradient flow and enables training of very deep networks.</w:t>
      </w:r>
      <w:r>
        <w:t xml:space="preserve"> </w:t>
      </w:r>
      <w:r>
        <w:t>The residual mapping used in the architecture is represented as:</w:t>
      </w:r>
    </w:p>
    <w:tbl>
      <w:tblPr>
        <w:tblStyle w:val="TableGrid"/>
        <w:tblW w:w="0" w:type="auto"/>
        <w:tblInd w:w="9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4"/>
        <w:gridCol w:w="462"/>
      </w:tblGrid>
      <w:tr w:rsidR="009D3AD3" w:rsidTr="009D3AD3">
        <w:tc>
          <w:tcPr>
            <w:tcW w:w="3454" w:type="dxa"/>
          </w:tcPr>
          <w:p w:rsidR="009D3AD3" w:rsidRPr="009D3AD3" w:rsidRDefault="009D3AD3" w:rsidP="009D3AD3">
            <w:pPr>
              <w:rPr>
                <w:rFonts w:eastAsiaTheme="minorEastAsia"/>
              </w:rPr>
            </w:pPr>
            <m:oMathPara>
              <m:oMathParaPr>
                <m:jc m:val="center"/>
              </m:oMathParaP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 xml:space="preserve"> =F</m:t>
                </m:r>
                <m:d>
                  <m:dPr>
                    <m:ctrlPr>
                      <w:rPr>
                        <w:rFonts w:ascii="Cambria Math" w:hAnsi="Cambria Math"/>
                        <w:i/>
                      </w:rPr>
                    </m:ctrlPr>
                  </m:dPr>
                  <m:e>
                    <m:r>
                      <w:rPr>
                        <w:rFonts w:ascii="Cambria Math" w:hAnsi="Cambria Math"/>
                      </w:rPr>
                      <m:t>x</m:t>
                    </m:r>
                  </m:e>
                </m:d>
                <m:r>
                  <w:rPr>
                    <w:rFonts w:ascii="Cambria Math" w:hAnsi="Cambria Math"/>
                  </w:rPr>
                  <m:t>+x</m:t>
                </m:r>
              </m:oMath>
            </m:oMathPara>
          </w:p>
        </w:tc>
        <w:tc>
          <w:tcPr>
            <w:tcW w:w="462" w:type="dxa"/>
          </w:tcPr>
          <w:p w:rsidR="009D3AD3" w:rsidRDefault="009D3AD3" w:rsidP="009D3AD3">
            <w:pPr>
              <w:pStyle w:val="bulletlist"/>
              <w:pBdr>
                <w:top w:val="none" w:sz="0" w:space="0" w:color="auto"/>
                <w:left w:val="none" w:sz="0" w:space="0" w:color="auto"/>
                <w:bottom w:val="none" w:sz="0" w:space="0" w:color="auto"/>
                <w:right w:val="none" w:sz="0" w:space="0" w:color="auto"/>
                <w:between w:val="none" w:sz="0" w:space="0" w:color="auto"/>
                <w:bar w:val="none" w:sz="0" w:color="auto"/>
              </w:pBdr>
            </w:pPr>
            <w:r>
              <w:t>(1)</w:t>
            </w:r>
          </w:p>
        </w:tc>
      </w:tr>
      <w:tr w:rsidR="00860B9E" w:rsidTr="009D3AD3">
        <w:tc>
          <w:tcPr>
            <w:tcW w:w="3454" w:type="dxa"/>
          </w:tcPr>
          <w:p w:rsidR="00860B9E" w:rsidRPr="00860B9E" w:rsidRDefault="00860B9E" w:rsidP="00860B9E">
            <w:pPr>
              <w:jc w:val="both"/>
              <w:rPr>
                <w:rFonts w:eastAsia="Arial Unicode MS" w:cs="Arial Unicode MS"/>
                <w:iCs/>
              </w:rPr>
            </w:pPr>
            <w:r w:rsidRPr="00860B9E">
              <w:rPr>
                <w:rFonts w:eastAsia="Arial Unicode MS" w:cs="Arial Unicode MS"/>
                <w:iCs/>
              </w:rPr>
              <w:t>where:</w:t>
            </w:r>
          </w:p>
          <w:p w:rsidR="00860B9E" w:rsidRPr="00860B9E" w:rsidRDefault="00860B9E" w:rsidP="00860B9E">
            <w:pPr>
              <w:jc w:val="both"/>
              <w:rPr>
                <w:rFonts w:eastAsia="Arial Unicode MS" w:cs="Arial Unicode MS"/>
                <w:iCs/>
              </w:rPr>
            </w:pPr>
            <w:r w:rsidRPr="00860B9E">
              <w:rPr>
                <w:rFonts w:eastAsia="Arial Unicode MS" w:cs="Arial Unicode MS"/>
                <w:iCs/>
              </w:rPr>
              <w:t>x represents the input feature map,</w:t>
            </w:r>
          </w:p>
          <w:p w:rsidR="00860B9E" w:rsidRPr="00860B9E" w:rsidRDefault="00860B9E" w:rsidP="00860B9E">
            <w:pPr>
              <w:jc w:val="both"/>
              <w:rPr>
                <w:rFonts w:eastAsia="Arial Unicode MS" w:cs="Arial Unicode MS"/>
                <w:iCs/>
              </w:rPr>
            </w:pPr>
            <w:r w:rsidRPr="00860B9E">
              <w:rPr>
                <w:rFonts w:eastAsia="Arial Unicode MS" w:cs="Arial Unicode MS"/>
                <w:iCs/>
              </w:rPr>
              <w:t>F(x) represents the learned residual features,</w:t>
            </w:r>
          </w:p>
          <w:p w:rsidR="00860B9E" w:rsidRPr="009D3AD3" w:rsidRDefault="00860B9E" w:rsidP="00860B9E">
            <w:pPr>
              <w:jc w:val="both"/>
              <w:rPr>
                <w:rFonts w:eastAsia="Arial Unicode MS" w:cs="Arial Unicode MS"/>
                <w:iCs/>
              </w:rPr>
            </w:pPr>
            <w:r w:rsidRPr="00860B9E">
              <w:rPr>
                <w:rFonts w:eastAsia="Arial Unicode MS" w:cs="Arial Unicode MS"/>
                <w:iCs/>
              </w:rPr>
              <w:t>H(x) represents the final output after combining both.</w:t>
            </w:r>
          </w:p>
        </w:tc>
        <w:tc>
          <w:tcPr>
            <w:tcW w:w="462" w:type="dxa"/>
          </w:tcPr>
          <w:p w:rsidR="00860B9E" w:rsidRDefault="00860B9E" w:rsidP="009D3AD3">
            <w:pPr>
              <w:pStyle w:val="bulletlist"/>
              <w:pBdr>
                <w:top w:val="none" w:sz="0" w:space="0" w:color="auto"/>
                <w:left w:val="none" w:sz="0" w:space="0" w:color="auto"/>
                <w:bottom w:val="none" w:sz="0" w:space="0" w:color="auto"/>
                <w:right w:val="none" w:sz="0" w:space="0" w:color="auto"/>
                <w:between w:val="none" w:sz="0" w:space="0" w:color="auto"/>
                <w:bar w:val="none" w:sz="0" w:color="auto"/>
              </w:pBdr>
            </w:pPr>
          </w:p>
        </w:tc>
      </w:tr>
    </w:tbl>
    <w:p w:rsidR="009D3AD3" w:rsidRPr="009D3AD3" w:rsidRDefault="00860B9E" w:rsidP="009D3AD3">
      <w:pPr>
        <w:pStyle w:val="bulletlist"/>
      </w:pPr>
      <w:r>
        <w:tab/>
      </w:r>
      <w:r>
        <w:tab/>
        <w:t xml:space="preserve"> </w:t>
      </w:r>
    </w:p>
    <w:p w:rsidR="00860B9E" w:rsidRPr="009D3AD3" w:rsidRDefault="00860B9E" w:rsidP="00860B9E">
      <w:pPr>
        <w:pStyle w:val="bulletlist"/>
        <w:numPr>
          <w:ilvl w:val="0"/>
          <w:numId w:val="18"/>
        </w:numPr>
        <w:ind w:left="936"/>
      </w:pPr>
      <w:r>
        <w:t>Reduction Blocks</w:t>
      </w:r>
      <w:r>
        <w:t xml:space="preserve">: </w:t>
      </w:r>
      <w:r w:rsidRPr="00860B9E">
        <w:t>Reduction blocks are used to decrease the spatial dimensions of feature maps while increasing the number of channels. This helps reduce computational complexity and allows the network to learn more abstract features.</w:t>
      </w:r>
    </w:p>
    <w:p w:rsidR="00860B9E" w:rsidRPr="009D3AD3" w:rsidRDefault="009D3AD3" w:rsidP="00860B9E">
      <w:pPr>
        <w:pStyle w:val="bulletlist"/>
        <w:numPr>
          <w:ilvl w:val="0"/>
          <w:numId w:val="18"/>
        </w:numPr>
        <w:ind w:left="936"/>
      </w:pPr>
      <w:r w:rsidRPr="008217A1">
        <w:rPr>
          <w:rFonts w:cs="Times New Roman"/>
        </w:rPr>
        <w:t>Pooling Layer:</w:t>
      </w:r>
      <w:r w:rsidR="00860B9E">
        <w:rPr>
          <w:rFonts w:cs="Times New Roman"/>
        </w:rPr>
        <w:t xml:space="preserve"> </w:t>
      </w:r>
      <w:r w:rsidR="00860B9E" w:rsidRPr="00860B9E">
        <w:rPr>
          <w:rFonts w:cs="Times New Roman"/>
        </w:rPr>
        <w:t>Pooling layers reduce the dimensionality of feature maps while preserving important information. This decreases computational cost and helps prevent overfitting by reducing redundant features</w:t>
      </w:r>
      <w:r w:rsidR="00860B9E">
        <w:rPr>
          <w:rFonts w:cs="Times New Roman"/>
        </w:rPr>
        <w:t>.</w:t>
      </w:r>
    </w:p>
    <w:p w:rsidR="009D3AD3" w:rsidRPr="00860B9E" w:rsidRDefault="009D3AD3" w:rsidP="009D3AD3">
      <w:pPr>
        <w:pStyle w:val="bulletlist"/>
        <w:numPr>
          <w:ilvl w:val="0"/>
          <w:numId w:val="18"/>
        </w:numPr>
        <w:ind w:left="936"/>
      </w:pPr>
      <w:r w:rsidRPr="008217A1">
        <w:rPr>
          <w:rFonts w:cs="Times New Roman"/>
        </w:rPr>
        <w:t>Fully Connected Layer:</w:t>
      </w:r>
      <w:r w:rsidR="00860B9E">
        <w:rPr>
          <w:rFonts w:cs="Times New Roman"/>
        </w:rPr>
        <w:t xml:space="preserve"> </w:t>
      </w:r>
      <w:r w:rsidR="00860B9E" w:rsidRPr="008217A1">
        <w:rPr>
          <w:rFonts w:cs="Times New Roman"/>
        </w:rPr>
        <w:t xml:space="preserve">The fully connected layer performs the final classification based on the features extracted from previous layers. The output is passed through a </w:t>
      </w:r>
      <w:proofErr w:type="spellStart"/>
      <w:r w:rsidR="00860B9E" w:rsidRPr="008217A1">
        <w:rPr>
          <w:rFonts w:cs="Times New Roman"/>
        </w:rPr>
        <w:t>softmax</w:t>
      </w:r>
      <w:proofErr w:type="spellEnd"/>
      <w:r w:rsidR="00860B9E" w:rsidRPr="008217A1">
        <w:rPr>
          <w:rFonts w:cs="Times New Roman"/>
        </w:rPr>
        <w:t xml:space="preserve"> activation function to assign the input image to a specific class</w:t>
      </w:r>
      <w:r w:rsidR="00860B9E">
        <w:rPr>
          <w:rFonts w:cs="Times New Roman"/>
        </w:rPr>
        <w:t>.</w:t>
      </w:r>
    </w:p>
    <w:p w:rsidR="00860B9E" w:rsidRDefault="00860B9E" w:rsidP="00860B9E">
      <w:pPr>
        <w:pStyle w:val="bulletlist"/>
        <w:numPr>
          <w:ilvl w:val="0"/>
          <w:numId w:val="4"/>
        </w:numPr>
      </w:pPr>
      <w:r>
        <w:t>DPN92</w:t>
      </w:r>
    </w:p>
    <w:p w:rsidR="00860B9E" w:rsidRDefault="00860B9E" w:rsidP="00860B9E">
      <w:pPr>
        <w:pStyle w:val="bulletlist"/>
        <w:ind w:left="576"/>
      </w:pPr>
      <w:r>
        <w:t>It is a deep convolutional neural network architecture that combines the advantages of Residual Networks (</w:t>
      </w:r>
      <w:proofErr w:type="spellStart"/>
      <w:r>
        <w:t>ResNet</w:t>
      </w:r>
      <w:proofErr w:type="spellEnd"/>
      <w:r>
        <w:t>) and Dense Convolutional Networks (</w:t>
      </w:r>
      <w:proofErr w:type="spellStart"/>
      <w:r>
        <w:t>DenseNet</w:t>
      </w:r>
      <w:proofErr w:type="spellEnd"/>
      <w:r>
        <w:t>). The model is designed to improve feature reuse and feature exploration simultaneously, resulting in better representation learning and improved classification performance.</w:t>
      </w:r>
      <w:r>
        <w:t xml:space="preserve"> </w:t>
      </w:r>
      <w:r>
        <w:t xml:space="preserve">The </w:t>
      </w:r>
      <w:r>
        <w:lastRenderedPageBreak/>
        <w:t>architecture mainly consists of the following components:</w:t>
      </w:r>
      <w:r>
        <w:t xml:space="preserve"> </w:t>
      </w:r>
    </w:p>
    <w:p w:rsidR="00860B9E" w:rsidRDefault="00860B9E" w:rsidP="00860B9E">
      <w:pPr>
        <w:pStyle w:val="bulletlist"/>
        <w:numPr>
          <w:ilvl w:val="0"/>
          <w:numId w:val="19"/>
        </w:numPr>
      </w:pPr>
      <w:r w:rsidRPr="00860B9E">
        <w:t>Convolutional Layer:</w:t>
      </w:r>
      <w:r>
        <w:t xml:space="preserve"> </w:t>
      </w:r>
      <w:r w:rsidRPr="00860B9E">
        <w:t>The convolutional layers extract important spatial features from the input image using learnable filters. Multiple convolution operations are performed to capture low-level and high-level image features such as edges, textures, and patterns.</w:t>
      </w:r>
    </w:p>
    <w:p w:rsidR="00860B9E" w:rsidRDefault="00860B9E" w:rsidP="00860B9E">
      <w:pPr>
        <w:pStyle w:val="bulletlist"/>
        <w:numPr>
          <w:ilvl w:val="0"/>
          <w:numId w:val="19"/>
        </w:numPr>
      </w:pPr>
      <w:r w:rsidRPr="00860B9E">
        <w:t>Dual Path Blocks:</w:t>
      </w:r>
      <w:r>
        <w:t xml:space="preserve"> </w:t>
      </w:r>
      <w:r>
        <w:t>The core component of DPN-92 is the dual path block, which combines residual connections and dense connections within the same architecture.</w:t>
      </w:r>
      <w:r>
        <w:t xml:space="preserve"> </w:t>
      </w:r>
      <w:r>
        <w:t>The residual path reuses previously learned features by adding feature maps from earlier layers. This improves gradient flow and helps in training deeper networks efficiently.</w:t>
      </w:r>
      <w:r>
        <w:t xml:space="preserve"> </w:t>
      </w:r>
      <w:r>
        <w:t>The dense path continuously concatenates new feature maps with features from previous layers, encouraging the network to learn new and diverse representations.</w:t>
      </w:r>
      <w:r>
        <w:t xml:space="preserve"> </w:t>
      </w:r>
      <w:r>
        <w:t>This dual mechanism allows the network to benefit from both feature reuse and continuous feature exploration.</w:t>
      </w:r>
      <w:r>
        <w:t xml:space="preserve"> </w:t>
      </w:r>
      <w:r>
        <w:t>The residual learning operation used in the network is the same as the one used in Inception-ResNet-v2</w:t>
      </w:r>
    </w:p>
    <w:p w:rsidR="00860B9E" w:rsidRDefault="00860B9E" w:rsidP="00860B9E">
      <w:pPr>
        <w:pStyle w:val="bulletlist"/>
        <w:numPr>
          <w:ilvl w:val="0"/>
          <w:numId w:val="19"/>
        </w:numPr>
      </w:pPr>
      <w:r w:rsidRPr="00860B9E">
        <w:t>Dense Feature Concatenation:</w:t>
      </w:r>
      <w:r>
        <w:t xml:space="preserve"> </w:t>
      </w:r>
      <w:r w:rsidRPr="00860B9E">
        <w:t>In the dense path, newly generated feature maps are concatenated with previously learned features instead of replacing them. This strengthens feature propagation and improves information flow throughout the network.</w:t>
      </w:r>
    </w:p>
    <w:p w:rsidR="00860B9E" w:rsidRPr="00860B9E" w:rsidRDefault="00860B9E" w:rsidP="00860B9E">
      <w:pPr>
        <w:pStyle w:val="bulletlist"/>
        <w:numPr>
          <w:ilvl w:val="0"/>
          <w:numId w:val="19"/>
        </w:numPr>
      </w:pPr>
      <w:r w:rsidRPr="00C25456">
        <w:rPr>
          <w:rFonts w:eastAsiaTheme="minorEastAsia" w:cs="Times New Roman"/>
        </w:rPr>
        <w:t>Transition Layers:</w:t>
      </w:r>
      <w:r>
        <w:rPr>
          <w:rFonts w:eastAsiaTheme="minorEastAsia" w:cs="Times New Roman"/>
        </w:rPr>
        <w:t xml:space="preserve"> </w:t>
      </w:r>
      <w:r w:rsidRPr="00860B9E">
        <w:rPr>
          <w:rFonts w:eastAsiaTheme="minorEastAsia" w:cs="Times New Roman"/>
        </w:rPr>
        <w:t>Transition layers are used to reduce the spatial dimensions of feature maps and control computational complexity. These layers usually contain convolution and pooling operations.</w:t>
      </w:r>
    </w:p>
    <w:p w:rsidR="00860B9E" w:rsidRDefault="00860B9E" w:rsidP="00860B9E">
      <w:pPr>
        <w:pStyle w:val="bulletlist"/>
        <w:numPr>
          <w:ilvl w:val="0"/>
          <w:numId w:val="19"/>
        </w:numPr>
      </w:pPr>
      <w:r>
        <w:t xml:space="preserve">Pooling Layer: </w:t>
      </w:r>
      <w:r w:rsidRPr="00860B9E">
        <w:t>Pooling layers reduce the dimensionality of feature maps while preserving important information. This reduces computational cost and helps prevent overfitting.</w:t>
      </w:r>
    </w:p>
    <w:p w:rsidR="00860B9E" w:rsidRDefault="00860B9E" w:rsidP="00860B9E">
      <w:pPr>
        <w:pStyle w:val="bulletlist"/>
        <w:numPr>
          <w:ilvl w:val="0"/>
          <w:numId w:val="19"/>
        </w:numPr>
      </w:pPr>
      <w:r>
        <w:t xml:space="preserve">Fully Connected Layer: </w:t>
      </w:r>
      <w:r w:rsidRPr="00860B9E">
        <w:t xml:space="preserve">The fully connected layer performs final classification using the features extracted from earlier layers. The output is typically passed through a </w:t>
      </w:r>
      <w:proofErr w:type="spellStart"/>
      <w:r w:rsidRPr="00860B9E">
        <w:t>softmax</w:t>
      </w:r>
      <w:proofErr w:type="spellEnd"/>
      <w:r w:rsidRPr="00860B9E">
        <w:t xml:space="preserve"> activation function to classify the input image into different categories.</w:t>
      </w:r>
    </w:p>
    <w:p w:rsidR="00860B9E" w:rsidRDefault="00860B9E" w:rsidP="00860B9E">
      <w:pPr>
        <w:pStyle w:val="bulletlist"/>
        <w:numPr>
          <w:ilvl w:val="0"/>
          <w:numId w:val="4"/>
        </w:numPr>
      </w:pPr>
      <w:r>
        <w:t>U-Net</w:t>
      </w:r>
    </w:p>
    <w:p w:rsidR="00860B9E" w:rsidRDefault="00860B9E" w:rsidP="00860B9E">
      <w:pPr>
        <w:pStyle w:val="bulletlist"/>
        <w:ind w:left="576"/>
      </w:pPr>
      <w:r w:rsidRPr="00860B9E">
        <w:t xml:space="preserve">It is a convolutional neural network architecture specifically designed for image segmentation tasks. The architecture is widely used in medical image analysis and semantic segmentation because of its ability to accurately localize and classify image </w:t>
      </w:r>
      <w:proofErr w:type="spellStart"/>
      <w:proofErr w:type="gramStart"/>
      <w:r w:rsidRPr="00860B9E">
        <w:t>pixels.The</w:t>
      </w:r>
      <w:proofErr w:type="spellEnd"/>
      <w:proofErr w:type="gramEnd"/>
      <w:r w:rsidRPr="00860B9E">
        <w:t xml:space="preserve"> architecture follows a symmetric encoder-decoder structure that enables precise feature extraction and spatial </w:t>
      </w:r>
      <w:proofErr w:type="spellStart"/>
      <w:r w:rsidRPr="00860B9E">
        <w:t>reconstruction.The</w:t>
      </w:r>
      <w:proofErr w:type="spellEnd"/>
      <w:r w:rsidRPr="00860B9E">
        <w:t xml:space="preserve"> architecture mainly consists of the following components</w:t>
      </w:r>
      <w:r>
        <w:t>:</w:t>
      </w:r>
    </w:p>
    <w:p w:rsidR="00BA0991" w:rsidRPr="00860B9E" w:rsidRDefault="00860B9E" w:rsidP="00BA0991">
      <w:pPr>
        <w:pStyle w:val="bulletlist"/>
        <w:numPr>
          <w:ilvl w:val="0"/>
          <w:numId w:val="20"/>
        </w:numPr>
      </w:pPr>
      <w:r w:rsidRPr="009B241D">
        <w:rPr>
          <w:rFonts w:eastAsiaTheme="minorEastAsia" w:cs="Times New Roman"/>
        </w:rPr>
        <w:t>Encoder (Contracting Path):</w:t>
      </w:r>
      <w:r>
        <w:rPr>
          <w:rFonts w:eastAsiaTheme="minorEastAsia" w:cs="Times New Roman"/>
        </w:rPr>
        <w:t xml:space="preserve"> </w:t>
      </w:r>
      <w:r w:rsidRPr="00801954">
        <w:rPr>
          <w:rFonts w:eastAsiaTheme="minorEastAsia" w:cs="Times New Roman"/>
        </w:rPr>
        <w:t>The encoder is responsible for extracting features from the input image. It consists of repeated convolutional layers followed by activation functions and pooling operations. Convolutional layers extract important spatial features such as edges, textures, and patterns.</w:t>
      </w:r>
      <w:r>
        <w:rPr>
          <w:rFonts w:eastAsiaTheme="minorEastAsia" w:cs="Times New Roman"/>
        </w:rPr>
        <w:t xml:space="preserve"> </w:t>
      </w:r>
      <w:r w:rsidRPr="00801954">
        <w:rPr>
          <w:rFonts w:eastAsiaTheme="minorEastAsia" w:cs="Times New Roman"/>
        </w:rPr>
        <w:t>Pooling layers reduce the spatial dimensions of feature maps while preserving important information.</w:t>
      </w:r>
      <w:r>
        <w:rPr>
          <w:rFonts w:eastAsiaTheme="minorEastAsia" w:cs="Times New Roman"/>
        </w:rPr>
        <w:t xml:space="preserve"> </w:t>
      </w:r>
      <w:r w:rsidRPr="00801954">
        <w:rPr>
          <w:rFonts w:eastAsiaTheme="minorEastAsia" w:cs="Times New Roman"/>
        </w:rPr>
        <w:t>As the network progresses deeper, the encoder captures more complex and abstract features from the image.</w:t>
      </w:r>
    </w:p>
    <w:p w:rsidR="00BA0991" w:rsidRDefault="00860B9E" w:rsidP="00BA0991">
      <w:pPr>
        <w:pStyle w:val="bulletlist"/>
        <w:numPr>
          <w:ilvl w:val="0"/>
          <w:numId w:val="20"/>
        </w:numPr>
      </w:pPr>
      <w:r>
        <w:t>Convolutional Layer: The convolutional l</w:t>
      </w:r>
      <w:r w:rsidR="00BA0991">
        <w:t>ayer applies learnable filters to the input image to detect important features. Multiple convolution operations help the network learn hierarchical feature representations. The convolution operation can be represented as:</w:t>
      </w:r>
    </w:p>
    <w:tbl>
      <w:tblPr>
        <w:tblStyle w:val="TableGrid"/>
        <w:tblW w:w="0" w:type="auto"/>
        <w:tblInd w:w="12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4"/>
        <w:gridCol w:w="462"/>
      </w:tblGrid>
      <w:tr w:rsidR="00BA0991" w:rsidTr="00021762">
        <w:tc>
          <w:tcPr>
            <w:tcW w:w="3094" w:type="dxa"/>
          </w:tcPr>
          <w:p w:rsidR="00BA0991" w:rsidRPr="00860B9E" w:rsidRDefault="00BA0991" w:rsidP="00021762">
            <w:pPr>
              <w:rPr>
                <w:rFonts w:eastAsiaTheme="minorEastAsia"/>
              </w:rPr>
            </w:pPr>
            <m:oMathPara>
              <m:oMathParaPr>
                <m:jc m:val="center"/>
              </m:oMathParaPr>
              <m:oMath>
                <m:r>
                  <w:rPr>
                    <w:rFonts w:ascii="Cambria Math" w:eastAsiaTheme="minorEastAsia" w:hAnsi="Cambria Math"/>
                  </w:rPr>
                  <m:t>Feature Map=Input*Kernel</m:t>
                </m:r>
              </m:oMath>
            </m:oMathPara>
          </w:p>
        </w:tc>
        <w:tc>
          <w:tcPr>
            <w:tcW w:w="462" w:type="dxa"/>
          </w:tcPr>
          <w:p w:rsidR="00BA0991" w:rsidRDefault="00BA0991" w:rsidP="00021762">
            <w:pPr>
              <w:pStyle w:val="bulletlist"/>
              <w:pBdr>
                <w:top w:val="none" w:sz="0" w:space="0" w:color="auto"/>
                <w:left w:val="none" w:sz="0" w:space="0" w:color="auto"/>
                <w:bottom w:val="none" w:sz="0" w:space="0" w:color="auto"/>
                <w:right w:val="none" w:sz="0" w:space="0" w:color="auto"/>
                <w:between w:val="none" w:sz="0" w:space="0" w:color="auto"/>
                <w:bar w:val="none" w:sz="0" w:color="auto"/>
              </w:pBdr>
            </w:pPr>
            <w:r w:rsidRPr="00860B9E">
              <w:rPr>
                <w:bdr w:val="none" w:sz="0" w:space="0" w:color="auto"/>
              </w:rPr>
              <w:t>(2</w:t>
            </w:r>
            <w:r>
              <w:t>)</w:t>
            </w:r>
          </w:p>
        </w:tc>
      </w:tr>
    </w:tbl>
    <w:p w:rsidR="00BA0991" w:rsidRDefault="00BA0991" w:rsidP="00BA0991">
      <w:pPr>
        <w:pStyle w:val="bulletlist"/>
        <w:ind w:left="1296"/>
      </w:pPr>
      <w:r w:rsidRPr="00BA0991">
        <w:t xml:space="preserve">where </w:t>
      </w:r>
      <w:r w:rsidRPr="00BA0991">
        <w:rPr>
          <w:rFonts w:ascii="Cambria Math" w:hAnsi="Cambria Math" w:cs="Cambria Math"/>
        </w:rPr>
        <w:t>∗</w:t>
      </w:r>
      <w:r w:rsidRPr="00BA0991">
        <w:t xml:space="preserve"> denotes the convolution operation.</w:t>
      </w:r>
    </w:p>
    <w:p w:rsidR="00BA0991" w:rsidRDefault="00BA0991" w:rsidP="00BA0991">
      <w:pPr>
        <w:pStyle w:val="bulletlist"/>
        <w:numPr>
          <w:ilvl w:val="0"/>
          <w:numId w:val="20"/>
        </w:numPr>
      </w:pPr>
      <w:r w:rsidRPr="00036EF1">
        <w:rPr>
          <w:rFonts w:eastAsiaTheme="minorEastAsia" w:cs="Times New Roman"/>
        </w:rPr>
        <w:t>Bottleneck Layer:</w:t>
      </w:r>
      <w:r>
        <w:rPr>
          <w:rFonts w:eastAsiaTheme="minorEastAsia" w:cs="Times New Roman"/>
        </w:rPr>
        <w:t xml:space="preserve"> </w:t>
      </w:r>
      <w:r w:rsidRPr="00036EF1">
        <w:rPr>
          <w:rFonts w:eastAsiaTheme="minorEastAsia" w:cs="Times New Roman"/>
        </w:rPr>
        <w:t xml:space="preserve">The bottleneck layer is located at the center of the architecture between the encoder and decoder. It captures highly abstract representations of the input image and connects the </w:t>
      </w:r>
      <w:proofErr w:type="spellStart"/>
      <w:r w:rsidRPr="00036EF1">
        <w:rPr>
          <w:rFonts w:eastAsiaTheme="minorEastAsia" w:cs="Times New Roman"/>
        </w:rPr>
        <w:t>downsampling</w:t>
      </w:r>
      <w:proofErr w:type="spellEnd"/>
      <w:r w:rsidRPr="00036EF1">
        <w:rPr>
          <w:rFonts w:eastAsiaTheme="minorEastAsia" w:cs="Times New Roman"/>
        </w:rPr>
        <w:t xml:space="preserve"> and </w:t>
      </w:r>
      <w:proofErr w:type="spellStart"/>
      <w:r w:rsidRPr="00036EF1">
        <w:rPr>
          <w:rFonts w:eastAsiaTheme="minorEastAsia" w:cs="Times New Roman"/>
        </w:rPr>
        <w:t>upsampling</w:t>
      </w:r>
      <w:proofErr w:type="spellEnd"/>
      <w:r w:rsidRPr="00036EF1">
        <w:rPr>
          <w:rFonts w:eastAsiaTheme="minorEastAsia" w:cs="Times New Roman"/>
        </w:rPr>
        <w:t xml:space="preserve"> paths.</w:t>
      </w:r>
    </w:p>
    <w:p w:rsidR="00BA0991" w:rsidRPr="00BA0991" w:rsidRDefault="00BA0991" w:rsidP="00BA0991">
      <w:pPr>
        <w:pStyle w:val="bulletlist"/>
        <w:numPr>
          <w:ilvl w:val="0"/>
          <w:numId w:val="20"/>
        </w:numPr>
      </w:pPr>
      <w:r w:rsidRPr="00036EF1">
        <w:rPr>
          <w:rFonts w:eastAsiaTheme="minorEastAsia" w:cs="Times New Roman"/>
        </w:rPr>
        <w:t>Decoder (Expanding Path):</w:t>
      </w:r>
      <w:r>
        <w:rPr>
          <w:rFonts w:eastAsiaTheme="minorEastAsia" w:cs="Times New Roman"/>
        </w:rPr>
        <w:t xml:space="preserve"> </w:t>
      </w:r>
      <w:r w:rsidRPr="00036EF1">
        <w:rPr>
          <w:rFonts w:eastAsiaTheme="minorEastAsia" w:cs="Times New Roman"/>
        </w:rPr>
        <w:t xml:space="preserve">The decoder reconstructs the segmented image from the extracted features. It uses </w:t>
      </w:r>
      <w:proofErr w:type="spellStart"/>
      <w:r w:rsidRPr="00036EF1">
        <w:rPr>
          <w:rFonts w:eastAsiaTheme="minorEastAsia" w:cs="Times New Roman"/>
        </w:rPr>
        <w:t>upsampling</w:t>
      </w:r>
      <w:proofErr w:type="spellEnd"/>
      <w:r w:rsidRPr="00036EF1">
        <w:rPr>
          <w:rFonts w:eastAsiaTheme="minorEastAsia" w:cs="Times New Roman"/>
        </w:rPr>
        <w:t xml:space="preserve"> operations to restore the spatial dimensions of the feature maps.</w:t>
      </w:r>
      <w:r>
        <w:rPr>
          <w:rFonts w:eastAsiaTheme="minorEastAsia" w:cs="Times New Roman"/>
        </w:rPr>
        <w:t xml:space="preserve"> </w:t>
      </w:r>
      <w:r w:rsidRPr="00036EF1">
        <w:rPr>
          <w:rFonts w:eastAsiaTheme="minorEastAsia" w:cs="Times New Roman"/>
        </w:rPr>
        <w:t>The decoder combines high-level semantic information with low-level spatial information to improve segmentation accuracy.</w:t>
      </w:r>
    </w:p>
    <w:p w:rsidR="00BA0991" w:rsidRPr="00BA0991" w:rsidRDefault="00BA0991" w:rsidP="00BA0991">
      <w:pPr>
        <w:pStyle w:val="bulletlist"/>
        <w:numPr>
          <w:ilvl w:val="0"/>
          <w:numId w:val="20"/>
        </w:numPr>
      </w:pPr>
      <w:r w:rsidRPr="00C25456">
        <w:rPr>
          <w:rFonts w:eastAsiaTheme="minorEastAsia" w:cs="Times New Roman"/>
        </w:rPr>
        <w:t>Skip Connections:</w:t>
      </w:r>
      <w:r>
        <w:rPr>
          <w:rFonts w:eastAsiaTheme="minorEastAsia" w:cs="Times New Roman"/>
        </w:rPr>
        <w:t xml:space="preserve"> </w:t>
      </w:r>
      <w:r w:rsidRPr="00C25456">
        <w:rPr>
          <w:rFonts w:eastAsiaTheme="minorEastAsia" w:cs="Times New Roman"/>
        </w:rPr>
        <w:t xml:space="preserve">U-Net uses skip connections to transfer feature maps from the encoder directly to the corresponding decoder layers. This helps preserve fine spatial details that may be lost during </w:t>
      </w:r>
      <w:proofErr w:type="spellStart"/>
      <w:r w:rsidRPr="00C25456">
        <w:rPr>
          <w:rFonts w:eastAsiaTheme="minorEastAsia" w:cs="Times New Roman"/>
        </w:rPr>
        <w:t>downsampling</w:t>
      </w:r>
      <w:proofErr w:type="spellEnd"/>
      <w:r w:rsidRPr="00C25456">
        <w:rPr>
          <w:rFonts w:eastAsiaTheme="minorEastAsia" w:cs="Times New Roman"/>
        </w:rPr>
        <w:t>.</w:t>
      </w:r>
      <w:r>
        <w:rPr>
          <w:rFonts w:eastAsiaTheme="minorEastAsia" w:cs="Times New Roman"/>
        </w:rPr>
        <w:t xml:space="preserve"> </w:t>
      </w:r>
      <w:r w:rsidRPr="00036EF1">
        <w:rPr>
          <w:rFonts w:eastAsiaTheme="minorEastAsia" w:cs="Times New Roman"/>
        </w:rPr>
        <w:t>The skip connection operation can be represented as:</w:t>
      </w:r>
    </w:p>
    <w:tbl>
      <w:tblPr>
        <w:tblStyle w:val="TableGrid"/>
        <w:tblW w:w="3802" w:type="dxa"/>
        <w:tblInd w:w="12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567"/>
      </w:tblGrid>
      <w:tr w:rsidR="00BA0991" w:rsidTr="00BA0991">
        <w:tc>
          <w:tcPr>
            <w:tcW w:w="3235" w:type="dxa"/>
          </w:tcPr>
          <w:p w:rsidR="00BA0991" w:rsidRPr="00BA0991" w:rsidRDefault="00BA0991" w:rsidP="00BA0991">
            <w:pPr>
              <w:rPr>
                <w:rFonts w:eastAsiaTheme="minorEastAsia"/>
              </w:rPr>
            </w:pPr>
            <m:oMathPara>
              <m:oMath>
                <m:r>
                  <w:rPr>
                    <w:rFonts w:ascii="Cambria Math" w:eastAsiaTheme="minorEastAsia" w:hAnsi="Cambria Math"/>
                  </w:rPr>
                  <m:t>Output=DF</m:t>
                </m:r>
                <m:r>
                  <w:rPr>
                    <w:rFonts w:ascii="Cambria Math" w:eastAsiaTheme="minorEastAsia" w:hAnsi="Cambria Math" w:cs="Cambria Math"/>
                  </w:rPr>
                  <m:t>⊕EF</m:t>
                </m:r>
              </m:oMath>
            </m:oMathPara>
          </w:p>
        </w:tc>
        <w:tc>
          <w:tcPr>
            <w:tcW w:w="567" w:type="dxa"/>
          </w:tcPr>
          <w:p w:rsidR="00BA0991" w:rsidRDefault="00BA0991" w:rsidP="00021762">
            <w:pPr>
              <w:pStyle w:val="bulletlist"/>
              <w:pBdr>
                <w:top w:val="none" w:sz="0" w:space="0" w:color="auto"/>
                <w:left w:val="none" w:sz="0" w:space="0" w:color="auto"/>
                <w:bottom w:val="none" w:sz="0" w:space="0" w:color="auto"/>
                <w:right w:val="none" w:sz="0" w:space="0" w:color="auto"/>
                <w:between w:val="none" w:sz="0" w:space="0" w:color="auto"/>
                <w:bar w:val="none" w:sz="0" w:color="auto"/>
              </w:pBdr>
            </w:pPr>
            <w:r w:rsidRPr="00860B9E">
              <w:rPr>
                <w:bdr w:val="none" w:sz="0" w:space="0" w:color="auto"/>
              </w:rPr>
              <w:t>(</w:t>
            </w:r>
            <w:r>
              <w:rPr>
                <w:bdr w:val="none" w:sz="0" w:space="0" w:color="auto"/>
              </w:rPr>
              <w:t>3</w:t>
            </w:r>
            <w:r>
              <w:t>)</w:t>
            </w:r>
          </w:p>
        </w:tc>
      </w:tr>
    </w:tbl>
    <w:p w:rsidR="00BA0991" w:rsidRDefault="00BA0991" w:rsidP="00BA0991">
      <w:pPr>
        <w:pStyle w:val="bulletlist"/>
        <w:ind w:left="1296"/>
        <w:jc w:val="left"/>
      </w:pPr>
      <w:r>
        <w:t>where:</w:t>
      </w:r>
      <w:r>
        <w:br/>
      </w:r>
      <w:r>
        <w:t xml:space="preserve">DF denotes </w:t>
      </w:r>
      <w:proofErr w:type="spellStart"/>
      <w:r>
        <w:t>DecoderFeature</w:t>
      </w:r>
      <w:proofErr w:type="spellEnd"/>
      <w:r>
        <w:t>,</w:t>
      </w:r>
      <w:r>
        <w:br/>
      </w:r>
      <w:proofErr w:type="spellStart"/>
      <w:r>
        <w:t>Ef</w:t>
      </w:r>
      <w:proofErr w:type="spellEnd"/>
      <w:r>
        <w:t xml:space="preserve"> denotes </w:t>
      </w:r>
      <w:proofErr w:type="spellStart"/>
      <w:r>
        <w:t>EncoderFeature</w:t>
      </w:r>
      <w:proofErr w:type="spellEnd"/>
      <w:r>
        <w:t xml:space="preserve"> and,</w:t>
      </w:r>
      <w:r>
        <w:br/>
      </w:r>
      <w:r>
        <w:rPr>
          <w:rFonts w:ascii="Cambria Math" w:hAnsi="Cambria Math" w:cs="Cambria Math"/>
        </w:rPr>
        <w:t>⊕</w:t>
      </w:r>
      <w:r>
        <w:t xml:space="preserve"> represents concatenation of feature maps.</w:t>
      </w:r>
    </w:p>
    <w:p w:rsidR="00BA0991" w:rsidRPr="00BA0991" w:rsidRDefault="00BA0991" w:rsidP="00BA0991">
      <w:pPr>
        <w:pStyle w:val="bulletlist"/>
        <w:numPr>
          <w:ilvl w:val="0"/>
          <w:numId w:val="20"/>
        </w:numPr>
      </w:pPr>
      <w:r w:rsidRPr="00C25456">
        <w:rPr>
          <w:rFonts w:eastAsiaTheme="minorEastAsia" w:cs="Times New Roman"/>
        </w:rPr>
        <w:t>Pooling Layer:</w:t>
      </w:r>
      <w:r>
        <w:rPr>
          <w:rFonts w:eastAsiaTheme="minorEastAsia" w:cs="Times New Roman"/>
        </w:rPr>
        <w:t xml:space="preserve"> </w:t>
      </w:r>
      <w:r w:rsidRPr="00C25456">
        <w:rPr>
          <w:rFonts w:eastAsiaTheme="minorEastAsia" w:cs="Times New Roman"/>
        </w:rPr>
        <w:t>Pooling layers reduce the dimensionality of feature maps and decrease computational complexity while retaining important information.</w:t>
      </w:r>
    </w:p>
    <w:p w:rsidR="00BA0991" w:rsidRPr="00EF5285" w:rsidRDefault="00BA0991" w:rsidP="00BA0991">
      <w:pPr>
        <w:pStyle w:val="bulletlist"/>
        <w:numPr>
          <w:ilvl w:val="0"/>
          <w:numId w:val="20"/>
        </w:numPr>
      </w:pPr>
      <w:r w:rsidRPr="00036EF1">
        <w:rPr>
          <w:rFonts w:eastAsiaTheme="minorEastAsia" w:cs="Times New Roman"/>
        </w:rPr>
        <w:t>Output Layer:</w:t>
      </w:r>
      <w:r>
        <w:rPr>
          <w:rFonts w:eastAsiaTheme="minorEastAsia" w:cs="Times New Roman"/>
        </w:rPr>
        <w:t xml:space="preserve"> </w:t>
      </w:r>
      <w:r w:rsidRPr="00036EF1">
        <w:rPr>
          <w:rFonts w:eastAsiaTheme="minorEastAsia" w:cs="Times New Roman"/>
        </w:rPr>
        <w:t xml:space="preserve">The final layer uses a convolution operation followed by an activation function such as sigmoid or </w:t>
      </w:r>
      <w:proofErr w:type="spellStart"/>
      <w:r w:rsidRPr="00036EF1">
        <w:rPr>
          <w:rFonts w:eastAsiaTheme="minorEastAsia" w:cs="Times New Roman"/>
        </w:rPr>
        <w:t>softmax</w:t>
      </w:r>
      <w:proofErr w:type="spellEnd"/>
      <w:r w:rsidRPr="00036EF1">
        <w:rPr>
          <w:rFonts w:eastAsiaTheme="minorEastAsia" w:cs="Times New Roman"/>
        </w:rPr>
        <w:t xml:space="preserve"> to generate the segmentation map. Each pixel in the output image is classified into a specific category.</w:t>
      </w:r>
    </w:p>
    <w:p w:rsidR="00EF5285" w:rsidRDefault="00EF5285" w:rsidP="00EF5285">
      <w:pPr>
        <w:pStyle w:val="Heading2"/>
        <w:numPr>
          <w:ilvl w:val="1"/>
          <w:numId w:val="2"/>
        </w:numPr>
      </w:pPr>
      <w:r>
        <w:lastRenderedPageBreak/>
        <w:t>Road Material Class</w:t>
      </w:r>
      <w:r w:rsidR="0092156E">
        <w:t>i</w:t>
      </w:r>
      <w:r>
        <w:t>fication:</w:t>
      </w:r>
    </w:p>
    <w:p w:rsidR="00EF5285" w:rsidRDefault="00EF5285" w:rsidP="00EF5285">
      <w:pPr>
        <w:pStyle w:val="Heading2"/>
        <w:numPr>
          <w:ilvl w:val="1"/>
          <w:numId w:val="2"/>
        </w:numPr>
      </w:pPr>
      <w:r>
        <w:t>Tracing:</w:t>
      </w:r>
    </w:p>
    <w:p w:rsidR="00EF5285" w:rsidRPr="00EF5285" w:rsidRDefault="00EF5285" w:rsidP="00EF5285">
      <w:pPr>
        <w:ind w:firstLine="288"/>
        <w:jc w:val="both"/>
      </w:pPr>
      <w:r w:rsidRPr="00EF5285">
        <w:t>Grafana tracing was added as a feature to ensure end-to-end visibility of each request as it flows through the system, by capturing distributed traces composed of timed spans. This makes it possible to verify where time is spent and where failures occur, instead of relying only on logs or aggregate metrics. By visualizing these traces in Grafana (typically via a Tempo backend), the system’s execution path can be inspected and validated under real workloads. As a result, performance bottlenecks and integration issues can be identified early and resolved more reliably.</w:t>
      </w:r>
    </w:p>
    <w:p w:rsidR="00EF5285" w:rsidRPr="00EF5285" w:rsidRDefault="00EF5285" w:rsidP="00EF5285"/>
    <w:p w:rsidR="009D3AD3" w:rsidRDefault="009D3AD3" w:rsidP="009D3AD3">
      <w:pPr>
        <w:pStyle w:val="bulletlist"/>
      </w:pPr>
    </w:p>
    <w:p w:rsidR="00A36F19" w:rsidRDefault="00C4399A" w:rsidP="0053350E">
      <w:pPr>
        <w:pStyle w:val="BodyText"/>
        <w:numPr>
          <w:ilvl w:val="1"/>
          <w:numId w:val="2"/>
        </w:numPr>
      </w:pPr>
      <w:r>
        <w:t>Pre-processing</w:t>
      </w:r>
    </w:p>
    <w:p w:rsidR="00A36F19" w:rsidRDefault="00C4399A">
      <w:pPr>
        <w:pStyle w:val="BodyText"/>
      </w:pPr>
      <w:r>
        <w:t>O</w:t>
      </w:r>
      <w:r>
        <w:t>ur resampling approach applies sensor-inspired spectral response functions (SRFs) to Define abbreviations and acronyms the first time they</w:t>
      </w:r>
      <w:r>
        <w:t xml:space="preserve"> are used in the text, even after they have been defined in the abstract. Abbreviations such as IEEE, SI, MKS, CGS, </w:t>
      </w:r>
      <w:proofErr w:type="spellStart"/>
      <w:r>
        <w:t>sc</w:t>
      </w:r>
      <w:proofErr w:type="spellEnd"/>
      <w:r>
        <w:t>, dc, and rms do not have to be defined. Do not use abbreviations in the title or heads unless they are unavoidable.</w:t>
      </w:r>
    </w:p>
    <w:p w:rsidR="00A36F19" w:rsidRDefault="00C4399A">
      <w:pPr>
        <w:pStyle w:val="Heading2"/>
        <w:numPr>
          <w:ilvl w:val="1"/>
          <w:numId w:val="2"/>
        </w:numPr>
      </w:pPr>
      <w:r>
        <w:t>Units</w:t>
      </w:r>
    </w:p>
    <w:p w:rsidR="00A36F19" w:rsidRDefault="00C4399A">
      <w:pPr>
        <w:pStyle w:val="bulletlist"/>
        <w:numPr>
          <w:ilvl w:val="0"/>
          <w:numId w:val="4"/>
        </w:numPr>
      </w:pPr>
      <w:r>
        <w:t>Use either SI (</w:t>
      </w:r>
      <w:r>
        <w:t xml:space="preserve">MKS) or CGS as primary units. (SI units are encouraged.) English units may be used as secondary units (in parentheses). An exception would be the use of English units as identifiers in trade, such as </w:t>
      </w:r>
      <w:r>
        <w:rPr>
          <w:rtl/>
          <w:lang w:val="ar-SA"/>
        </w:rPr>
        <w:t>“</w:t>
      </w:r>
      <w:r>
        <w:rPr>
          <w:lang w:val="sv-SE"/>
        </w:rPr>
        <w:t>3.5-inch disk drive</w:t>
      </w:r>
      <w:r>
        <w:t>”.</w:t>
      </w:r>
    </w:p>
    <w:p w:rsidR="00A36F19" w:rsidRDefault="00C4399A">
      <w:pPr>
        <w:pStyle w:val="bulletlist"/>
        <w:numPr>
          <w:ilvl w:val="0"/>
          <w:numId w:val="4"/>
        </w:numPr>
      </w:pPr>
      <w:r>
        <w:t>Avoid combining SI and CGS units,</w:t>
      </w:r>
      <w:r>
        <w:t xml:space="preserve"> such as current in amperes and magnetic field in </w:t>
      </w:r>
      <w:proofErr w:type="spellStart"/>
      <w:r>
        <w:t>oersteds</w:t>
      </w:r>
      <w:proofErr w:type="spellEnd"/>
      <w:r>
        <w:t>. This often leads to confusion because equations do not balance dimensionally. If you must use mixed units, clearly state the units for each quantity that you use in an equation.</w:t>
      </w:r>
    </w:p>
    <w:p w:rsidR="00A36F19" w:rsidRDefault="00C4399A">
      <w:pPr>
        <w:pStyle w:val="bulletlist"/>
        <w:numPr>
          <w:ilvl w:val="0"/>
          <w:numId w:val="4"/>
        </w:numPr>
      </w:pPr>
      <w:r>
        <w:t>Do not mix complet</w:t>
      </w:r>
      <w:r>
        <w:t xml:space="preserve">e spellings and abbreviations of units: </w:t>
      </w:r>
      <w:r>
        <w:rPr>
          <w:rtl/>
          <w:lang w:val="ar-SA"/>
        </w:rPr>
        <w:t>“</w:t>
      </w:r>
      <w:r>
        <w:t xml:space="preserve">Wb/m2” or </w:t>
      </w:r>
      <w:r>
        <w:rPr>
          <w:rtl/>
          <w:lang w:val="ar-SA"/>
        </w:rPr>
        <w:t>“</w:t>
      </w:r>
      <w:proofErr w:type="spellStart"/>
      <w:r>
        <w:t>webers</w:t>
      </w:r>
      <w:proofErr w:type="spellEnd"/>
      <w:r>
        <w:t xml:space="preserve"> per square meter</w:t>
      </w:r>
      <w:r>
        <w:t>”</w:t>
      </w:r>
      <w:r>
        <w:t xml:space="preserve">, not </w:t>
      </w:r>
      <w:r>
        <w:rPr>
          <w:rtl/>
          <w:lang w:val="ar-SA"/>
        </w:rPr>
        <w:t>“</w:t>
      </w:r>
      <w:r>
        <w:rPr>
          <w:lang w:val="de-DE"/>
        </w:rPr>
        <w:t>webers/m2</w:t>
      </w:r>
      <w:r>
        <w:t>”</w:t>
      </w:r>
      <w:r>
        <w:t xml:space="preserve">.  Spell out units when they appear in text: </w:t>
      </w:r>
      <w:r>
        <w:rPr>
          <w:rtl/>
          <w:lang w:val="ar-SA"/>
        </w:rPr>
        <w:t>“</w:t>
      </w:r>
      <w:r>
        <w:t xml:space="preserve">. . . a few </w:t>
      </w:r>
      <w:proofErr w:type="spellStart"/>
      <w:r>
        <w:t>henries</w:t>
      </w:r>
      <w:proofErr w:type="spellEnd"/>
      <w:r>
        <w:t>”</w:t>
      </w:r>
      <w:r>
        <w:t xml:space="preserve">, not </w:t>
      </w:r>
      <w:r>
        <w:rPr>
          <w:rtl/>
          <w:lang w:val="ar-SA"/>
        </w:rPr>
        <w:t>“</w:t>
      </w:r>
      <w:r>
        <w:t>. . . a few H</w:t>
      </w:r>
      <w:r>
        <w:t>”.</w:t>
      </w:r>
    </w:p>
    <w:p w:rsidR="00A36F19" w:rsidRDefault="00C4399A">
      <w:pPr>
        <w:pStyle w:val="bulletlist"/>
        <w:numPr>
          <w:ilvl w:val="0"/>
          <w:numId w:val="4"/>
        </w:numPr>
      </w:pPr>
      <w:r>
        <w:rPr>
          <w:noProof/>
        </w:rPr>
        <mc:AlternateContent>
          <mc:Choice Requires="wps">
            <w:drawing>
              <wp:anchor distT="152400" distB="152400" distL="152400" distR="152400" simplePos="0" relativeHeight="251659264" behindDoc="0" locked="0" layoutInCell="1" allowOverlap="1">
                <wp:simplePos x="0" y="0"/>
                <wp:positionH relativeFrom="page">
                  <wp:posOffset>576579</wp:posOffset>
                </wp:positionH>
                <wp:positionV relativeFrom="page">
                  <wp:posOffset>9601835</wp:posOffset>
                </wp:positionV>
                <wp:extent cx="3003313" cy="116334"/>
                <wp:effectExtent l="0" t="0" r="0" b="0"/>
                <wp:wrapTopAndBottom distT="152400" distB="152400"/>
                <wp:docPr id="1073741825" name="officeArt object" descr="Identify applicable funding agency here. If none, delete this text box."/>
                <wp:cNvGraphicFramePr/>
                <a:graphic xmlns:a="http://schemas.openxmlformats.org/drawingml/2006/main">
                  <a:graphicData uri="http://schemas.microsoft.com/office/word/2010/wordprocessingShape">
                    <wps:wsp>
                      <wps:cNvSpPr/>
                      <wps:spPr>
                        <a:xfrm>
                          <a:off x="0" y="0"/>
                          <a:ext cx="3003313" cy="116334"/>
                        </a:xfrm>
                        <a:prstGeom prst="rect">
                          <a:avLst/>
                        </a:prstGeom>
                        <a:solidFill>
                          <a:srgbClr val="000000">
                            <a:alpha val="0"/>
                          </a:srgbClr>
                        </a:solidFill>
                        <a:ln w="12700" cap="flat">
                          <a:noFill/>
                          <a:miter lim="400000"/>
                        </a:ln>
                        <a:effectLst/>
                      </wps:spPr>
                      <wps:txbx>
                        <w:txbxContent>
                          <w:p w:rsidR="00A36F19" w:rsidRDefault="00C4399A">
                            <w:pPr>
                              <w:pStyle w:val="sponsors"/>
                              <w:ind w:firstLine="289"/>
                            </w:pPr>
                            <w:r>
                              <w:t>Identify applicable funding agency here. If none, delete this text box.</w:t>
                            </w:r>
                          </w:p>
                        </w:txbxContent>
                      </wps:txbx>
                      <wps:bodyPr wrap="square" lIns="0" tIns="0" rIns="0" bIns="0" numCol="1" anchor="t">
                        <a:noAutofit/>
                      </wps:bodyPr>
                    </wps:wsp>
                  </a:graphicData>
                </a:graphic>
              </wp:anchor>
            </w:drawing>
          </mc:Choice>
          <mc:Fallback>
            <w:pict>
              <v:rect id="officeArt object" o:spid="_x0000_s1026" alt="Identify applicable funding agency here. If none, delete this text box." style="position:absolute;left:0;text-align:left;margin-left:45.4pt;margin-top:756.05pt;width:236.5pt;height:9.15pt;z-index:25165926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" fillcolor="black" stroked="f" strokeweight="1pt">
                <v:fill opacity="0"/>
                <v:stroke miterlimit="4"/>
                <v:textbox inset="0,0,0,0">
                  <w:txbxContent>
                    <w:p w:rsidR="00A36F19" w:rsidRDefault="00C4399A">
                      <w:pPr>
                        <w:pStyle w:val="sponsors"/>
                        <w:ind w:firstLine="289"/>
                      </w:pPr>
                      <w:r>
                        <w:t>Identify applicable funding agency here. If none, delete this text box.</w:t>
                      </w:r>
                    </w:p>
                  </w:txbxContent>
                </v:textbox>
                <w10:wrap type="topAndBottom" anchorx="page" anchory="page"/>
              </v:rect>
            </w:pict>
          </mc:Fallback>
        </mc:AlternateContent>
      </w:r>
      <w:r>
        <w:t xml:space="preserve">Use a zero before decimal points: </w:t>
      </w:r>
      <w:r>
        <w:rPr>
          <w:rtl/>
          <w:lang w:val="ar-SA"/>
        </w:rPr>
        <w:t>“</w:t>
      </w:r>
      <w:r>
        <w:t>0.25”</w:t>
      </w:r>
      <w:r>
        <w:t xml:space="preserve">, not </w:t>
      </w:r>
      <w:r>
        <w:rPr>
          <w:rtl/>
          <w:lang w:val="ar-SA"/>
        </w:rPr>
        <w:t>“</w:t>
      </w:r>
      <w:r>
        <w:t>.25”</w:t>
      </w:r>
      <w:r>
        <w:t xml:space="preserve">. Use </w:t>
      </w:r>
      <w:r>
        <w:rPr>
          <w:rtl/>
          <w:lang w:val="ar-SA"/>
        </w:rPr>
        <w:t>“</w:t>
      </w:r>
      <w:r>
        <w:t>cm3”</w:t>
      </w:r>
      <w:r>
        <w:t xml:space="preserve">, not </w:t>
      </w:r>
      <w:r>
        <w:rPr>
          <w:rtl/>
          <w:lang w:val="ar-SA"/>
        </w:rPr>
        <w:t>“</w:t>
      </w:r>
      <w:r>
        <w:rPr>
          <w:lang w:val="it-IT"/>
        </w:rPr>
        <w:t>cc</w:t>
      </w:r>
      <w:r>
        <w:t>”. (</w:t>
      </w:r>
      <w:r>
        <w:rPr>
          <w:i/>
          <w:iCs/>
        </w:rPr>
        <w:t>bullet list</w:t>
      </w:r>
      <w:r>
        <w:t>)</w:t>
      </w:r>
    </w:p>
    <w:p w:rsidR="00A36F19" w:rsidRDefault="00C4399A">
      <w:pPr>
        <w:pStyle w:val="Heading2"/>
        <w:numPr>
          <w:ilvl w:val="1"/>
          <w:numId w:val="5"/>
        </w:numPr>
        <w:rPr>
          <w:lang w:val="fr-FR"/>
        </w:rPr>
      </w:pPr>
      <w:r>
        <w:rPr>
          <w:lang w:val="fr-FR"/>
        </w:rPr>
        <w:t>Equations</w:t>
      </w:r>
    </w:p>
    <w:p w:rsidR="00A36F19" w:rsidRDefault="00C4399A">
      <w:pPr>
        <w:pStyle w:val="BodyText"/>
      </w:pPr>
      <w:r>
        <w:t>The equations are an exception to the prescribed specifications of this template. You will need to determine whether or not your equation should be typed usi</w:t>
      </w:r>
      <w:r>
        <w:t>ng either the Times New Roman or the Symbol font (please no other font). To create multileveled equations, it may be necessary to treat the equation as a graphic and insert it into the text after your paper is styled.</w:t>
      </w:r>
    </w:p>
    <w:p w:rsidR="00A36F19" w:rsidRDefault="00C4399A">
      <w:pPr>
        <w:pStyle w:val="BodyText"/>
      </w:pPr>
      <w:r>
        <w:t>Number equations consecutively. Equati</w:t>
      </w:r>
      <w:r>
        <w:t xml:space="preserve">on numbers, within parentheses, are to position flush right, as in (1), using a right tab stop. To make your equations more compact, you may use the solidus </w:t>
      </w:r>
      <w:proofErr w:type="gramStart"/>
      <w:r>
        <w:t>( /</w:t>
      </w:r>
      <w:proofErr w:type="gramEnd"/>
      <w:r>
        <w:t xml:space="preserve"> ), the exp function, or appropriate exponents. Italicize Roman symbols for quantities and varia</w:t>
      </w:r>
      <w:r>
        <w:t>bles, but not Greek symbols. Use a long dash rather than a hyphen for a minus sign. Punctuate equations with commas or periods when they are part of a sentence, as in:</w:t>
      </w:r>
    </w:p>
    <w:p w:rsidR="00A36F19" w:rsidRDefault="00C4399A">
      <w:pPr>
        <w:pStyle w:val="equation"/>
      </w:pPr>
      <w:r>
        <w:tab/>
      </w:r>
      <w:r>
        <w:rPr>
          <w:rFonts w:ascii="Times New Roman" w:hAnsi="Times New Roman"/>
          <w:i/>
          <w:iCs/>
        </w:rPr>
        <w:t>a</w:t>
      </w:r>
      <w:r>
        <w:rPr>
          <w:rFonts w:eastAsia="Arial Unicode MS" w:cs="Arial Unicode MS"/>
        </w:rPr>
        <w:t></w:t>
      </w:r>
      <w:r>
        <w:rPr>
          <w:rFonts w:eastAsia="Arial Unicode MS" w:cs="Arial Unicode MS"/>
        </w:rPr>
        <w:t></w:t>
      </w:r>
      <w:r>
        <w:rPr>
          <w:rFonts w:eastAsia="Arial Unicode MS" w:cs="Arial Unicode MS"/>
        </w:rPr>
        <w:t></w:t>
      </w:r>
      <w:r>
        <w:rPr>
          <w:rFonts w:ascii="Times New Roman" w:hAnsi="Times New Roman"/>
          <w:i/>
          <w:iCs/>
        </w:rPr>
        <w:t>b</w:t>
      </w:r>
      <w:r>
        <w:rPr>
          <w:rFonts w:eastAsia="Arial Unicode MS" w:cs="Arial Unicode MS"/>
        </w:rPr>
        <w:t></w:t>
      </w:r>
      <w:r>
        <w:rPr>
          <w:rFonts w:eastAsia="Arial Unicode MS" w:cs="Arial Unicode MS"/>
        </w:rPr>
        <w:t></w:t>
      </w:r>
      <w:r>
        <w:rPr>
          <w:rFonts w:eastAsia="Arial Unicode MS" w:cs="Arial Unicode MS"/>
        </w:rPr>
        <w:t></w:t>
      </w:r>
      <w:r>
        <w:rPr>
          <w:rFonts w:eastAsia="Arial Unicode MS" w:cs="Arial Unicode MS"/>
        </w:rPr>
        <w:t></w:t>
      </w:r>
      <w:r>
        <w:rPr>
          <w:rFonts w:eastAsia="Arial Unicode MS" w:cs="Arial Unicode MS"/>
        </w:rPr>
        <w:t></w:t>
      </w:r>
      <w:r>
        <w:rPr>
          <w:rFonts w:eastAsia="Arial Unicode MS" w:cs="Arial Unicode MS"/>
        </w:rPr>
        <w:tab/>
      </w:r>
      <w:r>
        <w:rPr>
          <w:rFonts w:eastAsia="Arial Unicode MS" w:cs="Arial Unicode MS"/>
        </w:rPr>
        <w:t></w:t>
      </w:r>
      <w:r>
        <w:rPr>
          <w:rFonts w:eastAsia="Arial Unicode MS" w:cs="Arial Unicode MS"/>
        </w:rPr>
        <w:t></w:t>
      </w:r>
      <w:r>
        <w:rPr>
          <w:rFonts w:eastAsia="Arial Unicode MS" w:cs="Arial Unicode MS"/>
        </w:rPr>
        <w:t></w:t>
      </w:r>
    </w:p>
    <w:p w:rsidR="00A36F19" w:rsidRDefault="00C4399A">
      <w:pPr>
        <w:pStyle w:val="BodyText"/>
      </w:pPr>
      <w:r>
        <w:t>Note that the equation is centered using a center tab stop. Be sure that</w:t>
      </w:r>
      <w:r>
        <w:t xml:space="preserve"> the symbols in your equation have been defined before or immediately following the equation. Use </w:t>
      </w:r>
      <w:r>
        <w:rPr>
          <w:rtl/>
          <w:lang w:val="ar-SA"/>
        </w:rPr>
        <w:t>“</w:t>
      </w:r>
      <w:r>
        <w:t>(1)”</w:t>
      </w:r>
      <w:r>
        <w:t xml:space="preserve">, not </w:t>
      </w:r>
      <w:r>
        <w:rPr>
          <w:rtl/>
          <w:lang w:val="ar-SA"/>
        </w:rPr>
        <w:t>“</w:t>
      </w:r>
      <w:r>
        <w:t xml:space="preserve">Eq. (1)” or </w:t>
      </w:r>
      <w:r>
        <w:rPr>
          <w:rtl/>
          <w:lang w:val="ar-SA"/>
        </w:rPr>
        <w:t>“</w:t>
      </w:r>
      <w:proofErr w:type="spellStart"/>
      <w:r>
        <w:rPr>
          <w:lang w:val="fr-FR"/>
        </w:rPr>
        <w:t>equation</w:t>
      </w:r>
      <w:proofErr w:type="spellEnd"/>
      <w:r>
        <w:rPr>
          <w:lang w:val="fr-FR"/>
        </w:rPr>
        <w:t xml:space="preserve"> (1)</w:t>
      </w:r>
      <w:r>
        <w:t>”</w:t>
      </w:r>
      <w:r>
        <w:t xml:space="preserve">, except at the beginning of a sentence: </w:t>
      </w:r>
      <w:r>
        <w:rPr>
          <w:rtl/>
          <w:lang w:val="ar-SA"/>
        </w:rPr>
        <w:t>“</w:t>
      </w:r>
      <w:r>
        <w:rPr>
          <w:lang w:val="fr-FR"/>
        </w:rPr>
        <w:t xml:space="preserve">Equation (1) </w:t>
      </w:r>
      <w:proofErr w:type="spellStart"/>
      <w:r>
        <w:rPr>
          <w:lang w:val="fr-FR"/>
        </w:rPr>
        <w:t>is</w:t>
      </w:r>
      <w:proofErr w:type="spellEnd"/>
      <w:r>
        <w:rPr>
          <w:lang w:val="fr-FR"/>
        </w:rPr>
        <w:t xml:space="preserve"> . . .</w:t>
      </w:r>
      <w:r>
        <w:t>”</w:t>
      </w:r>
    </w:p>
    <w:p w:rsidR="00A36F19" w:rsidRDefault="00C4399A">
      <w:pPr>
        <w:pStyle w:val="Heading2"/>
        <w:numPr>
          <w:ilvl w:val="1"/>
          <w:numId w:val="2"/>
        </w:numPr>
      </w:pPr>
      <w:r>
        <w:t>Some Common Mistakes</w:t>
      </w:r>
    </w:p>
    <w:p w:rsidR="00A36F19" w:rsidRDefault="00C4399A">
      <w:pPr>
        <w:pStyle w:val="bulletlist"/>
        <w:numPr>
          <w:ilvl w:val="0"/>
          <w:numId w:val="4"/>
        </w:numPr>
      </w:pPr>
      <w:r>
        <w:t xml:space="preserve">The word </w:t>
      </w:r>
      <w:r>
        <w:rPr>
          <w:rtl/>
          <w:lang w:val="ar-SA"/>
        </w:rPr>
        <w:t>“</w:t>
      </w:r>
      <w:r>
        <w:rPr>
          <w:lang w:val="nl-NL"/>
        </w:rPr>
        <w:t>data</w:t>
      </w:r>
      <w:r>
        <w:t xml:space="preserve">” </w:t>
      </w:r>
      <w:r>
        <w:t>is plural, not sin</w:t>
      </w:r>
      <w:r>
        <w:t>gular.</w:t>
      </w:r>
    </w:p>
    <w:p w:rsidR="00A36F19" w:rsidRDefault="00C4399A">
      <w:pPr>
        <w:pStyle w:val="bulletlist"/>
        <w:numPr>
          <w:ilvl w:val="0"/>
          <w:numId w:val="4"/>
        </w:numPr>
      </w:pPr>
      <w:r>
        <w:t xml:space="preserve">The subscript for the permeability of vacuum </w:t>
      </w:r>
      <w:r>
        <w:rPr>
          <w:rFonts w:ascii="Symbol" w:hAnsi="Symbol"/>
        </w:rPr>
        <w:t></w:t>
      </w:r>
      <w:r>
        <w:rPr>
          <w:vertAlign w:val="subscript"/>
        </w:rPr>
        <w:t>0</w:t>
      </w:r>
      <w:r>
        <w:t xml:space="preserve">, and other common scientific constants, is zero with subscript formatting, not a lowercase letter </w:t>
      </w:r>
      <w:r>
        <w:rPr>
          <w:rtl/>
          <w:lang w:val="ar-SA"/>
        </w:rPr>
        <w:t>“</w:t>
      </w:r>
      <w:r>
        <w:t>o”.</w:t>
      </w:r>
    </w:p>
    <w:p w:rsidR="00A36F19" w:rsidRDefault="00C4399A">
      <w:pPr>
        <w:pStyle w:val="bulletlist"/>
        <w:numPr>
          <w:ilvl w:val="0"/>
          <w:numId w:val="4"/>
        </w:numPr>
      </w:pPr>
      <w:r>
        <w:t xml:space="preserve">In American English, commas, semicolons, periods, question and exclamation marks are located </w:t>
      </w:r>
      <w:r>
        <w:t xml:space="preserve">within quotation marks only when a complete thought or name is cited, such as a title or full quotation. When quotation marks are used, instead of a bold or italic typeface, to highlight a word or phrase, punctuation should appear outside of the quotation </w:t>
      </w:r>
      <w:r>
        <w:t>marks. A parenthetical phrase or statement at the end of a sentence is punctuated outside of the closing parenthesis (like this). (A parenthetical sentence is punctuated within the parentheses.)</w:t>
      </w:r>
    </w:p>
    <w:p w:rsidR="00A36F19" w:rsidRDefault="00C4399A">
      <w:pPr>
        <w:pStyle w:val="bulletlist"/>
        <w:numPr>
          <w:ilvl w:val="0"/>
          <w:numId w:val="4"/>
        </w:numPr>
      </w:pPr>
      <w:r>
        <w:t xml:space="preserve">A graph within a graph is an </w:t>
      </w:r>
      <w:r>
        <w:rPr>
          <w:rtl/>
          <w:lang w:val="ar-SA"/>
        </w:rPr>
        <w:t>“</w:t>
      </w:r>
      <w:r>
        <w:t>inset”</w:t>
      </w:r>
      <w:r>
        <w:t xml:space="preserve">, not an </w:t>
      </w:r>
      <w:r>
        <w:rPr>
          <w:rtl/>
          <w:lang w:val="ar-SA"/>
        </w:rPr>
        <w:t>“</w:t>
      </w:r>
      <w:r>
        <w:t>insert”</w:t>
      </w:r>
      <w:r>
        <w:t>. The wo</w:t>
      </w:r>
      <w:r>
        <w:t xml:space="preserve">rd alternatively is preferred to the word </w:t>
      </w:r>
      <w:r>
        <w:rPr>
          <w:rtl/>
          <w:lang w:val="ar-SA"/>
        </w:rPr>
        <w:t>“</w:t>
      </w:r>
      <w:r>
        <w:t>alternately</w:t>
      </w:r>
      <w:r>
        <w:t xml:space="preserve">” </w:t>
      </w:r>
      <w:r>
        <w:t>(unless you really mean something that alternates).</w:t>
      </w:r>
    </w:p>
    <w:p w:rsidR="00A36F19" w:rsidRDefault="00C4399A">
      <w:pPr>
        <w:pStyle w:val="bulletlist"/>
        <w:numPr>
          <w:ilvl w:val="0"/>
          <w:numId w:val="4"/>
        </w:numPr>
      </w:pPr>
      <w:r>
        <w:t xml:space="preserve">Do not use the word </w:t>
      </w:r>
      <w:r>
        <w:rPr>
          <w:rtl/>
          <w:lang w:val="ar-SA"/>
        </w:rPr>
        <w:t>“</w:t>
      </w:r>
      <w:r>
        <w:t>essentially</w:t>
      </w:r>
      <w:r>
        <w:t xml:space="preserve">” </w:t>
      </w:r>
      <w:r>
        <w:t xml:space="preserve">to mean </w:t>
      </w:r>
      <w:r>
        <w:rPr>
          <w:rtl/>
          <w:lang w:val="ar-SA"/>
        </w:rPr>
        <w:t>“</w:t>
      </w:r>
      <w:r>
        <w:t>approximately</w:t>
      </w:r>
      <w:r>
        <w:t xml:space="preserve">” or </w:t>
      </w:r>
      <w:r>
        <w:rPr>
          <w:rtl/>
          <w:lang w:val="ar-SA"/>
        </w:rPr>
        <w:t>“</w:t>
      </w:r>
      <w:r>
        <w:t>effectively</w:t>
      </w:r>
      <w:r>
        <w:t>”.</w:t>
      </w:r>
    </w:p>
    <w:p w:rsidR="00A36F19" w:rsidRDefault="00C4399A">
      <w:pPr>
        <w:pStyle w:val="bulletlist"/>
        <w:numPr>
          <w:ilvl w:val="0"/>
          <w:numId w:val="4"/>
        </w:numPr>
      </w:pPr>
      <w:r>
        <w:t xml:space="preserve">In your paper title, if the words </w:t>
      </w:r>
      <w:r>
        <w:rPr>
          <w:rtl/>
          <w:lang w:val="ar-SA"/>
        </w:rPr>
        <w:t>“</w:t>
      </w:r>
      <w:r>
        <w:t>that uses</w:t>
      </w:r>
      <w:r>
        <w:t xml:space="preserve">” </w:t>
      </w:r>
      <w:r>
        <w:t>can accurately replace the</w:t>
      </w:r>
      <w:r>
        <w:t xml:space="preserve"> word </w:t>
      </w:r>
      <w:r>
        <w:rPr>
          <w:rtl/>
          <w:lang w:val="ar-SA"/>
        </w:rPr>
        <w:t>“</w:t>
      </w:r>
      <w:r>
        <w:t>using</w:t>
      </w:r>
      <w:r>
        <w:t>”</w:t>
      </w:r>
      <w:r>
        <w:t xml:space="preserve">, capitalize the </w:t>
      </w:r>
      <w:r>
        <w:rPr>
          <w:rtl/>
          <w:lang w:val="ar-SA"/>
        </w:rPr>
        <w:t>“</w:t>
      </w:r>
      <w:r>
        <w:t>u”</w:t>
      </w:r>
      <w:r>
        <w:t>; if not, keep using lower-cased.</w:t>
      </w:r>
    </w:p>
    <w:p w:rsidR="00A36F19" w:rsidRDefault="00C4399A">
      <w:pPr>
        <w:pStyle w:val="bulletlist"/>
        <w:numPr>
          <w:ilvl w:val="0"/>
          <w:numId w:val="4"/>
        </w:numPr>
      </w:pPr>
      <w:r>
        <w:t xml:space="preserve">Be aware of the different meanings of the homophones </w:t>
      </w:r>
      <w:r>
        <w:rPr>
          <w:rtl/>
          <w:lang w:val="ar-SA"/>
        </w:rPr>
        <w:t>“</w:t>
      </w:r>
      <w:r>
        <w:t>affect</w:t>
      </w:r>
      <w:r>
        <w:t xml:space="preserve">” </w:t>
      </w:r>
      <w:r>
        <w:t xml:space="preserve">and </w:t>
      </w:r>
      <w:r>
        <w:rPr>
          <w:rtl/>
          <w:lang w:val="ar-SA"/>
        </w:rPr>
        <w:t>“</w:t>
      </w:r>
      <w:r>
        <w:t>effect</w:t>
      </w:r>
      <w:r>
        <w:t xml:space="preserve">”, </w:t>
      </w:r>
      <w:r>
        <w:rPr>
          <w:rtl/>
          <w:lang w:val="ar-SA"/>
        </w:rPr>
        <w:t>“</w:t>
      </w:r>
      <w:proofErr w:type="spellStart"/>
      <w:r>
        <w:rPr>
          <w:lang w:val="fr-FR"/>
        </w:rPr>
        <w:t>complement</w:t>
      </w:r>
      <w:proofErr w:type="spellEnd"/>
      <w:r>
        <w:t xml:space="preserve">” </w:t>
      </w:r>
      <w:r>
        <w:t xml:space="preserve">and </w:t>
      </w:r>
      <w:r>
        <w:rPr>
          <w:rtl/>
          <w:lang w:val="ar-SA"/>
        </w:rPr>
        <w:t>“</w:t>
      </w:r>
      <w:r>
        <w:rPr>
          <w:lang w:val="it-IT"/>
        </w:rPr>
        <w:t>compliment</w:t>
      </w:r>
      <w:r>
        <w:t xml:space="preserve">”, </w:t>
      </w:r>
      <w:r>
        <w:rPr>
          <w:rtl/>
          <w:lang w:val="ar-SA"/>
        </w:rPr>
        <w:t>“</w:t>
      </w:r>
      <w:r>
        <w:t>discreet</w:t>
      </w:r>
      <w:r>
        <w:t xml:space="preserve">” </w:t>
      </w:r>
      <w:r>
        <w:t xml:space="preserve">and </w:t>
      </w:r>
      <w:r>
        <w:rPr>
          <w:rtl/>
          <w:lang w:val="ar-SA"/>
        </w:rPr>
        <w:t>“</w:t>
      </w:r>
      <w:r>
        <w:rPr>
          <w:lang w:val="it-IT"/>
        </w:rPr>
        <w:t>discrete</w:t>
      </w:r>
      <w:r>
        <w:t xml:space="preserve">”, </w:t>
      </w:r>
      <w:r>
        <w:rPr>
          <w:rtl/>
          <w:lang w:val="ar-SA"/>
        </w:rPr>
        <w:t>“</w:t>
      </w:r>
      <w:r>
        <w:rPr>
          <w:lang w:val="fr-FR"/>
        </w:rPr>
        <w:t>principal</w:t>
      </w:r>
      <w:r>
        <w:t xml:space="preserve">” </w:t>
      </w:r>
      <w:r>
        <w:t xml:space="preserve">and </w:t>
      </w:r>
      <w:r>
        <w:rPr>
          <w:rtl/>
          <w:lang w:val="ar-SA"/>
        </w:rPr>
        <w:t>“</w:t>
      </w:r>
      <w:proofErr w:type="spellStart"/>
      <w:r>
        <w:rPr>
          <w:lang w:val="fr-FR"/>
        </w:rPr>
        <w:t>principle</w:t>
      </w:r>
      <w:proofErr w:type="spellEnd"/>
      <w:r>
        <w:t>”.</w:t>
      </w:r>
    </w:p>
    <w:p w:rsidR="00A36F19" w:rsidRDefault="00C4399A">
      <w:pPr>
        <w:pStyle w:val="bulletlist"/>
        <w:numPr>
          <w:ilvl w:val="0"/>
          <w:numId w:val="4"/>
        </w:numPr>
      </w:pPr>
      <w:r>
        <w:t xml:space="preserve">Do not confuse </w:t>
      </w:r>
      <w:r>
        <w:rPr>
          <w:rtl/>
          <w:lang w:val="ar-SA"/>
        </w:rPr>
        <w:t>“</w:t>
      </w:r>
      <w:r>
        <w:t>imply</w:t>
      </w:r>
      <w:r>
        <w:t xml:space="preserve">” </w:t>
      </w:r>
      <w:r>
        <w:t>and</w:t>
      </w:r>
      <w:r>
        <w:t xml:space="preserve"> </w:t>
      </w:r>
      <w:r>
        <w:rPr>
          <w:rtl/>
          <w:lang w:val="ar-SA"/>
        </w:rPr>
        <w:t>“</w:t>
      </w:r>
      <w:r>
        <w:rPr>
          <w:lang w:val="it-IT"/>
        </w:rPr>
        <w:t>infer</w:t>
      </w:r>
      <w:r>
        <w:t>”.</w:t>
      </w:r>
    </w:p>
    <w:p w:rsidR="00A36F19" w:rsidRDefault="00C4399A">
      <w:pPr>
        <w:pStyle w:val="bulletlist"/>
        <w:numPr>
          <w:ilvl w:val="0"/>
          <w:numId w:val="4"/>
        </w:numPr>
      </w:pPr>
      <w:r>
        <w:t xml:space="preserve">The prefix </w:t>
      </w:r>
      <w:r>
        <w:rPr>
          <w:rtl/>
          <w:lang w:val="ar-SA"/>
        </w:rPr>
        <w:t>“</w:t>
      </w:r>
      <w:r>
        <w:rPr>
          <w:lang w:val="it-IT"/>
        </w:rPr>
        <w:t>non</w:t>
      </w:r>
      <w:r>
        <w:t xml:space="preserve">” </w:t>
      </w:r>
      <w:r>
        <w:t>is not a word; it should be joined to the word it modifies, usually without a hyphen.</w:t>
      </w:r>
    </w:p>
    <w:p w:rsidR="00A36F19" w:rsidRDefault="00C4399A">
      <w:pPr>
        <w:pStyle w:val="bulletlist"/>
        <w:numPr>
          <w:ilvl w:val="0"/>
          <w:numId w:val="4"/>
        </w:numPr>
      </w:pPr>
      <w:r>
        <w:t xml:space="preserve">There is no period after the </w:t>
      </w:r>
      <w:r>
        <w:rPr>
          <w:rtl/>
          <w:lang w:val="ar-SA"/>
        </w:rPr>
        <w:t>“</w:t>
      </w:r>
      <w:r>
        <w:t xml:space="preserve">et” </w:t>
      </w:r>
      <w:r>
        <w:t xml:space="preserve">in the Latin abbreviation </w:t>
      </w:r>
      <w:r>
        <w:rPr>
          <w:rtl/>
          <w:lang w:val="ar-SA"/>
        </w:rPr>
        <w:t>“</w:t>
      </w:r>
      <w:r>
        <w:t>et al.”.</w:t>
      </w:r>
    </w:p>
    <w:p w:rsidR="00A36F19" w:rsidRDefault="00C4399A">
      <w:pPr>
        <w:pStyle w:val="bulletlist"/>
        <w:numPr>
          <w:ilvl w:val="0"/>
          <w:numId w:val="4"/>
        </w:numPr>
        <w:rPr>
          <w:lang w:val="it-IT"/>
        </w:rPr>
      </w:pPr>
      <w:r>
        <w:rPr>
          <w:lang w:val="it-IT"/>
        </w:rPr>
        <w:t xml:space="preserve">The abbreviation </w:t>
      </w:r>
      <w:r>
        <w:rPr>
          <w:rtl/>
          <w:lang w:val="ar-SA"/>
        </w:rPr>
        <w:t>“</w:t>
      </w:r>
      <w:r>
        <w:rPr>
          <w:lang w:val="it-IT"/>
        </w:rPr>
        <w:t>i.e.</w:t>
      </w:r>
      <w:r>
        <w:t xml:space="preserve">” </w:t>
      </w:r>
      <w:r>
        <w:t xml:space="preserve">means </w:t>
      </w:r>
      <w:r>
        <w:rPr>
          <w:rtl/>
          <w:lang w:val="ar-SA"/>
        </w:rPr>
        <w:t>“</w:t>
      </w:r>
      <w:r>
        <w:t>that is</w:t>
      </w:r>
      <w:r>
        <w:t>”</w:t>
      </w:r>
      <w:r>
        <w:t xml:space="preserve">, and the abbreviation </w:t>
      </w:r>
      <w:r>
        <w:rPr>
          <w:rtl/>
          <w:lang w:val="ar-SA"/>
        </w:rPr>
        <w:t>“</w:t>
      </w:r>
      <w:r>
        <w:t xml:space="preserve">e.g.” </w:t>
      </w:r>
      <w:r>
        <w:t xml:space="preserve">means </w:t>
      </w:r>
      <w:r>
        <w:rPr>
          <w:rtl/>
          <w:lang w:val="ar-SA"/>
        </w:rPr>
        <w:t>“</w:t>
      </w:r>
      <w:r>
        <w:t>for example</w:t>
      </w:r>
      <w:r>
        <w:t>”.</w:t>
      </w:r>
    </w:p>
    <w:p w:rsidR="00A36F19" w:rsidRDefault="00C4399A">
      <w:pPr>
        <w:pStyle w:val="BodyText"/>
      </w:pPr>
      <w:r>
        <w:t>An excellent style manual for science writers is [7].</w:t>
      </w:r>
    </w:p>
    <w:p w:rsidR="00A36F19" w:rsidRDefault="00C4399A">
      <w:pPr>
        <w:pStyle w:val="Heading1"/>
        <w:numPr>
          <w:ilvl w:val="0"/>
          <w:numId w:val="6"/>
        </w:numPr>
        <w:rPr>
          <w:lang w:val="en-US"/>
        </w:rPr>
      </w:pPr>
      <w:r>
        <w:rPr>
          <w:lang w:val="en-US"/>
        </w:rPr>
        <w:t>Experimental Setup</w:t>
      </w:r>
    </w:p>
    <w:p w:rsidR="00A36F19" w:rsidRDefault="00C4399A">
      <w:pPr>
        <w:pStyle w:val="BodyText"/>
      </w:pPr>
      <w:r>
        <w:t>After the text edit has been completed, the paper is ready for the template. Duplicate the template file by using the Save As command, and use the naming conventi</w:t>
      </w:r>
      <w:r>
        <w:t>on prescribed by your conference for the name of your paper. In this newly created file, highlight all of the contents and import your prepared text file. You are now ready to style your paper; use the scroll down window on the left of the MS Word Formatti</w:t>
      </w:r>
      <w:r>
        <w:t>ng toolbar.</w:t>
      </w:r>
    </w:p>
    <w:p w:rsidR="00A36F19" w:rsidRDefault="00C4399A">
      <w:pPr>
        <w:pStyle w:val="Heading2"/>
        <w:numPr>
          <w:ilvl w:val="1"/>
          <w:numId w:val="2"/>
        </w:numPr>
      </w:pPr>
      <w:r>
        <w:t>Authors and Affiliations</w:t>
      </w:r>
    </w:p>
    <w:p w:rsidR="00A36F19" w:rsidRDefault="00C4399A">
      <w:pPr>
        <w:pStyle w:val="BodyText"/>
      </w:pPr>
      <w:r>
        <w:rPr>
          <w:b/>
          <w:bCs/>
        </w:rPr>
        <w:t>The template is designed for, but not limited to, six authors.</w:t>
      </w:r>
      <w:r>
        <w:t xml:space="preserve"> A minimum of one author is required for all </w:t>
      </w:r>
      <w:r>
        <w:lastRenderedPageBreak/>
        <w:t xml:space="preserve">conference articles. Author names should be listed starting from left to right and then moving down to the next </w:t>
      </w:r>
      <w:r>
        <w:t>line. This is the author sequence that will be used in future citations and by indexing services. Names should not be listed in columns nor group by affiliation. Please keep your affiliations as succinct as possible (for example, do not differentiate among</w:t>
      </w:r>
      <w:r>
        <w:t xml:space="preserve"> departments of the same organization).</w:t>
      </w:r>
    </w:p>
    <w:p w:rsidR="00A36F19" w:rsidRDefault="00C4399A">
      <w:pPr>
        <w:pStyle w:val="Heading3"/>
        <w:numPr>
          <w:ilvl w:val="2"/>
          <w:numId w:val="2"/>
        </w:numPr>
      </w:pPr>
      <w:r>
        <w:t xml:space="preserve">For papers with more than six authors: </w:t>
      </w:r>
      <w:r>
        <w:rPr>
          <w:i w:val="0"/>
          <w:iCs w:val="0"/>
        </w:rPr>
        <w:t>Add author names horizontally, moving to a third row if needed for more than 8 authors.</w:t>
      </w:r>
    </w:p>
    <w:p w:rsidR="00A36F19" w:rsidRDefault="00C4399A">
      <w:pPr>
        <w:pStyle w:val="Heading3"/>
        <w:numPr>
          <w:ilvl w:val="2"/>
          <w:numId w:val="2"/>
        </w:numPr>
      </w:pPr>
      <w:r>
        <w:t xml:space="preserve">For papers with less than six authors: </w:t>
      </w:r>
      <w:r>
        <w:rPr>
          <w:i w:val="0"/>
          <w:iCs w:val="0"/>
        </w:rPr>
        <w:t>To change the default, adjust the template as foll</w:t>
      </w:r>
      <w:r>
        <w:rPr>
          <w:i w:val="0"/>
          <w:iCs w:val="0"/>
        </w:rPr>
        <w:t>ows.</w:t>
      </w:r>
    </w:p>
    <w:p w:rsidR="00A36F19" w:rsidRDefault="00C4399A">
      <w:pPr>
        <w:pStyle w:val="Heading4"/>
        <w:numPr>
          <w:ilvl w:val="3"/>
          <w:numId w:val="2"/>
        </w:numPr>
      </w:pPr>
      <w:r>
        <w:t xml:space="preserve">Selection: </w:t>
      </w:r>
      <w:r>
        <w:rPr>
          <w:i w:val="0"/>
          <w:iCs w:val="0"/>
        </w:rPr>
        <w:t>Highlight all author and affiliation lines.</w:t>
      </w:r>
    </w:p>
    <w:p w:rsidR="00A36F19" w:rsidRDefault="00C4399A">
      <w:pPr>
        <w:pStyle w:val="Heading4"/>
        <w:numPr>
          <w:ilvl w:val="3"/>
          <w:numId w:val="2"/>
        </w:numPr>
      </w:pPr>
      <w:r>
        <w:t xml:space="preserve">Change number of columns: </w:t>
      </w:r>
      <w:r>
        <w:rPr>
          <w:i w:val="0"/>
          <w:iCs w:val="0"/>
        </w:rPr>
        <w:t>Select the Columns icon from the MS Word Standard toolbar and then select the correct number of columns from the selection palette.</w:t>
      </w:r>
    </w:p>
    <w:p w:rsidR="00A36F19" w:rsidRDefault="00C4399A">
      <w:pPr>
        <w:pStyle w:val="Heading4"/>
        <w:numPr>
          <w:ilvl w:val="3"/>
          <w:numId w:val="2"/>
        </w:numPr>
        <w:rPr>
          <w:i w:val="0"/>
          <w:iCs w:val="0"/>
        </w:rPr>
      </w:pPr>
      <w:r>
        <w:t xml:space="preserve">Deletion: </w:t>
      </w:r>
      <w:r>
        <w:rPr>
          <w:i w:val="0"/>
          <w:iCs w:val="0"/>
        </w:rPr>
        <w:t xml:space="preserve">Delete the author and </w:t>
      </w:r>
      <w:r>
        <w:rPr>
          <w:i w:val="0"/>
          <w:iCs w:val="0"/>
        </w:rPr>
        <w:t>affiliation lines for the extra authors.</w:t>
      </w:r>
    </w:p>
    <w:p w:rsidR="00A36F19" w:rsidRDefault="00A36F19">
      <w:pPr>
        <w:jc w:val="left"/>
        <w:rPr>
          <w:i/>
          <w:iCs/>
        </w:rPr>
      </w:pPr>
    </w:p>
    <w:p w:rsidR="00A36F19" w:rsidRDefault="00C4399A">
      <w:pPr>
        <w:pStyle w:val="Heading2"/>
        <w:numPr>
          <w:ilvl w:val="1"/>
          <w:numId w:val="2"/>
        </w:numPr>
      </w:pPr>
      <w:r>
        <w:t>Identify the Headings</w:t>
      </w:r>
    </w:p>
    <w:p w:rsidR="00A36F19" w:rsidRDefault="00C4399A">
      <w:pPr>
        <w:pStyle w:val="BodyText"/>
      </w:pPr>
      <w:r>
        <w:t>Headings, or heads, are organizational devices that guide the reader through your paper. There are two types: component heads and text heads.</w:t>
      </w:r>
    </w:p>
    <w:p w:rsidR="00A36F19" w:rsidRDefault="00C4399A">
      <w:pPr>
        <w:pStyle w:val="BodyText"/>
      </w:pPr>
      <w:r>
        <w:t xml:space="preserve">Component heads identify the different components </w:t>
      </w:r>
      <w:r>
        <w:t xml:space="preserve">of your paper and are not topically subordinate to each other. Examples include Acknowledgments and References and, for these, the correct style to use is </w:t>
      </w:r>
      <w:r>
        <w:rPr>
          <w:rtl/>
          <w:lang w:val="ar-SA"/>
        </w:rPr>
        <w:t>“</w:t>
      </w:r>
      <w:r>
        <w:t>Heading 5</w:t>
      </w:r>
      <w:r>
        <w:t>”</w:t>
      </w:r>
      <w:r>
        <w:t xml:space="preserve">. Use </w:t>
      </w:r>
      <w:r>
        <w:rPr>
          <w:rtl/>
          <w:lang w:val="ar-SA"/>
        </w:rPr>
        <w:t>“</w:t>
      </w:r>
      <w:r>
        <w:t>figure caption</w:t>
      </w:r>
      <w:r>
        <w:t xml:space="preserve">” </w:t>
      </w:r>
      <w:r>
        <w:t xml:space="preserve">for your Figure captions, and </w:t>
      </w:r>
      <w:r>
        <w:rPr>
          <w:rtl/>
          <w:lang w:val="ar-SA"/>
        </w:rPr>
        <w:t>“</w:t>
      </w:r>
      <w:r>
        <w:t>table head</w:t>
      </w:r>
      <w:r>
        <w:t xml:space="preserve">” </w:t>
      </w:r>
      <w:r>
        <w:t>for your table title. Ru</w:t>
      </w:r>
      <w:r>
        <w:t xml:space="preserve">n-in heads, such as </w:t>
      </w:r>
      <w:r>
        <w:rPr>
          <w:rtl/>
          <w:lang w:val="ar-SA"/>
        </w:rPr>
        <w:t>“</w:t>
      </w:r>
      <w:r>
        <w:rPr>
          <w:lang w:val="de-DE"/>
        </w:rPr>
        <w:t>Abstract</w:t>
      </w:r>
      <w:r>
        <w:t>”</w:t>
      </w:r>
      <w:r>
        <w:t xml:space="preserve">, will require you to apply a style (in this case, italic) in addition to the style provided by the </w:t>
      </w:r>
      <w:proofErr w:type="gramStart"/>
      <w:r>
        <w:t>drop down</w:t>
      </w:r>
      <w:proofErr w:type="gramEnd"/>
      <w:r>
        <w:t xml:space="preserve"> menu to differentiate the head from the text.</w:t>
      </w:r>
    </w:p>
    <w:p w:rsidR="00A36F19" w:rsidRDefault="00C4399A">
      <w:pPr>
        <w:pStyle w:val="BodyText"/>
      </w:pPr>
      <w:r>
        <w:t>Text heads organize the topics on a relational, hierarchical basis. Fo</w:t>
      </w:r>
      <w:r>
        <w:t>r example, the paper title is the primary text head because all subsequent material relates and elaborates on this one topic. If there are two or more sub-topics, the next level head (uppercase Roman numerals) should be used and, conversely, if there are n</w:t>
      </w:r>
      <w:r>
        <w:t xml:space="preserve">ot at least two sub-topics, then no subheads should be introduced. Styles named </w:t>
      </w:r>
      <w:r>
        <w:rPr>
          <w:rtl/>
          <w:lang w:val="ar-SA"/>
        </w:rPr>
        <w:t>“</w:t>
      </w:r>
      <w:r>
        <w:t>Heading 1</w:t>
      </w:r>
      <w:r>
        <w:t xml:space="preserve">”, </w:t>
      </w:r>
      <w:r>
        <w:rPr>
          <w:rtl/>
          <w:lang w:val="ar-SA"/>
        </w:rPr>
        <w:t>“</w:t>
      </w:r>
      <w:r>
        <w:t>Heading 2</w:t>
      </w:r>
      <w:r>
        <w:t xml:space="preserve">”, </w:t>
      </w:r>
      <w:r>
        <w:rPr>
          <w:rtl/>
          <w:lang w:val="ar-SA"/>
        </w:rPr>
        <w:t>“</w:t>
      </w:r>
      <w:r>
        <w:t>Heading 3</w:t>
      </w:r>
      <w:r>
        <w:t>”</w:t>
      </w:r>
      <w:r>
        <w:t xml:space="preserve">, and </w:t>
      </w:r>
      <w:r>
        <w:rPr>
          <w:rtl/>
          <w:lang w:val="ar-SA"/>
        </w:rPr>
        <w:t>“</w:t>
      </w:r>
      <w:r>
        <w:t>Heading 4</w:t>
      </w:r>
      <w:r>
        <w:t xml:space="preserve">” </w:t>
      </w:r>
      <w:r>
        <w:t>are prescribed.</w:t>
      </w:r>
    </w:p>
    <w:p w:rsidR="00A36F19" w:rsidRDefault="00C4399A">
      <w:pPr>
        <w:pStyle w:val="Heading2"/>
        <w:numPr>
          <w:ilvl w:val="1"/>
          <w:numId w:val="2"/>
        </w:numPr>
      </w:pPr>
      <w:r>
        <w:t>Figures and Tables</w:t>
      </w:r>
    </w:p>
    <w:p w:rsidR="00A36F19" w:rsidRDefault="00C4399A">
      <w:pPr>
        <w:pStyle w:val="Heading4"/>
        <w:numPr>
          <w:ilvl w:val="3"/>
          <w:numId w:val="7"/>
        </w:numPr>
      </w:pPr>
      <w:r>
        <w:t xml:space="preserve"> Positioning Figures and Tables: </w:t>
      </w:r>
      <w:r>
        <w:rPr>
          <w:i w:val="0"/>
          <w:iCs w:val="0"/>
        </w:rPr>
        <w:t>Place figures and tables at the top and bottom of columns. Avoid placing them in the middle of columns. Large figures and tables may span across both columns. Figure captions should be below the figures; table heads should appear above the tables. Insert f</w:t>
      </w:r>
      <w:r>
        <w:rPr>
          <w:i w:val="0"/>
          <w:iCs w:val="0"/>
        </w:rPr>
        <w:t xml:space="preserve">igures and tables after they are cited in the text. Use the abbreviation </w:t>
      </w:r>
      <w:r>
        <w:rPr>
          <w:rFonts w:ascii="Arial Unicode MS" w:hAnsi="Arial Unicode MS"/>
          <w:i w:val="0"/>
          <w:iCs w:val="0"/>
          <w:rtl/>
          <w:lang w:val="ar-SA"/>
        </w:rPr>
        <w:t>“</w:t>
      </w:r>
      <w:r>
        <w:rPr>
          <w:i w:val="0"/>
          <w:iCs w:val="0"/>
        </w:rPr>
        <w:t>Fig. 1”, even at the beginning of a sentence.</w:t>
      </w:r>
    </w:p>
    <w:p w:rsidR="00A36F19" w:rsidRDefault="00C4399A">
      <w:pPr>
        <w:pStyle w:val="tablehead"/>
        <w:numPr>
          <w:ilvl w:val="0"/>
          <w:numId w:val="9"/>
        </w:numPr>
      </w:pPr>
      <w:r>
        <w:t>Table Type Styles</w:t>
      </w:r>
    </w:p>
    <w:tbl>
      <w:tblPr>
        <w:tblW w:w="486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720"/>
        <w:gridCol w:w="2340"/>
        <w:gridCol w:w="900"/>
        <w:gridCol w:w="900"/>
      </w:tblGrid>
      <w:tr w:rsidR="00A36F19">
        <w:trPr>
          <w:trHeight w:val="183"/>
          <w:tblHeader/>
          <w:jc w:val="center"/>
        </w:trPr>
        <w:tc>
          <w:tcPr>
            <w:tcW w:w="720" w:type="dxa"/>
            <w:vMerge w:val="restar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36F19" w:rsidRDefault="00C4399A">
            <w:pPr>
              <w:pStyle w:val="tablecolhead"/>
            </w:pPr>
            <w:r>
              <w:t>Table Head</w:t>
            </w:r>
          </w:p>
        </w:tc>
        <w:tc>
          <w:tcPr>
            <w:tcW w:w="4140" w:type="dxa"/>
            <w:gridSpan w:val="3"/>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36F19" w:rsidRDefault="00C4399A">
            <w:pPr>
              <w:pStyle w:val="tablecolhead"/>
            </w:pPr>
            <w:r>
              <w:t>Table Column Head</w:t>
            </w:r>
          </w:p>
        </w:tc>
      </w:tr>
      <w:tr w:rsidR="00A36F19">
        <w:trPr>
          <w:trHeight w:val="184"/>
          <w:tblHeader/>
          <w:jc w:val="center"/>
        </w:trPr>
        <w:tc>
          <w:tcPr>
            <w:tcW w:w="720" w:type="dxa"/>
            <w:vMerge/>
            <w:tcBorders>
              <w:top w:val="single" w:sz="2" w:space="0" w:color="000000"/>
              <w:left w:val="single" w:sz="2" w:space="0" w:color="000000"/>
              <w:bottom w:val="single" w:sz="2" w:space="0" w:color="000000"/>
              <w:right w:val="single" w:sz="2" w:space="0" w:color="000000"/>
            </w:tcBorders>
            <w:shd w:val="clear" w:color="auto" w:fill="auto"/>
          </w:tcPr>
          <w:p w:rsidR="00A36F19" w:rsidRDefault="00A36F19"/>
        </w:tc>
        <w:tc>
          <w:tcPr>
            <w:tcW w:w="234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36F19" w:rsidRDefault="00C4399A">
            <w:pPr>
              <w:pStyle w:val="tablecolsubhead"/>
            </w:pPr>
            <w:r>
              <w:t>Table column subhead</w:t>
            </w:r>
          </w:p>
        </w:tc>
        <w:tc>
          <w:tcPr>
            <w:tcW w:w="90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36F19" w:rsidRDefault="00C4399A">
            <w:pPr>
              <w:pStyle w:val="tablecolsubhead"/>
            </w:pPr>
            <w:r>
              <w:t>Subhead</w:t>
            </w:r>
          </w:p>
        </w:tc>
        <w:tc>
          <w:tcPr>
            <w:tcW w:w="90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36F19" w:rsidRDefault="00C4399A">
            <w:pPr>
              <w:pStyle w:val="tablecolsubhead"/>
            </w:pPr>
            <w:r>
              <w:t>Subhead</w:t>
            </w:r>
          </w:p>
        </w:tc>
      </w:tr>
      <w:tr w:rsidR="00A36F19">
        <w:tblPrEx>
          <w:shd w:val="clear" w:color="auto" w:fill="CED7E7"/>
        </w:tblPrEx>
        <w:trPr>
          <w:trHeight w:val="217"/>
          <w:jc w:val="center"/>
        </w:trPr>
        <w:tc>
          <w:tcPr>
            <w:tcW w:w="72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36F19" w:rsidRDefault="00C4399A">
            <w:pPr>
              <w:pStyle w:val="tablecopy"/>
            </w:pPr>
            <w:r>
              <w:t>copy</w:t>
            </w:r>
          </w:p>
        </w:tc>
        <w:tc>
          <w:tcPr>
            <w:tcW w:w="234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36F19" w:rsidRDefault="00C4399A">
            <w:pPr>
              <w:pStyle w:val="tablecopy"/>
            </w:pPr>
            <w:r>
              <w:t xml:space="preserve">More table </w:t>
            </w:r>
            <w:proofErr w:type="spellStart"/>
            <w:r>
              <w:t>copy</w:t>
            </w:r>
            <w:r>
              <w:rPr>
                <w:vertAlign w:val="superscript"/>
              </w:rPr>
              <w:t>a</w:t>
            </w:r>
            <w:proofErr w:type="spellEnd"/>
          </w:p>
        </w:tc>
        <w:tc>
          <w:tcPr>
            <w:tcW w:w="90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36F19" w:rsidRDefault="00A36F19"/>
        </w:tc>
        <w:tc>
          <w:tcPr>
            <w:tcW w:w="90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36F19" w:rsidRDefault="00A36F19"/>
        </w:tc>
      </w:tr>
    </w:tbl>
    <w:p w:rsidR="00A36F19" w:rsidRDefault="00A36F19" w:rsidP="00A95830">
      <w:pPr>
        <w:pStyle w:val="tablehead"/>
        <w:widowControl w:val="0"/>
        <w:spacing w:line="240" w:lineRule="auto"/>
        <w:ind w:left="1080"/>
        <w:jc w:val="both"/>
      </w:pPr>
    </w:p>
    <w:p w:rsidR="00A36F19" w:rsidRDefault="00C4399A">
      <w:pPr>
        <w:pStyle w:val="tablefootnote"/>
        <w:numPr>
          <w:ilvl w:val="0"/>
          <w:numId w:val="13"/>
        </w:numPr>
      </w:pPr>
      <w:r>
        <w:t xml:space="preserve">Sample of a Table </w:t>
      </w:r>
      <w:r>
        <w:t>footnote. (</w:t>
      </w:r>
      <w:r>
        <w:rPr>
          <w:i/>
          <w:iCs/>
        </w:rPr>
        <w:t>Table footnote</w:t>
      </w:r>
      <w:r>
        <w:t>)</w:t>
      </w:r>
    </w:p>
    <w:p w:rsidR="00A36F19" w:rsidRDefault="00C4399A">
      <w:pPr>
        <w:pStyle w:val="figurecaption"/>
        <w:numPr>
          <w:ilvl w:val="0"/>
          <w:numId w:val="15"/>
        </w:numPr>
      </w:pPr>
      <w:r>
        <w:t>Example of a figure caption. (</w:t>
      </w:r>
      <w:r>
        <w:rPr>
          <w:i/>
          <w:iCs/>
        </w:rPr>
        <w:t>figure caption</w:t>
      </w:r>
      <w:r>
        <w:t>)</w:t>
      </w:r>
    </w:p>
    <w:p w:rsidR="00A36F19" w:rsidRDefault="00C4399A">
      <w:pPr>
        <w:pStyle w:val="BodyText"/>
      </w:pPr>
      <w:r>
        <w:t xml:space="preserve">Figure Labels: Use </w:t>
      </w:r>
      <w:proofErr w:type="gramStart"/>
      <w:r>
        <w:t>8 point</w:t>
      </w:r>
      <w:proofErr w:type="gramEnd"/>
      <w:r>
        <w:t xml:space="preserve"> Times New Roman for Figure labels. Use words rather than symbols or abbreviations when writing Figure axis labels to avoid confusing the reader. As an examp</w:t>
      </w:r>
      <w:r>
        <w:t xml:space="preserve">le, write the quantity </w:t>
      </w:r>
      <w:r>
        <w:rPr>
          <w:rtl/>
          <w:lang w:val="ar-SA"/>
        </w:rPr>
        <w:t>“</w:t>
      </w:r>
      <w:r>
        <w:t>Magnetization”</w:t>
      </w:r>
      <w:r>
        <w:t xml:space="preserve">, or </w:t>
      </w:r>
      <w:r>
        <w:rPr>
          <w:rtl/>
          <w:lang w:val="ar-SA"/>
        </w:rPr>
        <w:t>“</w:t>
      </w:r>
      <w:r>
        <w:t>Magnetization, M</w:t>
      </w:r>
      <w:r>
        <w:t>”</w:t>
      </w:r>
      <w:r>
        <w:t xml:space="preserve">, not just </w:t>
      </w:r>
      <w:r>
        <w:rPr>
          <w:rtl/>
          <w:lang w:val="ar-SA"/>
        </w:rPr>
        <w:t>“</w:t>
      </w:r>
      <w:r>
        <w:t>M”</w:t>
      </w:r>
      <w:r>
        <w:t xml:space="preserve">. If including units in the label, present them within parentheses. Do not label axes only with units. In the example, write </w:t>
      </w:r>
      <w:r>
        <w:rPr>
          <w:rtl/>
          <w:lang w:val="ar-SA"/>
        </w:rPr>
        <w:t>“</w:t>
      </w:r>
      <w:r>
        <w:t>Magnetization (A/m)</w:t>
      </w:r>
      <w:r>
        <w:t xml:space="preserve">” or </w:t>
      </w:r>
      <w:r>
        <w:rPr>
          <w:rtl/>
          <w:lang w:val="ar-SA"/>
        </w:rPr>
        <w:t>“</w:t>
      </w:r>
      <w:r>
        <w:t>Magnetization {A[</w:t>
      </w:r>
      <w:proofErr w:type="gramStart"/>
      <w:r>
        <w:t>m(</w:t>
      </w:r>
      <w:proofErr w:type="gramEnd"/>
      <w:r>
        <w:t>1)]}</w:t>
      </w:r>
      <w:r>
        <w:t>”</w:t>
      </w:r>
      <w:r>
        <w:t xml:space="preserve">, not </w:t>
      </w:r>
      <w:r>
        <w:t xml:space="preserve">just </w:t>
      </w:r>
      <w:r>
        <w:rPr>
          <w:rtl/>
          <w:lang w:val="ar-SA"/>
        </w:rPr>
        <w:t>“</w:t>
      </w:r>
      <w:r>
        <w:t>A/m”</w:t>
      </w:r>
      <w:r>
        <w:t xml:space="preserve">. Do not label axes with a ratio of quantities and units. For example, write </w:t>
      </w:r>
      <w:r>
        <w:rPr>
          <w:rtl/>
          <w:lang w:val="ar-SA"/>
        </w:rPr>
        <w:t>“</w:t>
      </w:r>
      <w:r>
        <w:rPr>
          <w:lang w:val="it-IT"/>
        </w:rPr>
        <w:t>Temperature (K)</w:t>
      </w:r>
      <w:r>
        <w:t>”</w:t>
      </w:r>
      <w:r>
        <w:t xml:space="preserve">, not </w:t>
      </w:r>
      <w:r>
        <w:rPr>
          <w:rtl/>
          <w:lang w:val="ar-SA"/>
        </w:rPr>
        <w:t>“</w:t>
      </w:r>
      <w:r>
        <w:rPr>
          <w:lang w:val="de-DE"/>
        </w:rPr>
        <w:t>Temperature/K</w:t>
      </w:r>
      <w:r>
        <w:t>”.</w:t>
      </w:r>
    </w:p>
    <w:p w:rsidR="00EF5285" w:rsidRDefault="00EF5285" w:rsidP="00EF5285">
      <w:pPr>
        <w:pStyle w:val="Heading1"/>
        <w:numPr>
          <w:ilvl w:val="0"/>
          <w:numId w:val="6"/>
        </w:numPr>
        <w:rPr>
          <w:lang w:val="en-US"/>
        </w:rPr>
      </w:pPr>
      <w:r>
        <w:rPr>
          <w:lang w:val="en-US"/>
        </w:rPr>
        <w:t>Results</w:t>
      </w:r>
    </w:p>
    <w:p w:rsidR="00EF5285" w:rsidRPr="00EF5285" w:rsidRDefault="00EF5285" w:rsidP="00EF5285"/>
    <w:p w:rsidR="00EF5285" w:rsidRDefault="00EF5285" w:rsidP="00EF5285">
      <w:pPr>
        <w:pStyle w:val="Heading2"/>
        <w:numPr>
          <w:ilvl w:val="1"/>
          <w:numId w:val="2"/>
        </w:numPr>
      </w:pPr>
      <w:r>
        <w:t>Road Segmentation</w:t>
      </w:r>
    </w:p>
    <w:p w:rsidR="0092156E" w:rsidRDefault="00EF5285" w:rsidP="00EF5285">
      <w:pPr>
        <w:ind w:left="288"/>
        <w:jc w:val="both"/>
      </w:pPr>
      <w:bookmarkStart w:id="0" w:name="_Hlk228552667"/>
      <w:r>
        <w:t xml:space="preserve">The primary goal of our road segmentation model was to </w:t>
      </w:r>
    </w:p>
    <w:p w:rsidR="00EF5285" w:rsidRDefault="00EF5285" w:rsidP="0092156E">
      <w:pPr>
        <w:jc w:val="both"/>
      </w:pPr>
      <w:r>
        <w:t>provide a model which provides good road segmentation along with a higher FPS which would be best suited for our entire application’s work flow. T</w:t>
      </w:r>
      <w:r w:rsidR="00A95830">
        <w:t>hus</w:t>
      </w:r>
      <w:r w:rsidR="00D32EDA">
        <w:t>,</w:t>
      </w:r>
      <w:r w:rsidR="00A95830">
        <w:t xml:space="preserve"> from Table I it is evident that our model performs better with respect to the accuracy as well the FPS perspective of our application.</w:t>
      </w:r>
    </w:p>
    <w:p w:rsidR="00A95830" w:rsidRDefault="00A95830" w:rsidP="00A95830">
      <w:pPr>
        <w:pStyle w:val="tablehead"/>
        <w:numPr>
          <w:ilvl w:val="0"/>
          <w:numId w:val="9"/>
        </w:numPr>
      </w:pPr>
      <w:r>
        <w:t>Road Segmentation Results</w:t>
      </w:r>
    </w:p>
    <w:tbl>
      <w:tblPr>
        <w:tblW w:w="481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840"/>
        <w:gridCol w:w="851"/>
        <w:gridCol w:w="708"/>
        <w:gridCol w:w="709"/>
        <w:gridCol w:w="709"/>
      </w:tblGrid>
      <w:tr w:rsidR="00A95830" w:rsidTr="0092156E">
        <w:trPr>
          <w:trHeight w:val="190"/>
          <w:tblHeader/>
          <w:jc w:val="center"/>
        </w:trPr>
        <w:tc>
          <w:tcPr>
            <w:tcW w:w="1840" w:type="dxa"/>
            <w:tcBorders>
              <w:top w:val="single" w:sz="2" w:space="0" w:color="000000"/>
              <w:left w:val="single" w:sz="2" w:space="0" w:color="000000"/>
              <w:bottom w:val="single" w:sz="2" w:space="0" w:color="000000"/>
              <w:right w:val="single" w:sz="2" w:space="0" w:color="000000"/>
            </w:tcBorders>
            <w:shd w:val="clear" w:color="auto" w:fill="auto"/>
            <w:vAlign w:val="center"/>
          </w:tcPr>
          <w:p w:rsidR="00A95830" w:rsidRPr="00A95830" w:rsidRDefault="00A95830" w:rsidP="0092156E">
            <w:pPr>
              <w:rPr>
                <w:b/>
                <w:i/>
                <w:sz w:val="15"/>
                <w:szCs w:val="15"/>
              </w:rPr>
            </w:pPr>
            <w:r>
              <w:rPr>
                <w:b/>
                <w:i/>
                <w:sz w:val="15"/>
                <w:szCs w:val="15"/>
              </w:rPr>
              <w:t>Segmentation model</w:t>
            </w:r>
          </w:p>
        </w:tc>
        <w:tc>
          <w:tcPr>
            <w:tcW w:w="85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95830" w:rsidRDefault="00A95830" w:rsidP="00021762">
            <w:pPr>
              <w:pStyle w:val="tablecolsubhead"/>
            </w:pPr>
            <w:r>
              <w:t>Accuracy</w:t>
            </w:r>
          </w:p>
        </w:tc>
        <w:tc>
          <w:tcPr>
            <w:tcW w:w="708"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95830" w:rsidRDefault="00A95830" w:rsidP="00021762">
            <w:pPr>
              <w:pStyle w:val="tablecolsubhead"/>
            </w:pPr>
            <w:r>
              <w:t>F-1 Score</w:t>
            </w:r>
          </w:p>
        </w:tc>
        <w:tc>
          <w:tcPr>
            <w:tcW w:w="70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95830" w:rsidRDefault="00A95830" w:rsidP="00021762">
            <w:pPr>
              <w:pStyle w:val="tablecolsubhead"/>
            </w:pPr>
            <w:proofErr w:type="spellStart"/>
            <w:r>
              <w:t>IoU</w:t>
            </w:r>
            <w:proofErr w:type="spellEnd"/>
          </w:p>
        </w:tc>
        <w:tc>
          <w:tcPr>
            <w:tcW w:w="709" w:type="dxa"/>
            <w:tcBorders>
              <w:top w:val="single" w:sz="2" w:space="0" w:color="000000"/>
              <w:left w:val="single" w:sz="2" w:space="0" w:color="000000"/>
              <w:bottom w:val="single" w:sz="2" w:space="0" w:color="000000"/>
              <w:right w:val="single" w:sz="2" w:space="0" w:color="000000"/>
            </w:tcBorders>
            <w:vAlign w:val="center"/>
          </w:tcPr>
          <w:p w:rsidR="00A95830" w:rsidRDefault="00A95830" w:rsidP="00A95830">
            <w:pPr>
              <w:pStyle w:val="tablecolsubhead"/>
            </w:pPr>
            <w:r>
              <w:t>FPS</w:t>
            </w:r>
          </w:p>
        </w:tc>
      </w:tr>
      <w:tr w:rsidR="00A95830" w:rsidTr="0092156E">
        <w:tblPrEx>
          <w:shd w:val="clear" w:color="auto" w:fill="CED7E7"/>
        </w:tblPrEx>
        <w:trPr>
          <w:trHeight w:val="224"/>
          <w:jc w:val="center"/>
        </w:trPr>
        <w:tc>
          <w:tcPr>
            <w:tcW w:w="184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95830" w:rsidRPr="00A95830" w:rsidRDefault="00A95830" w:rsidP="00A95830">
            <w:pPr>
              <w:pStyle w:val="tablecopy"/>
              <w:jc w:val="center"/>
              <w:rPr>
                <w:lang w:val="en-IN"/>
              </w:rPr>
            </w:pPr>
            <w:r w:rsidRPr="00A95830">
              <w:t>U</w:t>
            </w:r>
            <w:r>
              <w:t>-</w:t>
            </w:r>
            <w:r w:rsidRPr="00A95830">
              <w:t>Net</w:t>
            </w:r>
          </w:p>
        </w:tc>
        <w:tc>
          <w:tcPr>
            <w:tcW w:w="85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95830" w:rsidRDefault="00A95830" w:rsidP="00A95830">
            <w:pPr>
              <w:pStyle w:val="tablecopy"/>
              <w:jc w:val="center"/>
            </w:pPr>
            <w:r>
              <w:t>33.54</w:t>
            </w:r>
          </w:p>
        </w:tc>
        <w:tc>
          <w:tcPr>
            <w:tcW w:w="708"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95830" w:rsidRPr="00A95830" w:rsidRDefault="00A95830" w:rsidP="00A95830">
            <w:pPr>
              <w:rPr>
                <w:sz w:val="16"/>
                <w:szCs w:val="16"/>
              </w:rPr>
            </w:pPr>
            <w:r w:rsidRPr="00A95830">
              <w:rPr>
                <w:sz w:val="16"/>
                <w:szCs w:val="16"/>
              </w:rPr>
              <w:t>40.21</w:t>
            </w:r>
          </w:p>
        </w:tc>
        <w:tc>
          <w:tcPr>
            <w:tcW w:w="70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95830" w:rsidRPr="00A95830" w:rsidRDefault="00A95830" w:rsidP="00A95830">
            <w:pPr>
              <w:rPr>
                <w:sz w:val="16"/>
                <w:szCs w:val="16"/>
              </w:rPr>
            </w:pPr>
            <w:r w:rsidRPr="00A95830">
              <w:rPr>
                <w:sz w:val="16"/>
                <w:szCs w:val="16"/>
              </w:rPr>
              <w:t>13.52</w:t>
            </w:r>
          </w:p>
        </w:tc>
        <w:tc>
          <w:tcPr>
            <w:tcW w:w="709" w:type="dxa"/>
            <w:tcBorders>
              <w:top w:val="single" w:sz="2" w:space="0" w:color="000000"/>
              <w:left w:val="single" w:sz="2" w:space="0" w:color="000000"/>
              <w:bottom w:val="single" w:sz="2" w:space="0" w:color="000000"/>
              <w:right w:val="single" w:sz="2" w:space="0" w:color="000000"/>
            </w:tcBorders>
            <w:vAlign w:val="center"/>
          </w:tcPr>
          <w:p w:rsidR="00A95830" w:rsidRPr="00A95830" w:rsidRDefault="00A95830" w:rsidP="00A95830">
            <w:pPr>
              <w:rPr>
                <w:sz w:val="16"/>
                <w:szCs w:val="16"/>
              </w:rPr>
            </w:pPr>
            <w:r w:rsidRPr="00A95830">
              <w:rPr>
                <w:sz w:val="16"/>
                <w:szCs w:val="16"/>
              </w:rPr>
              <w:t>15</w:t>
            </w:r>
          </w:p>
        </w:tc>
      </w:tr>
      <w:tr w:rsidR="00A95830" w:rsidTr="0092156E">
        <w:tblPrEx>
          <w:shd w:val="clear" w:color="auto" w:fill="CED7E7"/>
        </w:tblPrEx>
        <w:trPr>
          <w:trHeight w:val="224"/>
          <w:jc w:val="center"/>
        </w:trPr>
        <w:tc>
          <w:tcPr>
            <w:tcW w:w="184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95830" w:rsidRPr="00A95830" w:rsidRDefault="00A95830" w:rsidP="00A95830">
            <w:pPr>
              <w:pStyle w:val="tablecopy"/>
              <w:jc w:val="center"/>
            </w:pPr>
            <w:r>
              <w:t>DeepLabv3</w:t>
            </w:r>
          </w:p>
        </w:tc>
        <w:tc>
          <w:tcPr>
            <w:tcW w:w="85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95830" w:rsidRDefault="00A95830" w:rsidP="00A95830">
            <w:pPr>
              <w:pStyle w:val="tablecopy"/>
              <w:jc w:val="center"/>
            </w:pPr>
            <w:r>
              <w:t>38.53</w:t>
            </w:r>
          </w:p>
        </w:tc>
        <w:tc>
          <w:tcPr>
            <w:tcW w:w="708"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95830" w:rsidRPr="00A95830" w:rsidRDefault="00A95830" w:rsidP="00A95830">
            <w:pPr>
              <w:rPr>
                <w:sz w:val="16"/>
                <w:szCs w:val="16"/>
              </w:rPr>
            </w:pPr>
            <w:r w:rsidRPr="00A95830">
              <w:rPr>
                <w:sz w:val="16"/>
                <w:szCs w:val="16"/>
              </w:rPr>
              <w:t>42.43</w:t>
            </w:r>
          </w:p>
        </w:tc>
        <w:tc>
          <w:tcPr>
            <w:tcW w:w="70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95830" w:rsidRPr="00A95830" w:rsidRDefault="00A95830" w:rsidP="00A95830">
            <w:pPr>
              <w:rPr>
                <w:sz w:val="16"/>
                <w:szCs w:val="16"/>
              </w:rPr>
            </w:pPr>
            <w:r w:rsidRPr="00A95830">
              <w:rPr>
                <w:sz w:val="16"/>
                <w:szCs w:val="16"/>
              </w:rPr>
              <w:t>20.24</w:t>
            </w:r>
          </w:p>
        </w:tc>
        <w:tc>
          <w:tcPr>
            <w:tcW w:w="709" w:type="dxa"/>
            <w:tcBorders>
              <w:top w:val="single" w:sz="2" w:space="0" w:color="000000"/>
              <w:left w:val="single" w:sz="2" w:space="0" w:color="000000"/>
              <w:bottom w:val="single" w:sz="2" w:space="0" w:color="000000"/>
              <w:right w:val="single" w:sz="2" w:space="0" w:color="000000"/>
            </w:tcBorders>
            <w:vAlign w:val="center"/>
          </w:tcPr>
          <w:p w:rsidR="00A95830" w:rsidRPr="00A95830" w:rsidRDefault="00A95830" w:rsidP="00A95830">
            <w:pPr>
              <w:rPr>
                <w:sz w:val="16"/>
                <w:szCs w:val="16"/>
              </w:rPr>
            </w:pPr>
            <w:r w:rsidRPr="00A95830">
              <w:rPr>
                <w:sz w:val="16"/>
                <w:szCs w:val="16"/>
              </w:rPr>
              <w:t>3</w:t>
            </w:r>
          </w:p>
        </w:tc>
      </w:tr>
      <w:tr w:rsidR="00A95830" w:rsidTr="0092156E">
        <w:tblPrEx>
          <w:shd w:val="clear" w:color="auto" w:fill="CED7E7"/>
        </w:tblPrEx>
        <w:trPr>
          <w:trHeight w:val="224"/>
          <w:jc w:val="center"/>
        </w:trPr>
        <w:tc>
          <w:tcPr>
            <w:tcW w:w="184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95830" w:rsidRDefault="00A95830" w:rsidP="00A95830">
            <w:pPr>
              <w:pStyle w:val="tablecopy"/>
              <w:jc w:val="center"/>
            </w:pPr>
            <w:r>
              <w:t>U-Net ++</w:t>
            </w:r>
          </w:p>
        </w:tc>
        <w:tc>
          <w:tcPr>
            <w:tcW w:w="85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95830" w:rsidRDefault="00A95830" w:rsidP="00A95830">
            <w:pPr>
              <w:pStyle w:val="tablecopy"/>
              <w:jc w:val="center"/>
            </w:pPr>
            <w:r>
              <w:t>42.52</w:t>
            </w:r>
          </w:p>
        </w:tc>
        <w:tc>
          <w:tcPr>
            <w:tcW w:w="708"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95830" w:rsidRPr="00A95830" w:rsidRDefault="00A95830" w:rsidP="00A95830">
            <w:pPr>
              <w:rPr>
                <w:sz w:val="16"/>
                <w:szCs w:val="16"/>
              </w:rPr>
            </w:pPr>
            <w:r>
              <w:rPr>
                <w:sz w:val="16"/>
                <w:szCs w:val="16"/>
              </w:rPr>
              <w:t>57.33</w:t>
            </w:r>
          </w:p>
        </w:tc>
        <w:tc>
          <w:tcPr>
            <w:tcW w:w="70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95830" w:rsidRPr="00A95830" w:rsidRDefault="00A95830" w:rsidP="00A95830">
            <w:pPr>
              <w:rPr>
                <w:sz w:val="16"/>
                <w:szCs w:val="16"/>
              </w:rPr>
            </w:pPr>
            <w:r>
              <w:rPr>
                <w:sz w:val="16"/>
                <w:szCs w:val="16"/>
              </w:rPr>
              <w:t>30.33</w:t>
            </w:r>
          </w:p>
        </w:tc>
        <w:tc>
          <w:tcPr>
            <w:tcW w:w="709" w:type="dxa"/>
            <w:tcBorders>
              <w:top w:val="single" w:sz="2" w:space="0" w:color="000000"/>
              <w:left w:val="single" w:sz="2" w:space="0" w:color="000000"/>
              <w:bottom w:val="single" w:sz="2" w:space="0" w:color="000000"/>
              <w:right w:val="single" w:sz="2" w:space="0" w:color="000000"/>
            </w:tcBorders>
            <w:vAlign w:val="center"/>
          </w:tcPr>
          <w:p w:rsidR="00A95830" w:rsidRPr="00A95830" w:rsidRDefault="00A95830" w:rsidP="00A95830">
            <w:pPr>
              <w:rPr>
                <w:sz w:val="16"/>
                <w:szCs w:val="16"/>
              </w:rPr>
            </w:pPr>
            <w:r>
              <w:rPr>
                <w:sz w:val="16"/>
                <w:szCs w:val="16"/>
              </w:rPr>
              <w:t>8</w:t>
            </w:r>
          </w:p>
        </w:tc>
      </w:tr>
      <w:tr w:rsidR="00A95830" w:rsidTr="0092156E">
        <w:tblPrEx>
          <w:shd w:val="clear" w:color="auto" w:fill="CED7E7"/>
        </w:tblPrEx>
        <w:trPr>
          <w:trHeight w:val="224"/>
          <w:jc w:val="center"/>
        </w:trPr>
        <w:tc>
          <w:tcPr>
            <w:tcW w:w="184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95830" w:rsidRDefault="00A95830" w:rsidP="00A95830">
            <w:pPr>
              <w:pStyle w:val="tablecopy"/>
              <w:jc w:val="center"/>
            </w:pPr>
            <w:r w:rsidRPr="00A95830">
              <w:t>InceptionV2 *4 + DPN92 *4 -</w:t>
            </w:r>
            <w:proofErr w:type="spellStart"/>
            <w:r w:rsidRPr="00A95830">
              <w:t>UNet</w:t>
            </w:r>
            <w:proofErr w:type="spellEnd"/>
          </w:p>
        </w:tc>
        <w:tc>
          <w:tcPr>
            <w:tcW w:w="85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95830" w:rsidRDefault="00A95830" w:rsidP="00A95830">
            <w:pPr>
              <w:pStyle w:val="tablecopy"/>
              <w:jc w:val="center"/>
            </w:pPr>
            <w:r>
              <w:t>99..64</w:t>
            </w:r>
          </w:p>
        </w:tc>
        <w:tc>
          <w:tcPr>
            <w:tcW w:w="708"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95830" w:rsidRDefault="00A95830" w:rsidP="00A95830">
            <w:pPr>
              <w:rPr>
                <w:sz w:val="16"/>
                <w:szCs w:val="16"/>
              </w:rPr>
            </w:pPr>
            <w:r>
              <w:rPr>
                <w:sz w:val="16"/>
                <w:szCs w:val="16"/>
              </w:rPr>
              <w:t>72.82</w:t>
            </w:r>
          </w:p>
        </w:tc>
        <w:tc>
          <w:tcPr>
            <w:tcW w:w="70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A95830" w:rsidRDefault="00A95830" w:rsidP="00A95830">
            <w:pPr>
              <w:rPr>
                <w:sz w:val="16"/>
                <w:szCs w:val="16"/>
              </w:rPr>
            </w:pPr>
            <w:r>
              <w:rPr>
                <w:sz w:val="16"/>
                <w:szCs w:val="16"/>
              </w:rPr>
              <w:t>57.26</w:t>
            </w:r>
          </w:p>
        </w:tc>
        <w:tc>
          <w:tcPr>
            <w:tcW w:w="709" w:type="dxa"/>
            <w:tcBorders>
              <w:top w:val="single" w:sz="2" w:space="0" w:color="000000"/>
              <w:left w:val="single" w:sz="2" w:space="0" w:color="000000"/>
              <w:bottom w:val="single" w:sz="2" w:space="0" w:color="000000"/>
              <w:right w:val="single" w:sz="2" w:space="0" w:color="000000"/>
            </w:tcBorders>
            <w:vAlign w:val="center"/>
          </w:tcPr>
          <w:p w:rsidR="00A95830" w:rsidRDefault="00A95830" w:rsidP="00A95830">
            <w:pPr>
              <w:rPr>
                <w:sz w:val="16"/>
                <w:szCs w:val="16"/>
              </w:rPr>
            </w:pPr>
            <w:r>
              <w:rPr>
                <w:sz w:val="16"/>
                <w:szCs w:val="16"/>
              </w:rPr>
              <w:t>10</w:t>
            </w:r>
          </w:p>
        </w:tc>
      </w:tr>
    </w:tbl>
    <w:p w:rsidR="00A95830" w:rsidRPr="00EF5285" w:rsidRDefault="00A95830" w:rsidP="00EF5285">
      <w:pPr>
        <w:ind w:left="288"/>
        <w:jc w:val="both"/>
      </w:pPr>
    </w:p>
    <w:bookmarkEnd w:id="0"/>
    <w:p w:rsidR="0092156E" w:rsidRDefault="0092156E" w:rsidP="0092156E">
      <w:pPr>
        <w:pStyle w:val="Heading2"/>
        <w:numPr>
          <w:ilvl w:val="1"/>
          <w:numId w:val="2"/>
        </w:numPr>
      </w:pPr>
      <w:r>
        <w:t xml:space="preserve">Road </w:t>
      </w:r>
      <w:r>
        <w:t>Material Identification</w:t>
      </w:r>
    </w:p>
    <w:p w:rsidR="000067CE" w:rsidRDefault="00D32EDA" w:rsidP="00D32EDA">
      <w:pPr>
        <w:jc w:val="both"/>
      </w:pPr>
      <w:r>
        <w:t xml:space="preserve"> </w:t>
      </w:r>
      <w:r>
        <w:tab/>
      </w:r>
      <w:bookmarkStart w:id="1" w:name="_Hlk228552731"/>
      <w:r>
        <w:t>Th</w:t>
      </w:r>
      <w:r w:rsidR="000016B7">
        <w:t xml:space="preserve">e </w:t>
      </w:r>
      <w:r w:rsidR="000067CE">
        <w:t>road material identification is the crucial part of our research. Our goal was to make sure to find a model that provides us to identify the material accurately. As we can see from Table III Attention U-Net model performs the best among the models we have tried.</w:t>
      </w:r>
    </w:p>
    <w:p w:rsidR="000067CE" w:rsidRDefault="000067CE" w:rsidP="000067CE">
      <w:pPr>
        <w:pStyle w:val="tablehead"/>
        <w:numPr>
          <w:ilvl w:val="0"/>
          <w:numId w:val="9"/>
        </w:numPr>
      </w:pPr>
      <w:bookmarkStart w:id="2" w:name="_Hlk228552736"/>
      <w:bookmarkEnd w:id="1"/>
      <w:r>
        <w:t>Road Segmentation Results</w:t>
      </w:r>
    </w:p>
    <w:tbl>
      <w:tblPr>
        <w:tblW w:w="510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131"/>
        <w:gridCol w:w="709"/>
        <w:gridCol w:w="709"/>
        <w:gridCol w:w="567"/>
        <w:gridCol w:w="567"/>
        <w:gridCol w:w="850"/>
        <w:gridCol w:w="573"/>
      </w:tblGrid>
      <w:tr w:rsidR="0088545A" w:rsidTr="0088545A">
        <w:trPr>
          <w:trHeight w:val="190"/>
          <w:tblHeader/>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auto"/>
            <w:vAlign w:val="center"/>
          </w:tcPr>
          <w:p w:rsidR="0088545A" w:rsidRPr="00A95830" w:rsidRDefault="0088545A" w:rsidP="0088545A">
            <w:pPr>
              <w:rPr>
                <w:b/>
                <w:i/>
                <w:sz w:val="15"/>
                <w:szCs w:val="15"/>
              </w:rPr>
            </w:pPr>
            <w:r>
              <w:rPr>
                <w:b/>
                <w:i/>
                <w:sz w:val="15"/>
                <w:szCs w:val="15"/>
              </w:rPr>
              <w:t>Segmentation model</w:t>
            </w:r>
          </w:p>
        </w:tc>
        <w:tc>
          <w:tcPr>
            <w:tcW w:w="70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88545A" w:rsidRDefault="0088545A" w:rsidP="0088545A">
            <w:pPr>
              <w:pStyle w:val="tablecolsubhead"/>
            </w:pPr>
            <w:r w:rsidRPr="0088545A">
              <w:t>Asphalt</w:t>
            </w:r>
          </w:p>
        </w:tc>
        <w:tc>
          <w:tcPr>
            <w:tcW w:w="70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88545A" w:rsidRDefault="0088545A" w:rsidP="0088545A">
            <w:pPr>
              <w:pStyle w:val="tablecolsubhead"/>
            </w:pPr>
            <w:r w:rsidRPr="0088545A">
              <w:t>Gravel</w:t>
            </w:r>
          </w:p>
        </w:tc>
        <w:tc>
          <w:tcPr>
            <w:tcW w:w="56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88545A" w:rsidRPr="0088545A" w:rsidRDefault="0088545A" w:rsidP="0088545A">
            <w:pPr>
              <w:pStyle w:val="tablecolsubhead"/>
            </w:pPr>
            <w:r w:rsidRPr="0088545A">
              <w:t>Metal</w:t>
            </w:r>
          </w:p>
        </w:tc>
        <w:tc>
          <w:tcPr>
            <w:tcW w:w="567" w:type="dxa"/>
            <w:tcBorders>
              <w:top w:val="single" w:sz="2" w:space="0" w:color="000000"/>
              <w:left w:val="single" w:sz="2" w:space="0" w:color="000000"/>
              <w:bottom w:val="single" w:sz="2" w:space="0" w:color="000000"/>
              <w:right w:val="single" w:sz="2" w:space="0" w:color="000000"/>
            </w:tcBorders>
            <w:vAlign w:val="center"/>
          </w:tcPr>
          <w:p w:rsidR="0088545A" w:rsidRDefault="0088545A" w:rsidP="0088545A">
            <w:pPr>
              <w:pStyle w:val="tablecolsubhead"/>
            </w:pPr>
            <w:r w:rsidRPr="0088545A">
              <w:t>Soil</w:t>
            </w:r>
          </w:p>
        </w:tc>
        <w:tc>
          <w:tcPr>
            <w:tcW w:w="850" w:type="dxa"/>
            <w:tcBorders>
              <w:top w:val="single" w:sz="2" w:space="0" w:color="000000"/>
              <w:left w:val="single" w:sz="2" w:space="0" w:color="000000"/>
              <w:bottom w:val="single" w:sz="2" w:space="0" w:color="000000"/>
              <w:right w:val="single" w:sz="2" w:space="0" w:color="000000"/>
            </w:tcBorders>
            <w:vAlign w:val="center"/>
          </w:tcPr>
          <w:p w:rsidR="0088545A" w:rsidRPr="0088545A" w:rsidRDefault="0088545A" w:rsidP="0088545A">
            <w:pPr>
              <w:pStyle w:val="tablecolsubhead"/>
            </w:pPr>
            <w:r>
              <w:t>Bitumen</w:t>
            </w:r>
          </w:p>
        </w:tc>
        <w:tc>
          <w:tcPr>
            <w:tcW w:w="573" w:type="dxa"/>
            <w:tcBorders>
              <w:top w:val="single" w:sz="2" w:space="0" w:color="000000"/>
              <w:left w:val="single" w:sz="2" w:space="0" w:color="000000"/>
              <w:bottom w:val="single" w:sz="2" w:space="0" w:color="000000"/>
              <w:right w:val="single" w:sz="2" w:space="0" w:color="000000"/>
            </w:tcBorders>
            <w:vAlign w:val="center"/>
          </w:tcPr>
          <w:p w:rsidR="0088545A" w:rsidRDefault="0088545A" w:rsidP="0088545A">
            <w:pPr>
              <w:pStyle w:val="tablecolsubhead"/>
            </w:pPr>
            <w:r>
              <w:t>Brick</w:t>
            </w:r>
          </w:p>
        </w:tc>
      </w:tr>
      <w:tr w:rsidR="0088545A" w:rsidTr="0088545A">
        <w:trPr>
          <w:trHeight w:val="190"/>
          <w:tblHeader/>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auto"/>
            <w:vAlign w:val="center"/>
          </w:tcPr>
          <w:p w:rsidR="0088545A" w:rsidRPr="00774DB7" w:rsidRDefault="0088545A" w:rsidP="0088545A">
            <w:pPr>
              <w:rPr>
                <w:sz w:val="15"/>
                <w:szCs w:val="15"/>
              </w:rPr>
            </w:pPr>
            <w:proofErr w:type="spellStart"/>
            <w:r w:rsidRPr="00774DB7">
              <w:rPr>
                <w:sz w:val="15"/>
                <w:szCs w:val="15"/>
              </w:rPr>
              <w:t>SegFormer</w:t>
            </w:r>
            <w:proofErr w:type="spellEnd"/>
          </w:p>
        </w:tc>
        <w:tc>
          <w:tcPr>
            <w:tcW w:w="70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88545A" w:rsidRPr="00774DB7" w:rsidRDefault="0088545A" w:rsidP="0088545A">
            <w:pPr>
              <w:pStyle w:val="tablecolsubhead"/>
              <w:rPr>
                <w:b w:val="0"/>
                <w:i w:val="0"/>
              </w:rPr>
            </w:pPr>
            <w:r w:rsidRPr="00774DB7">
              <w:rPr>
                <w:b w:val="0"/>
                <w:i w:val="0"/>
              </w:rPr>
              <w:t>0.190</w:t>
            </w:r>
          </w:p>
        </w:tc>
        <w:tc>
          <w:tcPr>
            <w:tcW w:w="70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88545A" w:rsidRPr="00774DB7" w:rsidRDefault="0088545A" w:rsidP="0088545A">
            <w:pPr>
              <w:pStyle w:val="tablecolsubhead"/>
              <w:rPr>
                <w:b w:val="0"/>
              </w:rPr>
            </w:pPr>
            <w:r w:rsidRPr="00774DB7">
              <w:rPr>
                <w:b w:val="0"/>
              </w:rPr>
              <w:t>0.148</w:t>
            </w:r>
          </w:p>
        </w:tc>
        <w:tc>
          <w:tcPr>
            <w:tcW w:w="56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88545A" w:rsidRPr="00774DB7" w:rsidRDefault="0088545A" w:rsidP="0088545A">
            <w:pPr>
              <w:pStyle w:val="tablecolsubhead"/>
              <w:rPr>
                <w:b w:val="0"/>
              </w:rPr>
            </w:pPr>
            <w:r w:rsidRPr="00774DB7">
              <w:rPr>
                <w:b w:val="0"/>
              </w:rPr>
              <w:t>0.191</w:t>
            </w:r>
          </w:p>
        </w:tc>
        <w:tc>
          <w:tcPr>
            <w:tcW w:w="567" w:type="dxa"/>
            <w:tcBorders>
              <w:top w:val="single" w:sz="2" w:space="0" w:color="000000"/>
              <w:left w:val="single" w:sz="2" w:space="0" w:color="000000"/>
              <w:bottom w:val="single" w:sz="2" w:space="0" w:color="000000"/>
              <w:right w:val="single" w:sz="2" w:space="0" w:color="000000"/>
            </w:tcBorders>
            <w:vAlign w:val="center"/>
          </w:tcPr>
          <w:p w:rsidR="0088545A" w:rsidRPr="00774DB7" w:rsidRDefault="0088545A" w:rsidP="0088545A">
            <w:pPr>
              <w:pStyle w:val="tablecolsubhead"/>
              <w:rPr>
                <w:b w:val="0"/>
              </w:rPr>
            </w:pPr>
            <w:r w:rsidRPr="00774DB7">
              <w:rPr>
                <w:b w:val="0"/>
              </w:rPr>
              <w:t>0.132</w:t>
            </w:r>
          </w:p>
        </w:tc>
        <w:tc>
          <w:tcPr>
            <w:tcW w:w="850" w:type="dxa"/>
            <w:tcBorders>
              <w:top w:val="single" w:sz="2" w:space="0" w:color="000000"/>
              <w:left w:val="single" w:sz="2" w:space="0" w:color="000000"/>
              <w:bottom w:val="single" w:sz="2" w:space="0" w:color="000000"/>
              <w:right w:val="single" w:sz="2" w:space="0" w:color="000000"/>
            </w:tcBorders>
            <w:vAlign w:val="center"/>
          </w:tcPr>
          <w:p w:rsidR="0088545A" w:rsidRPr="00774DB7" w:rsidRDefault="0088545A" w:rsidP="0088545A">
            <w:pPr>
              <w:pStyle w:val="tablecolsubhead"/>
              <w:rPr>
                <w:b w:val="0"/>
              </w:rPr>
            </w:pPr>
            <w:r w:rsidRPr="00774DB7">
              <w:rPr>
                <w:b w:val="0"/>
              </w:rPr>
              <w:t>0.090</w:t>
            </w:r>
          </w:p>
        </w:tc>
        <w:tc>
          <w:tcPr>
            <w:tcW w:w="573" w:type="dxa"/>
            <w:tcBorders>
              <w:top w:val="single" w:sz="2" w:space="0" w:color="000000"/>
              <w:left w:val="single" w:sz="2" w:space="0" w:color="000000"/>
              <w:bottom w:val="single" w:sz="2" w:space="0" w:color="000000"/>
              <w:right w:val="single" w:sz="2" w:space="0" w:color="000000"/>
            </w:tcBorders>
            <w:vAlign w:val="center"/>
          </w:tcPr>
          <w:p w:rsidR="0088545A" w:rsidRPr="00774DB7" w:rsidRDefault="0088545A" w:rsidP="0088545A">
            <w:pPr>
              <w:pStyle w:val="tablecolsubhead"/>
              <w:rPr>
                <w:b w:val="0"/>
              </w:rPr>
            </w:pPr>
            <w:r w:rsidRPr="00774DB7">
              <w:rPr>
                <w:b w:val="0"/>
              </w:rPr>
              <w:t>0.168</w:t>
            </w:r>
          </w:p>
        </w:tc>
      </w:tr>
      <w:tr w:rsidR="0088545A" w:rsidTr="0088545A">
        <w:trPr>
          <w:trHeight w:val="190"/>
          <w:tblHeader/>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auto"/>
            <w:vAlign w:val="center"/>
          </w:tcPr>
          <w:p w:rsidR="0088545A" w:rsidRPr="00774DB7" w:rsidRDefault="0088545A" w:rsidP="0088545A">
            <w:pPr>
              <w:rPr>
                <w:i/>
                <w:sz w:val="15"/>
                <w:szCs w:val="15"/>
              </w:rPr>
            </w:pPr>
            <w:proofErr w:type="spellStart"/>
            <w:r w:rsidRPr="00774DB7">
              <w:rPr>
                <w:i/>
                <w:sz w:val="15"/>
                <w:szCs w:val="15"/>
              </w:rPr>
              <w:t>SegNet</w:t>
            </w:r>
            <w:proofErr w:type="spellEnd"/>
          </w:p>
        </w:tc>
        <w:tc>
          <w:tcPr>
            <w:tcW w:w="70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88545A" w:rsidRPr="00774DB7" w:rsidRDefault="0088545A" w:rsidP="0088545A">
            <w:pPr>
              <w:pStyle w:val="tablecolsubhead"/>
              <w:rPr>
                <w:b w:val="0"/>
              </w:rPr>
            </w:pPr>
            <w:r w:rsidRPr="00774DB7">
              <w:rPr>
                <w:b w:val="0"/>
              </w:rPr>
              <w:t>0.127</w:t>
            </w:r>
          </w:p>
        </w:tc>
        <w:tc>
          <w:tcPr>
            <w:tcW w:w="70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88545A" w:rsidRPr="00774DB7" w:rsidRDefault="0088545A" w:rsidP="0088545A">
            <w:pPr>
              <w:pStyle w:val="tablecolsubhead"/>
              <w:rPr>
                <w:b w:val="0"/>
              </w:rPr>
            </w:pPr>
            <w:r w:rsidRPr="00774DB7">
              <w:rPr>
                <w:b w:val="0"/>
              </w:rPr>
              <w:t>0.004</w:t>
            </w:r>
          </w:p>
        </w:tc>
        <w:tc>
          <w:tcPr>
            <w:tcW w:w="56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88545A" w:rsidRPr="00774DB7" w:rsidRDefault="0088545A" w:rsidP="0088545A">
            <w:pPr>
              <w:pStyle w:val="tablecolsubhead"/>
              <w:rPr>
                <w:b w:val="0"/>
              </w:rPr>
            </w:pPr>
            <w:r w:rsidRPr="00774DB7">
              <w:rPr>
                <w:b w:val="0"/>
              </w:rPr>
              <w:t>0.164</w:t>
            </w:r>
          </w:p>
        </w:tc>
        <w:tc>
          <w:tcPr>
            <w:tcW w:w="567" w:type="dxa"/>
            <w:tcBorders>
              <w:top w:val="single" w:sz="2" w:space="0" w:color="000000"/>
              <w:left w:val="single" w:sz="2" w:space="0" w:color="000000"/>
              <w:bottom w:val="single" w:sz="2" w:space="0" w:color="000000"/>
              <w:right w:val="single" w:sz="2" w:space="0" w:color="000000"/>
            </w:tcBorders>
            <w:vAlign w:val="center"/>
          </w:tcPr>
          <w:p w:rsidR="0088545A" w:rsidRPr="00774DB7" w:rsidRDefault="0088545A" w:rsidP="0088545A">
            <w:pPr>
              <w:pStyle w:val="tablecolsubhead"/>
              <w:rPr>
                <w:b w:val="0"/>
              </w:rPr>
            </w:pPr>
            <w:r w:rsidRPr="00774DB7">
              <w:rPr>
                <w:b w:val="0"/>
              </w:rPr>
              <w:t>0.038</w:t>
            </w:r>
          </w:p>
        </w:tc>
        <w:tc>
          <w:tcPr>
            <w:tcW w:w="850" w:type="dxa"/>
            <w:tcBorders>
              <w:top w:val="single" w:sz="2" w:space="0" w:color="000000"/>
              <w:left w:val="single" w:sz="2" w:space="0" w:color="000000"/>
              <w:bottom w:val="single" w:sz="2" w:space="0" w:color="000000"/>
              <w:right w:val="single" w:sz="2" w:space="0" w:color="000000"/>
            </w:tcBorders>
            <w:vAlign w:val="center"/>
          </w:tcPr>
          <w:p w:rsidR="0088545A" w:rsidRPr="00774DB7" w:rsidRDefault="0088545A" w:rsidP="0088545A">
            <w:pPr>
              <w:pStyle w:val="tablecolsubhead"/>
              <w:rPr>
                <w:b w:val="0"/>
              </w:rPr>
            </w:pPr>
            <w:r w:rsidRPr="00774DB7">
              <w:rPr>
                <w:b w:val="0"/>
              </w:rPr>
              <w:t>0.000</w:t>
            </w:r>
          </w:p>
        </w:tc>
        <w:tc>
          <w:tcPr>
            <w:tcW w:w="573" w:type="dxa"/>
            <w:tcBorders>
              <w:top w:val="single" w:sz="2" w:space="0" w:color="000000"/>
              <w:left w:val="single" w:sz="2" w:space="0" w:color="000000"/>
              <w:bottom w:val="single" w:sz="2" w:space="0" w:color="000000"/>
              <w:right w:val="single" w:sz="2" w:space="0" w:color="000000"/>
            </w:tcBorders>
            <w:vAlign w:val="center"/>
          </w:tcPr>
          <w:p w:rsidR="0088545A" w:rsidRPr="00774DB7" w:rsidRDefault="0088545A" w:rsidP="0088545A">
            <w:pPr>
              <w:pStyle w:val="tablecolsubhead"/>
              <w:rPr>
                <w:b w:val="0"/>
              </w:rPr>
            </w:pPr>
            <w:r w:rsidRPr="00774DB7">
              <w:rPr>
                <w:b w:val="0"/>
              </w:rPr>
              <w:t>0.175</w:t>
            </w:r>
          </w:p>
        </w:tc>
      </w:tr>
      <w:tr w:rsidR="0088545A" w:rsidTr="0088545A">
        <w:trPr>
          <w:trHeight w:val="190"/>
          <w:tblHeader/>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auto"/>
            <w:vAlign w:val="center"/>
          </w:tcPr>
          <w:p w:rsidR="0088545A" w:rsidRPr="00774DB7" w:rsidRDefault="0088545A" w:rsidP="0088545A">
            <w:pPr>
              <w:rPr>
                <w:i/>
                <w:sz w:val="15"/>
                <w:szCs w:val="15"/>
              </w:rPr>
            </w:pPr>
            <w:r w:rsidRPr="00774DB7">
              <w:rPr>
                <w:i/>
                <w:sz w:val="15"/>
                <w:szCs w:val="15"/>
              </w:rPr>
              <w:t>U-Net ++</w:t>
            </w:r>
          </w:p>
        </w:tc>
        <w:tc>
          <w:tcPr>
            <w:tcW w:w="70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88545A" w:rsidRPr="00774DB7" w:rsidRDefault="0088545A" w:rsidP="0088545A">
            <w:pPr>
              <w:pStyle w:val="tablecolsubhead"/>
              <w:rPr>
                <w:b w:val="0"/>
              </w:rPr>
            </w:pPr>
            <w:r w:rsidRPr="00774DB7">
              <w:rPr>
                <w:b w:val="0"/>
              </w:rPr>
              <w:t>0.287</w:t>
            </w:r>
          </w:p>
        </w:tc>
        <w:tc>
          <w:tcPr>
            <w:tcW w:w="70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88545A" w:rsidRPr="00774DB7" w:rsidRDefault="0088545A" w:rsidP="0088545A">
            <w:pPr>
              <w:pStyle w:val="tablecolsubhead"/>
              <w:rPr>
                <w:b w:val="0"/>
              </w:rPr>
            </w:pPr>
            <w:r w:rsidRPr="00774DB7">
              <w:rPr>
                <w:b w:val="0"/>
              </w:rPr>
              <w:t>0.129</w:t>
            </w:r>
          </w:p>
        </w:tc>
        <w:tc>
          <w:tcPr>
            <w:tcW w:w="56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88545A" w:rsidRPr="00774DB7" w:rsidRDefault="0088545A" w:rsidP="0088545A">
            <w:pPr>
              <w:pStyle w:val="tablecolsubhead"/>
              <w:rPr>
                <w:b w:val="0"/>
              </w:rPr>
            </w:pPr>
            <w:r w:rsidRPr="00774DB7">
              <w:rPr>
                <w:b w:val="0"/>
              </w:rPr>
              <w:t>0.188</w:t>
            </w:r>
          </w:p>
        </w:tc>
        <w:tc>
          <w:tcPr>
            <w:tcW w:w="567" w:type="dxa"/>
            <w:tcBorders>
              <w:top w:val="single" w:sz="2" w:space="0" w:color="000000"/>
              <w:left w:val="single" w:sz="2" w:space="0" w:color="000000"/>
              <w:bottom w:val="single" w:sz="2" w:space="0" w:color="000000"/>
              <w:right w:val="single" w:sz="2" w:space="0" w:color="000000"/>
            </w:tcBorders>
            <w:vAlign w:val="center"/>
          </w:tcPr>
          <w:p w:rsidR="0088545A" w:rsidRPr="00774DB7" w:rsidRDefault="0088545A" w:rsidP="0088545A">
            <w:pPr>
              <w:pStyle w:val="tablecolsubhead"/>
              <w:rPr>
                <w:b w:val="0"/>
              </w:rPr>
            </w:pPr>
            <w:r w:rsidRPr="00774DB7">
              <w:rPr>
                <w:b w:val="0"/>
              </w:rPr>
              <w:t>0.210</w:t>
            </w:r>
          </w:p>
        </w:tc>
        <w:tc>
          <w:tcPr>
            <w:tcW w:w="850" w:type="dxa"/>
            <w:tcBorders>
              <w:top w:val="single" w:sz="2" w:space="0" w:color="000000"/>
              <w:left w:val="single" w:sz="2" w:space="0" w:color="000000"/>
              <w:bottom w:val="single" w:sz="2" w:space="0" w:color="000000"/>
              <w:right w:val="single" w:sz="2" w:space="0" w:color="000000"/>
            </w:tcBorders>
            <w:vAlign w:val="center"/>
          </w:tcPr>
          <w:p w:rsidR="0088545A" w:rsidRPr="00774DB7" w:rsidRDefault="0088545A" w:rsidP="0088545A">
            <w:pPr>
              <w:pStyle w:val="tablecolsubhead"/>
              <w:rPr>
                <w:b w:val="0"/>
              </w:rPr>
            </w:pPr>
            <w:r w:rsidRPr="00774DB7">
              <w:rPr>
                <w:b w:val="0"/>
              </w:rPr>
              <w:t>0.206</w:t>
            </w:r>
          </w:p>
        </w:tc>
        <w:tc>
          <w:tcPr>
            <w:tcW w:w="573" w:type="dxa"/>
            <w:tcBorders>
              <w:top w:val="single" w:sz="2" w:space="0" w:color="000000"/>
              <w:left w:val="single" w:sz="2" w:space="0" w:color="000000"/>
              <w:bottom w:val="single" w:sz="2" w:space="0" w:color="000000"/>
              <w:right w:val="single" w:sz="2" w:space="0" w:color="000000"/>
            </w:tcBorders>
            <w:vAlign w:val="center"/>
          </w:tcPr>
          <w:p w:rsidR="0088545A" w:rsidRPr="00774DB7" w:rsidRDefault="0088545A" w:rsidP="0088545A">
            <w:pPr>
              <w:pStyle w:val="tablecolsubhead"/>
              <w:rPr>
                <w:b w:val="0"/>
              </w:rPr>
            </w:pPr>
            <w:r w:rsidRPr="00774DB7">
              <w:rPr>
                <w:b w:val="0"/>
              </w:rPr>
              <w:t>0.134</w:t>
            </w:r>
          </w:p>
        </w:tc>
      </w:tr>
      <w:tr w:rsidR="0088545A" w:rsidTr="0088545A">
        <w:trPr>
          <w:trHeight w:val="190"/>
          <w:tblHeader/>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auto"/>
            <w:vAlign w:val="center"/>
          </w:tcPr>
          <w:p w:rsidR="0088545A" w:rsidRPr="00774DB7" w:rsidRDefault="0088545A" w:rsidP="0088545A">
            <w:pPr>
              <w:rPr>
                <w:i/>
                <w:sz w:val="15"/>
                <w:szCs w:val="15"/>
              </w:rPr>
            </w:pPr>
            <w:r w:rsidRPr="00774DB7">
              <w:rPr>
                <w:i/>
                <w:sz w:val="15"/>
                <w:szCs w:val="15"/>
              </w:rPr>
              <w:t>Attention</w:t>
            </w:r>
            <w:r w:rsidRPr="00774DB7">
              <w:rPr>
                <w:i/>
                <w:sz w:val="15"/>
                <w:szCs w:val="15"/>
              </w:rPr>
              <w:br/>
              <w:t>U-Net</w:t>
            </w:r>
          </w:p>
        </w:tc>
        <w:tc>
          <w:tcPr>
            <w:tcW w:w="70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88545A" w:rsidRPr="00774DB7" w:rsidRDefault="0088545A" w:rsidP="0088545A">
            <w:pPr>
              <w:pStyle w:val="tablecolsubhead"/>
              <w:rPr>
                <w:b w:val="0"/>
              </w:rPr>
            </w:pPr>
            <w:r w:rsidRPr="00774DB7">
              <w:rPr>
                <w:b w:val="0"/>
              </w:rPr>
              <w:t>0.219</w:t>
            </w:r>
          </w:p>
        </w:tc>
        <w:tc>
          <w:tcPr>
            <w:tcW w:w="70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88545A" w:rsidRPr="00774DB7" w:rsidRDefault="0088545A" w:rsidP="0088545A">
            <w:pPr>
              <w:pStyle w:val="tablecolsubhead"/>
              <w:rPr>
                <w:b w:val="0"/>
              </w:rPr>
            </w:pPr>
            <w:r w:rsidRPr="00774DB7">
              <w:rPr>
                <w:b w:val="0"/>
              </w:rPr>
              <w:t>0.135</w:t>
            </w:r>
          </w:p>
        </w:tc>
        <w:tc>
          <w:tcPr>
            <w:tcW w:w="56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rsidR="0088545A" w:rsidRPr="00774DB7" w:rsidRDefault="0088545A" w:rsidP="0088545A">
            <w:pPr>
              <w:pStyle w:val="tablecolsubhead"/>
              <w:rPr>
                <w:b w:val="0"/>
              </w:rPr>
            </w:pPr>
            <w:r w:rsidRPr="00774DB7">
              <w:rPr>
                <w:b w:val="0"/>
              </w:rPr>
              <w:t>0.281</w:t>
            </w:r>
          </w:p>
        </w:tc>
        <w:tc>
          <w:tcPr>
            <w:tcW w:w="567" w:type="dxa"/>
            <w:tcBorders>
              <w:top w:val="single" w:sz="2" w:space="0" w:color="000000"/>
              <w:left w:val="single" w:sz="2" w:space="0" w:color="000000"/>
              <w:bottom w:val="single" w:sz="2" w:space="0" w:color="000000"/>
              <w:right w:val="single" w:sz="2" w:space="0" w:color="000000"/>
            </w:tcBorders>
            <w:vAlign w:val="center"/>
          </w:tcPr>
          <w:p w:rsidR="0088545A" w:rsidRPr="00774DB7" w:rsidRDefault="0088545A" w:rsidP="0088545A">
            <w:pPr>
              <w:pStyle w:val="tablecolsubhead"/>
              <w:rPr>
                <w:b w:val="0"/>
              </w:rPr>
            </w:pPr>
            <w:r w:rsidRPr="00774DB7">
              <w:rPr>
                <w:b w:val="0"/>
              </w:rPr>
              <w:t>0.311</w:t>
            </w:r>
          </w:p>
        </w:tc>
        <w:tc>
          <w:tcPr>
            <w:tcW w:w="850" w:type="dxa"/>
            <w:tcBorders>
              <w:top w:val="single" w:sz="2" w:space="0" w:color="000000"/>
              <w:left w:val="single" w:sz="2" w:space="0" w:color="000000"/>
              <w:bottom w:val="single" w:sz="2" w:space="0" w:color="000000"/>
              <w:right w:val="single" w:sz="2" w:space="0" w:color="000000"/>
            </w:tcBorders>
            <w:vAlign w:val="center"/>
          </w:tcPr>
          <w:p w:rsidR="0088545A" w:rsidRPr="00774DB7" w:rsidRDefault="0088545A" w:rsidP="0088545A">
            <w:pPr>
              <w:pStyle w:val="tablecolsubhead"/>
              <w:rPr>
                <w:b w:val="0"/>
              </w:rPr>
            </w:pPr>
            <w:r w:rsidRPr="00774DB7">
              <w:rPr>
                <w:b w:val="0"/>
              </w:rPr>
              <w:t>0.231</w:t>
            </w:r>
          </w:p>
        </w:tc>
        <w:tc>
          <w:tcPr>
            <w:tcW w:w="573" w:type="dxa"/>
            <w:tcBorders>
              <w:top w:val="single" w:sz="2" w:space="0" w:color="000000"/>
              <w:left w:val="single" w:sz="2" w:space="0" w:color="000000"/>
              <w:bottom w:val="single" w:sz="2" w:space="0" w:color="000000"/>
              <w:right w:val="single" w:sz="2" w:space="0" w:color="000000"/>
            </w:tcBorders>
            <w:vAlign w:val="center"/>
          </w:tcPr>
          <w:p w:rsidR="0088545A" w:rsidRPr="00774DB7" w:rsidRDefault="0088545A" w:rsidP="0088545A">
            <w:pPr>
              <w:pStyle w:val="tablecolsubhead"/>
              <w:rPr>
                <w:b w:val="0"/>
              </w:rPr>
            </w:pPr>
            <w:r w:rsidRPr="00774DB7">
              <w:rPr>
                <w:b w:val="0"/>
              </w:rPr>
              <w:t>0.161</w:t>
            </w:r>
          </w:p>
        </w:tc>
      </w:tr>
    </w:tbl>
    <w:bookmarkEnd w:id="2"/>
    <w:p w:rsidR="00967C51" w:rsidRPr="00967C51" w:rsidRDefault="000067CE" w:rsidP="00D32EDA">
      <w:pPr>
        <w:jc w:val="both"/>
      </w:pPr>
      <w:r>
        <w:br/>
      </w:r>
    </w:p>
    <w:p w:rsidR="0092156E" w:rsidRDefault="0092156E" w:rsidP="0092156E"/>
    <w:p w:rsidR="0092156E" w:rsidRPr="0092156E" w:rsidRDefault="0092156E" w:rsidP="0092156E"/>
    <w:p w:rsidR="00EF5285" w:rsidRDefault="00EF5285">
      <w:pPr>
        <w:pStyle w:val="BodyText"/>
      </w:pPr>
    </w:p>
    <w:p w:rsidR="00A36F19" w:rsidRDefault="00C4399A">
      <w:pPr>
        <w:pStyle w:val="Heading5"/>
      </w:pPr>
      <w:r>
        <w:t xml:space="preserve">Acknowledgment </w:t>
      </w:r>
      <w:r>
        <w:rPr>
          <w:i/>
          <w:iCs/>
        </w:rPr>
        <w:t>(</w:t>
      </w:r>
      <w:r>
        <w:rPr>
          <w:i/>
          <w:iCs/>
          <w:smallCaps w:val="0"/>
        </w:rPr>
        <w:t>Heading 5</w:t>
      </w:r>
      <w:r>
        <w:rPr>
          <w:i/>
          <w:iCs/>
        </w:rPr>
        <w:t>)</w:t>
      </w:r>
    </w:p>
    <w:p w:rsidR="00A36F19" w:rsidRDefault="00C4399A">
      <w:pPr>
        <w:pStyle w:val="BodyText"/>
      </w:pPr>
      <w:r>
        <w:t xml:space="preserve">The preferred spelling of the word </w:t>
      </w:r>
      <w:r>
        <w:rPr>
          <w:rtl/>
          <w:lang w:val="ar-SA"/>
        </w:rPr>
        <w:t>“</w:t>
      </w:r>
      <w:r>
        <w:t>acknowledgment</w:t>
      </w:r>
      <w:r>
        <w:t xml:space="preserve">” </w:t>
      </w:r>
      <w:r>
        <w:t xml:space="preserve">in America is without an </w:t>
      </w:r>
      <w:r>
        <w:rPr>
          <w:rtl/>
          <w:lang w:val="ar-SA"/>
        </w:rPr>
        <w:t>“</w:t>
      </w:r>
      <w:r>
        <w:t xml:space="preserve">e” </w:t>
      </w:r>
      <w:r>
        <w:t xml:space="preserve">after the </w:t>
      </w:r>
      <w:r>
        <w:rPr>
          <w:rtl/>
          <w:lang w:val="ar-SA"/>
        </w:rPr>
        <w:t>“</w:t>
      </w:r>
      <w:r>
        <w:t>g”</w:t>
      </w:r>
      <w:r>
        <w:t xml:space="preserve">. Avoid the stilted </w:t>
      </w:r>
      <w:r>
        <w:lastRenderedPageBreak/>
        <w:t xml:space="preserve">expression </w:t>
      </w:r>
      <w:r>
        <w:rPr>
          <w:rtl/>
          <w:lang w:val="ar-SA"/>
        </w:rPr>
        <w:t>“</w:t>
      </w:r>
      <w:r>
        <w:t xml:space="preserve">one of us (R. B. G.) thanks ...”.  Instead, try </w:t>
      </w:r>
      <w:r>
        <w:rPr>
          <w:rtl/>
          <w:lang w:val="ar-SA"/>
        </w:rPr>
        <w:t>“</w:t>
      </w:r>
      <w:r>
        <w:t>R. B. G. thanks...</w:t>
      </w:r>
      <w:r>
        <w:t>”.</w:t>
      </w:r>
      <w:r>
        <w:t xml:space="preserve"> Put sponsor acknowledgments in the unnumbered footnote on the first page.</w:t>
      </w:r>
    </w:p>
    <w:p w:rsidR="00A36F19" w:rsidRDefault="00C4399A">
      <w:pPr>
        <w:pStyle w:val="Heading5"/>
        <w:rPr>
          <w:lang w:val="fr-FR"/>
        </w:rPr>
      </w:pPr>
      <w:proofErr w:type="spellStart"/>
      <w:r>
        <w:rPr>
          <w:lang w:val="fr-FR"/>
        </w:rPr>
        <w:t>References</w:t>
      </w:r>
      <w:proofErr w:type="spellEnd"/>
    </w:p>
    <w:p w:rsidR="00A36F19" w:rsidRDefault="00C4399A">
      <w:pPr>
        <w:pStyle w:val="BodyText"/>
      </w:pPr>
      <w:r>
        <w:t>The template will number citations consecutively within brackets [1].</w:t>
      </w:r>
      <w:r>
        <w:t xml:space="preserve"> The sentence punctuation follows the bracket [2]. Refer simply to the reference number, as in [3]—do not use </w:t>
      </w:r>
      <w:r>
        <w:rPr>
          <w:rtl/>
          <w:lang w:val="ar-SA"/>
        </w:rPr>
        <w:t>“</w:t>
      </w:r>
      <w:r>
        <w:rPr>
          <w:lang w:val="pt-PT"/>
        </w:rPr>
        <w:t>Ref. [3]</w:t>
      </w:r>
      <w:r>
        <w:t xml:space="preserve">” or </w:t>
      </w:r>
      <w:r>
        <w:rPr>
          <w:rtl/>
          <w:lang w:val="ar-SA"/>
        </w:rPr>
        <w:t>“</w:t>
      </w:r>
      <w:r>
        <w:rPr>
          <w:lang w:val="pt-PT"/>
        </w:rPr>
        <w:t>reference [3]</w:t>
      </w:r>
      <w:r>
        <w:t xml:space="preserve">” </w:t>
      </w:r>
      <w:r>
        <w:t xml:space="preserve">except at the beginning of a sentence: </w:t>
      </w:r>
      <w:r>
        <w:rPr>
          <w:rtl/>
          <w:lang w:val="ar-SA"/>
        </w:rPr>
        <w:t>“</w:t>
      </w:r>
      <w:r>
        <w:t xml:space="preserve">Reference [3] was the first </w:t>
      </w:r>
      <w:r>
        <w:t>...”</w:t>
      </w:r>
    </w:p>
    <w:p w:rsidR="00A36F19" w:rsidRDefault="00C4399A">
      <w:pPr>
        <w:pStyle w:val="BodyText"/>
      </w:pPr>
      <w:r>
        <w:t>Number footnotes separately in superscripts</w:t>
      </w:r>
      <w:r>
        <w:t>. Place the actual footnote at the bottom of the column in which it was cited. Do not put footnotes in the abstract or reference list. Use letters for table footnotes.</w:t>
      </w:r>
    </w:p>
    <w:p w:rsidR="00A36F19" w:rsidRDefault="00C4399A">
      <w:pPr>
        <w:pStyle w:val="BodyText"/>
      </w:pPr>
      <w:bookmarkStart w:id="3" w:name="_GoBack"/>
      <w:r>
        <w:t xml:space="preserve">Unless there are six authors or more give all authors’ names; do not use </w:t>
      </w:r>
      <w:r>
        <w:rPr>
          <w:rtl/>
          <w:lang w:val="ar-SA"/>
        </w:rPr>
        <w:t>“</w:t>
      </w:r>
      <w:r>
        <w:t>et al.”</w:t>
      </w:r>
      <w:r>
        <w:t xml:space="preserve">. Papers that have not been published, even if they have been submitted for publication, should be cited as </w:t>
      </w:r>
      <w:r>
        <w:rPr>
          <w:rtl/>
          <w:lang w:val="ar-SA"/>
        </w:rPr>
        <w:t>“</w:t>
      </w:r>
      <w:r>
        <w:t>unpublished</w:t>
      </w:r>
      <w:r>
        <w:t xml:space="preserve">” </w:t>
      </w:r>
      <w:r>
        <w:t xml:space="preserve">[4]. Papers that have been accepted for publication should be cited as </w:t>
      </w:r>
      <w:r>
        <w:rPr>
          <w:rtl/>
          <w:lang w:val="ar-SA"/>
        </w:rPr>
        <w:t>“</w:t>
      </w:r>
      <w:r>
        <w:rPr>
          <w:lang w:val="it-IT"/>
        </w:rPr>
        <w:t>in press</w:t>
      </w:r>
      <w:r>
        <w:t xml:space="preserve">” </w:t>
      </w:r>
      <w:r>
        <w:t>[5]. Capitalize only the first word in a paper title</w:t>
      </w:r>
      <w:r>
        <w:t>, except for proper nouns and element symbols.</w:t>
      </w:r>
    </w:p>
    <w:p w:rsidR="00A36F19" w:rsidRDefault="00C4399A">
      <w:pPr>
        <w:pStyle w:val="BodyText"/>
      </w:pPr>
      <w:r>
        <w:t>For papers published in translation journals, please give the English citation first, followed by the original foreign-language citation [6].</w:t>
      </w:r>
    </w:p>
    <w:bookmarkEnd w:id="3"/>
    <w:p w:rsidR="00A36F19" w:rsidRDefault="00A36F19"/>
    <w:p w:rsidR="00A36F19" w:rsidRDefault="00C4399A">
      <w:pPr>
        <w:pStyle w:val="references"/>
        <w:numPr>
          <w:ilvl w:val="0"/>
          <w:numId w:val="17"/>
        </w:numPr>
      </w:pPr>
      <w:r>
        <w:t>G. Eason, B. Noble, and I. N. Sneddon, “On certain integrals of Li</w:t>
      </w:r>
      <w:r>
        <w:t xml:space="preserve">pschitz-Hankel type involving products of Bessel functions,” Phil. Trans. Roy. Soc. London, vol. A247, pp. 529–551, April 1955. </w:t>
      </w:r>
      <w:r>
        <w:rPr>
          <w:i/>
          <w:iCs/>
        </w:rPr>
        <w:t>(references)</w:t>
      </w:r>
    </w:p>
    <w:p w:rsidR="00A36F19" w:rsidRDefault="00C4399A">
      <w:pPr>
        <w:pStyle w:val="references"/>
        <w:numPr>
          <w:ilvl w:val="0"/>
          <w:numId w:val="17"/>
        </w:numPr>
      </w:pPr>
      <w:r>
        <w:t>J. Clerk Maxwell, A Treatise on Electricity and Magnetism, 3rd ed., vol. 2. Oxford: Clarendon, 1892, pp.68–73.</w:t>
      </w:r>
    </w:p>
    <w:p w:rsidR="00A36F19" w:rsidRDefault="00C4399A">
      <w:pPr>
        <w:pStyle w:val="references"/>
        <w:numPr>
          <w:ilvl w:val="0"/>
          <w:numId w:val="17"/>
        </w:numPr>
      </w:pPr>
      <w:r>
        <w:t>I. S</w:t>
      </w:r>
      <w:r>
        <w:t xml:space="preserve">. Jacobs and C. P. Bean, “Fine particles, thin films and exchange anisotropy,” in Magnetism, vol. III, G. T. </w:t>
      </w:r>
      <w:proofErr w:type="spellStart"/>
      <w:r>
        <w:t>Rado</w:t>
      </w:r>
      <w:proofErr w:type="spellEnd"/>
      <w:r>
        <w:t xml:space="preserve"> and H. Suhl, Eds. New York: Academic, 1963, pp. 271–350.</w:t>
      </w:r>
    </w:p>
    <w:p w:rsidR="00A36F19" w:rsidRDefault="00C4399A">
      <w:pPr>
        <w:pStyle w:val="references"/>
        <w:numPr>
          <w:ilvl w:val="0"/>
          <w:numId w:val="17"/>
        </w:numPr>
      </w:pPr>
      <w:r>
        <w:t>K. Elissa, “Title of paper if known,” unpublished.</w:t>
      </w:r>
    </w:p>
    <w:p w:rsidR="00A36F19" w:rsidRDefault="00C4399A">
      <w:pPr>
        <w:pStyle w:val="references"/>
        <w:numPr>
          <w:ilvl w:val="0"/>
          <w:numId w:val="17"/>
        </w:numPr>
      </w:pPr>
      <w:r>
        <w:t>R. Nicole, “Title of paper with on</w:t>
      </w:r>
      <w:r>
        <w:t>ly first word capitalized,” J. Name Stand. Abbrev., in press.</w:t>
      </w:r>
    </w:p>
    <w:p w:rsidR="00A36F19" w:rsidRDefault="00C4399A">
      <w:pPr>
        <w:pStyle w:val="references"/>
        <w:numPr>
          <w:ilvl w:val="0"/>
          <w:numId w:val="17"/>
        </w:numPr>
      </w:pPr>
      <w:r>
        <w:t xml:space="preserve">Y. Yorozu, M. Hirano, K. Oka, and Y. Tagawa, “Electron spectroscopy studies on magneto-optical media and plastic substrate interface,” IEEE Transl. J. </w:t>
      </w:r>
      <w:proofErr w:type="spellStart"/>
      <w:r>
        <w:t>Magn</w:t>
      </w:r>
      <w:proofErr w:type="spellEnd"/>
      <w:r>
        <w:t>. Japan, vol. 2, pp. 740–741, August 19</w:t>
      </w:r>
      <w:r>
        <w:t>87 [Digests 9th Annual Conf. Magnetics Japan, p. 301, 1982].</w:t>
      </w:r>
    </w:p>
    <w:p w:rsidR="00A36F19" w:rsidRDefault="00C4399A">
      <w:pPr>
        <w:pStyle w:val="references"/>
        <w:numPr>
          <w:ilvl w:val="0"/>
          <w:numId w:val="17"/>
        </w:numPr>
      </w:pPr>
      <w:r>
        <w:t>M. Young, The Technical Writer’s Handbook. Mill Valley, CA: University Science, 1989.</w:t>
      </w:r>
    </w:p>
    <w:p w:rsidR="00A36F19" w:rsidRDefault="00A36F19">
      <w:pPr>
        <w:pStyle w:val="references"/>
        <w:ind w:left="360" w:hanging="360"/>
      </w:pPr>
    </w:p>
    <w:p w:rsidR="00A36F19" w:rsidRDefault="00C4399A">
      <w:pPr>
        <w:pStyle w:val="references"/>
        <w:ind w:left="360" w:hanging="360"/>
        <w:jc w:val="center"/>
        <w:rPr>
          <w:b/>
          <w:bCs/>
          <w:color w:val="FF0000"/>
          <w:sz w:val="20"/>
          <w:szCs w:val="20"/>
          <w:u w:color="FF0000"/>
        </w:rPr>
        <w:sectPr w:rsidR="00A36F19">
          <w:type w:val="continuous"/>
          <w:pgSz w:w="11900" w:h="16840"/>
          <w:pgMar w:top="450" w:right="907" w:bottom="1440" w:left="907" w:header="720" w:footer="720" w:gutter="0"/>
          <w:cols w:num="2" w:space="362"/>
        </w:sectPr>
      </w:pPr>
      <w:r>
        <w:rPr>
          <w:b/>
          <w:bCs/>
          <w:color w:val="FF0000"/>
          <w:sz w:val="20"/>
          <w:szCs w:val="20"/>
          <w:u w:color="FF0000"/>
        </w:rPr>
        <w:t>IEEE conference templates contain guidance text for composing and formatting conference pap</w:t>
      </w:r>
      <w:r>
        <w:rPr>
          <w:b/>
          <w:bCs/>
          <w:color w:val="FF0000"/>
          <w:sz w:val="20"/>
          <w:szCs w:val="20"/>
          <w:u w:color="FF0000"/>
        </w:rPr>
        <w:t>ers. Please ensure that all template text is removed from your conference paper prior to submission to the conference. Failure to remove template text from your paper may result in your paper not being published.</w:t>
      </w:r>
    </w:p>
    <w:p w:rsidR="00A36F19" w:rsidRDefault="00C4399A">
      <w:r>
        <w:rPr>
          <w:noProof/>
        </w:rPr>
        <mc:AlternateContent>
          <mc:Choice Requires="wps">
            <w:drawing>
              <wp:anchor distT="57150" distB="57150" distL="57150" distR="57150" simplePos="0" relativeHeight="251660288" behindDoc="0" locked="0" layoutInCell="1" allowOverlap="1">
                <wp:simplePos x="0" y="0"/>
                <wp:positionH relativeFrom="page">
                  <wp:posOffset>567055</wp:posOffset>
                </wp:positionH>
                <wp:positionV relativeFrom="line">
                  <wp:posOffset>251459</wp:posOffset>
                </wp:positionV>
                <wp:extent cx="3200400" cy="1143001"/>
                <wp:effectExtent l="0" t="0" r="0" b="0"/>
                <wp:wrapThrough wrapText="bothSides" distL="57150" distR="57150">
                  <wp:wrapPolygon edited="1">
                    <wp:start x="-5" y="-90"/>
                    <wp:lineTo x="-11" y="-86"/>
                    <wp:lineTo x="-16" y="-79"/>
                    <wp:lineTo x="-21" y="-70"/>
                    <wp:lineTo x="-25" y="-59"/>
                    <wp:lineTo x="-28" y="-46"/>
                    <wp:lineTo x="-30" y="-32"/>
                    <wp:lineTo x="-32" y="-16"/>
                    <wp:lineTo x="-32" y="0"/>
                    <wp:lineTo x="-32" y="21600"/>
                    <wp:lineTo x="-31" y="21618"/>
                    <wp:lineTo x="-30" y="21635"/>
                    <wp:lineTo x="-27" y="21650"/>
                    <wp:lineTo x="-23" y="21664"/>
                    <wp:lineTo x="-18" y="21675"/>
                    <wp:lineTo x="-13" y="21683"/>
                    <wp:lineTo x="-6" y="21688"/>
                    <wp:lineTo x="0" y="21690"/>
                    <wp:lineTo x="21600" y="21690"/>
                    <wp:lineTo x="21606" y="21688"/>
                    <wp:lineTo x="21613" y="21683"/>
                    <wp:lineTo x="21618" y="21675"/>
                    <wp:lineTo x="21623" y="21664"/>
                    <wp:lineTo x="21627" y="21650"/>
                    <wp:lineTo x="21630" y="21635"/>
                    <wp:lineTo x="21631" y="21618"/>
                    <wp:lineTo x="21632" y="21600"/>
                    <wp:lineTo x="21632" y="0"/>
                    <wp:lineTo x="21631" y="-18"/>
                    <wp:lineTo x="21630" y="-35"/>
                    <wp:lineTo x="21627" y="-50"/>
                    <wp:lineTo x="21623" y="-64"/>
                    <wp:lineTo x="21618" y="-75"/>
                    <wp:lineTo x="21613" y="-83"/>
                    <wp:lineTo x="21606" y="-88"/>
                    <wp:lineTo x="21600" y="-90"/>
                    <wp:lineTo x="0" y="-90"/>
                    <wp:lineTo x="-5" y="-90"/>
                  </wp:wrapPolygon>
                </wp:wrapThrough>
                <wp:docPr id="1073741826" name="officeArt object" descr="We suggest that you use a text box to insert a graphic (which is ideally a 300 dpi TIFF or EPS file, with all fonts embedded) because, in an MSW document, this method is somewhat more stable than directly inserting a picture.…"/>
                <wp:cNvGraphicFramePr/>
                <a:graphic xmlns:a="http://schemas.openxmlformats.org/drawingml/2006/main">
                  <a:graphicData uri="http://schemas.microsoft.com/office/word/2010/wordprocessingShape">
                    <wps:wsp>
                      <wps:cNvSpPr txBox="1"/>
                      <wps:spPr>
                        <a:xfrm>
                          <a:off x="0" y="0"/>
                          <a:ext cx="3200400" cy="1143001"/>
                        </a:xfrm>
                        <a:prstGeom prst="rect">
                          <a:avLst/>
                        </a:prstGeom>
                        <a:solidFill>
                          <a:srgbClr val="FFFFFF"/>
                        </a:solidFill>
                        <a:ln w="9525" cap="flat">
                          <a:solidFill>
                            <a:srgbClr val="000000"/>
                          </a:solidFill>
                          <a:prstDash val="solid"/>
                          <a:round/>
                        </a:ln>
                        <a:effectLst/>
                      </wps:spPr>
                      <wps:txbx>
                        <w:txbxContent>
                          <w:p w:rsidR="00A36F19" w:rsidRDefault="00C4399A">
                            <w:pPr>
                              <w:pStyle w:val="BodyText"/>
                            </w:pPr>
                            <w:r>
                              <w:t xml:space="preserve">We suggest that you use a text box to </w:t>
                            </w:r>
                            <w:r>
                              <w:t>insert a graphic (which is ideally a 300 dpi TIFF or EPS file, with all fonts embedded) because, in an MSW document, this method is somewhat more stable than directly inserting a picture.</w:t>
                            </w:r>
                          </w:p>
                          <w:p w:rsidR="00A36F19" w:rsidRDefault="00C4399A">
                            <w:pPr>
                              <w:pStyle w:val="BodyText"/>
                            </w:pPr>
                            <w:r>
                              <w:t xml:space="preserve">To have non-visible rules on your frame, use the MSWord </w:t>
                            </w:r>
                            <w:r>
                              <w:rPr>
                                <w:rtl/>
                                <w:lang w:val="ar-SA"/>
                              </w:rPr>
                              <w:t>“</w:t>
                            </w:r>
                            <w:r>
                              <w:rPr>
                                <w:lang w:val="de-DE"/>
                              </w:rPr>
                              <w:t>Format</w:t>
                            </w:r>
                            <w:r>
                              <w:t xml:space="preserve">” </w:t>
                            </w:r>
                            <w:r>
                              <w:t>pul</w:t>
                            </w:r>
                            <w:r>
                              <w:t>l-down menu, select Text Box &gt; Colors and Lines to choose No Fill and No Line.</w:t>
                            </w:r>
                          </w:p>
                        </w:txbxContent>
                      </wps:txbx>
                      <wps:bodyPr wrap="square" lIns="45718" tIns="45718" rIns="45718" bIns="45718" numCol="1" anchor="t">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alt="We suggest that you use a text box to insert a graphic (which is ideally a 300 dpi TIFF or EPS file, with all fonts embedded) because, in an MSW document, this method is somewhat more stable than directly inserting a picture.…" style="position:absolute;left:0;text-align:left;margin-left:44.65pt;margin-top:19.8pt;width:252pt;height:90pt;z-index:251660288;visibility:visible;mso-wrap-style:square;mso-wrap-distance-left:4.5pt;mso-wrap-distance-top:4.5pt;mso-wrap-distance-right:4.5pt;mso-wrap-distance-bottom:4.5pt;mso-position-horizontal:absolute;mso-position-horizontal-relative:page;mso-position-vertical:absolute;mso-position-vertical-relative:line;v-text-anchor:top" wrapcoords="-5 -102 -11 -98 -16 -91 -21 -82 -25 -71 -28 -58 -30 -44 -32 -28 -32 -12 -32 21588 -31 21606 -30 21623 -27 21638 -23 21652 -18 21663 -13 21671 -6 21676 0 21678 21600 21678 21606 21676 21613 21671 21618 21663 21623 21652 21627 21638 21630 21623 21631 21606 21632 21588 21632 -12 21631 -30 21630 -47 21627 -62 21623 -76 21618 -87 21613 -95 21606 -100 21600 -102 0 -102 -5 -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">
                <v:stroke joinstyle="round"/>
                <v:textbox inset="1.2699mm,1.2699mm,1.2699mm,1.2699mm">
                  <w:txbxContent>
                    <w:p w:rsidR="00A36F19" w:rsidRDefault="00C4399A">
                      <w:pPr>
                        <w:pStyle w:val="BodyText"/>
                      </w:pPr>
                      <w:r>
                        <w:t xml:space="preserve">We suggest that you use a text box to </w:t>
                      </w:r>
                      <w:r>
                        <w:t>insert a graphic (which is ideally a 300 dpi TIFF or EPS file, with all fonts embedded) because, in an MSW document, this method is somewhat more stable than directly inserting a picture.</w:t>
                      </w:r>
                    </w:p>
                    <w:p w:rsidR="00A36F19" w:rsidRDefault="00C4399A">
                      <w:pPr>
                        <w:pStyle w:val="BodyText"/>
                      </w:pPr>
                      <w:r>
                        <w:t xml:space="preserve">To have non-visible rules on your frame, use the MSWord </w:t>
                      </w:r>
                      <w:r>
                        <w:rPr>
                          <w:rtl/>
                          <w:lang w:val="ar-SA"/>
                        </w:rPr>
                        <w:t>“</w:t>
                      </w:r>
                      <w:r>
                        <w:rPr>
                          <w:lang w:val="de-DE"/>
                        </w:rPr>
                        <w:t>Format</w:t>
                      </w:r>
                      <w:r>
                        <w:t xml:space="preserve">” </w:t>
                      </w:r>
                      <w:r>
                        <w:t>pul</w:t>
                      </w:r>
                      <w:r>
                        <w:t>l-down menu, select Text Box &gt; Colors and Lines to choose No Fill and No Line.</w:t>
                      </w:r>
                    </w:p>
                  </w:txbxContent>
                </v:textbox>
                <w10:wrap type="through" anchorx="page" anchory="line"/>
              </v:shape>
            </w:pict>
          </mc:Fallback>
        </mc:AlternateContent>
      </w:r>
    </w:p>
    <w:sectPr w:rsidR="00A36F19">
      <w:type w:val="continuous"/>
      <w:pgSz w:w="11900" w:h="16840"/>
      <w:pgMar w:top="45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4399A" w:rsidRDefault="00C4399A">
      <w:r>
        <w:separator/>
      </w:r>
    </w:p>
  </w:endnote>
  <w:endnote w:type="continuationSeparator" w:id="0">
    <w:p w:rsidR="00C4399A" w:rsidRDefault="00C43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6F19" w:rsidRDefault="00A36F19">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6F19" w:rsidRDefault="00C4399A">
    <w:pPr>
      <w:pStyle w:val="Footer"/>
      <w:jc w:val="left"/>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4399A" w:rsidRDefault="00C4399A">
      <w:r>
        <w:separator/>
      </w:r>
    </w:p>
  </w:footnote>
  <w:footnote w:type="continuationSeparator" w:id="0">
    <w:p w:rsidR="00C4399A" w:rsidRDefault="00C43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6F19" w:rsidRDefault="00A36F19">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6F19" w:rsidRDefault="00A36F1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5A336A"/>
    <w:multiLevelType w:val="hybridMultilevel"/>
    <w:tmpl w:val="4A702A5C"/>
    <w:styleLink w:val="ImportedStyle4"/>
    <w:lvl w:ilvl="0" w:tplc="5776C6A6">
      <w:start w:val="1"/>
      <w:numFmt w:val="lowerLetter"/>
      <w:suff w:val="nothing"/>
      <w:lvlText w:val="%1."/>
      <w:lvlJc w:val="left"/>
      <w:pPr>
        <w:ind w:left="89" w:hanging="8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16"/>
        <w:szCs w:val="16"/>
        <w:highlight w:val="none"/>
        <w:vertAlign w:val="baseline"/>
      </w:rPr>
    </w:lvl>
    <w:lvl w:ilvl="1" w:tplc="7B8AE7DC">
      <w:start w:val="1"/>
      <w:numFmt w:val="lowerLetter"/>
      <w:lvlText w:val="%2."/>
      <w:lvlJc w:val="left"/>
      <w:pPr>
        <w:tabs>
          <w:tab w:val="num" w:pos="1080"/>
        </w:tabs>
        <w:ind w:left="1109" w:hanging="418"/>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95CCEBE">
      <w:start w:val="1"/>
      <w:numFmt w:val="lowerRoman"/>
      <w:lvlText w:val="%3."/>
      <w:lvlJc w:val="left"/>
      <w:pPr>
        <w:tabs>
          <w:tab w:val="num" w:pos="1800"/>
        </w:tabs>
        <w:ind w:left="1829" w:hanging="298"/>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D86425BE">
      <w:start w:val="1"/>
      <w:numFmt w:val="decimal"/>
      <w:lvlText w:val="%4."/>
      <w:lvlJc w:val="left"/>
      <w:pPr>
        <w:tabs>
          <w:tab w:val="num" w:pos="2520"/>
        </w:tabs>
        <w:ind w:left="2549" w:hanging="418"/>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796BCE0">
      <w:start w:val="1"/>
      <w:numFmt w:val="lowerLetter"/>
      <w:lvlText w:val="%5."/>
      <w:lvlJc w:val="left"/>
      <w:pPr>
        <w:tabs>
          <w:tab w:val="num" w:pos="3240"/>
        </w:tabs>
        <w:ind w:left="3269" w:hanging="418"/>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1A0D202">
      <w:start w:val="1"/>
      <w:numFmt w:val="lowerRoman"/>
      <w:lvlText w:val="%6."/>
      <w:lvlJc w:val="left"/>
      <w:pPr>
        <w:tabs>
          <w:tab w:val="num" w:pos="3960"/>
        </w:tabs>
        <w:ind w:left="3989" w:hanging="298"/>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A146B70">
      <w:start w:val="1"/>
      <w:numFmt w:val="decimal"/>
      <w:lvlText w:val="%7."/>
      <w:lvlJc w:val="left"/>
      <w:pPr>
        <w:tabs>
          <w:tab w:val="num" w:pos="4680"/>
        </w:tabs>
        <w:ind w:left="4709" w:hanging="418"/>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C4AAA8E">
      <w:start w:val="1"/>
      <w:numFmt w:val="lowerLetter"/>
      <w:lvlText w:val="%8."/>
      <w:lvlJc w:val="left"/>
      <w:pPr>
        <w:tabs>
          <w:tab w:val="num" w:pos="5400"/>
        </w:tabs>
        <w:ind w:left="5429" w:hanging="418"/>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574B156">
      <w:start w:val="1"/>
      <w:numFmt w:val="lowerRoman"/>
      <w:lvlText w:val="%9."/>
      <w:lvlJc w:val="left"/>
      <w:pPr>
        <w:tabs>
          <w:tab w:val="num" w:pos="6120"/>
        </w:tabs>
        <w:ind w:left="6149" w:hanging="298"/>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 w15:restartNumberingAfterBreak="0">
    <w:nsid w:val="18B93824"/>
    <w:multiLevelType w:val="hybridMultilevel"/>
    <w:tmpl w:val="4DF63BAC"/>
    <w:numStyleLink w:val="ImportedStyle2"/>
  </w:abstractNum>
  <w:abstractNum w:abstractNumId="2" w15:restartNumberingAfterBreak="0">
    <w:nsid w:val="1ED92820"/>
    <w:multiLevelType w:val="hybridMultilevel"/>
    <w:tmpl w:val="40903512"/>
    <w:styleLink w:val="ImportedStyle1"/>
    <w:lvl w:ilvl="0" w:tplc="7F149264">
      <w:start w:val="1"/>
      <w:numFmt w:val="upperRoman"/>
      <w:lvlText w:val="%1."/>
      <w:lvlJc w:val="left"/>
      <w:pPr>
        <w:tabs>
          <w:tab w:val="left" w:pos="576"/>
        </w:tabs>
        <w:ind w:left="266" w:hanging="266"/>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B7E7BB4">
      <w:start w:val="1"/>
      <w:numFmt w:val="upperLetter"/>
      <w:lvlText w:val="%2."/>
      <w:lvlJc w:val="left"/>
      <w:pPr>
        <w:ind w:left="288" w:hanging="288"/>
      </w:pPr>
      <w:rPr>
        <w:rFonts w:ascii="Times New Roman" w:eastAsia="Times New Roman" w:hAnsi="Times New Roman" w:cs="Times New Roman"/>
        <w:b w:val="0"/>
        <w:bCs w:val="0"/>
        <w:i/>
        <w:iCs/>
        <w:caps w:val="0"/>
        <w:smallCaps w:val="0"/>
        <w:strike w:val="0"/>
        <w:dstrike w:val="0"/>
        <w:outline w:val="0"/>
        <w:emboss w:val="0"/>
        <w:imprint w:val="0"/>
        <w:color w:val="000000"/>
        <w:spacing w:val="0"/>
        <w:w w:val="100"/>
        <w:kern w:val="0"/>
        <w:position w:val="0"/>
        <w:highlight w:val="none"/>
        <w:vertAlign w:val="baseline"/>
      </w:rPr>
    </w:lvl>
    <w:lvl w:ilvl="2" w:tplc="136EDE58">
      <w:start w:val="1"/>
      <w:numFmt w:val="decimal"/>
      <w:lvlText w:val="%3)"/>
      <w:lvlJc w:val="left"/>
      <w:pPr>
        <w:tabs>
          <w:tab w:val="num" w:pos="540"/>
        </w:tabs>
        <w:ind w:left="252" w:firstLine="36"/>
      </w:pPr>
      <w:rPr>
        <w:rFonts w:ascii="Times New Roman" w:eastAsia="Times New Roman" w:hAnsi="Times New Roman" w:cs="Times New Roman"/>
        <w:b w:val="0"/>
        <w:bCs w:val="0"/>
        <w:i/>
        <w:iCs/>
        <w:caps w:val="0"/>
        <w:smallCaps w:val="0"/>
        <w:strike w:val="0"/>
        <w:dstrike w:val="0"/>
        <w:outline w:val="0"/>
        <w:emboss w:val="0"/>
        <w:imprint w:val="0"/>
        <w:color w:val="000000"/>
        <w:spacing w:val="0"/>
        <w:w w:val="100"/>
        <w:kern w:val="0"/>
        <w:position w:val="0"/>
        <w:highlight w:val="none"/>
        <w:vertAlign w:val="baseline"/>
      </w:rPr>
    </w:lvl>
    <w:lvl w:ilvl="3" w:tplc="98D6F842">
      <w:start w:val="1"/>
      <w:numFmt w:val="lowerLetter"/>
      <w:lvlText w:val="%4)"/>
      <w:lvlJc w:val="left"/>
      <w:pPr>
        <w:tabs>
          <w:tab w:val="num" w:pos="720"/>
        </w:tabs>
        <w:ind w:left="216" w:firstLine="28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BBD08A18">
      <w:start w:val="1"/>
      <w:numFmt w:val="lowerLetter"/>
      <w:lvlText w:val="%5)"/>
      <w:lvlJc w:val="left"/>
      <w:pPr>
        <w:tabs>
          <w:tab w:val="num" w:pos="2412"/>
        </w:tabs>
        <w:ind w:left="1908" w:firstLine="28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229E4CEC">
      <w:start w:val="1"/>
      <w:numFmt w:val="lowerLetter"/>
      <w:suff w:val="nothing"/>
      <w:lvlText w:val="(%6)"/>
      <w:lvlJc w:val="left"/>
      <w:pPr>
        <w:ind w:left="3600" w:firstLine="40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74A0B054">
      <w:start w:val="1"/>
      <w:numFmt w:val="lowerRoman"/>
      <w:suff w:val="nothing"/>
      <w:lvlText w:val="(%7)"/>
      <w:lvlJc w:val="left"/>
      <w:pPr>
        <w:ind w:left="4320" w:firstLine="40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0B6C6A92">
      <w:start w:val="1"/>
      <w:numFmt w:val="lowerLetter"/>
      <w:suff w:val="nothing"/>
      <w:lvlText w:val="(%8)"/>
      <w:lvlJc w:val="left"/>
      <w:pPr>
        <w:ind w:left="5040" w:firstLine="40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E488D0F8">
      <w:start w:val="1"/>
      <w:numFmt w:val="lowerRoman"/>
      <w:suff w:val="nothing"/>
      <w:lvlText w:val="(%9)"/>
      <w:lvlJc w:val="left"/>
      <w:pPr>
        <w:ind w:left="5760" w:firstLine="40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29AD155A"/>
    <w:multiLevelType w:val="hybridMultilevel"/>
    <w:tmpl w:val="0EB45C1C"/>
    <w:numStyleLink w:val="ImportedStyle3"/>
  </w:abstractNum>
  <w:abstractNum w:abstractNumId="4" w15:restartNumberingAfterBreak="0">
    <w:nsid w:val="2CCB34B5"/>
    <w:multiLevelType w:val="hybridMultilevel"/>
    <w:tmpl w:val="97D65F86"/>
    <w:styleLink w:val="ImportedStyle6"/>
    <w:lvl w:ilvl="0" w:tplc="FC062FD4">
      <w:start w:val="1"/>
      <w:numFmt w:val="decimal"/>
      <w:lvlText w:val="%1."/>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5C8CC974">
      <w:start w:val="1"/>
      <w:numFmt w:val="decimal"/>
      <w:lvlText w:val="%2."/>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79AB3C6">
      <w:start w:val="1"/>
      <w:numFmt w:val="decimal"/>
      <w:lvlText w:val="%3."/>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2069926">
      <w:start w:val="1"/>
      <w:numFmt w:val="decimal"/>
      <w:lvlText w:val="%4."/>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EB92E01A">
      <w:start w:val="1"/>
      <w:numFmt w:val="decimal"/>
      <w:lvlText w:val="%5."/>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C8AE5740">
      <w:start w:val="1"/>
      <w:numFmt w:val="decimal"/>
      <w:lvlText w:val="%6."/>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93F0FB80">
      <w:start w:val="1"/>
      <w:numFmt w:val="decimal"/>
      <w:lvlText w:val="%7."/>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E7126268">
      <w:start w:val="1"/>
      <w:numFmt w:val="decimal"/>
      <w:lvlText w:val="%8."/>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9ED286FC">
      <w:start w:val="1"/>
      <w:numFmt w:val="decimal"/>
      <w:lvlText w:val="%9."/>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D010526"/>
    <w:multiLevelType w:val="hybridMultilevel"/>
    <w:tmpl w:val="4DF63BAC"/>
    <w:styleLink w:val="ImportedStyle2"/>
    <w:lvl w:ilvl="0" w:tplc="AEC68C12">
      <w:start w:val="1"/>
      <w:numFmt w:val="bullet"/>
      <w:lvlText w:val="·"/>
      <w:lvlJc w:val="left"/>
      <w:pPr>
        <w:ind w:left="576" w:hanging="288"/>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352304A">
      <w:start w:val="1"/>
      <w:numFmt w:val="bullet"/>
      <w:lvlText w:val="o"/>
      <w:lvlJc w:val="left"/>
      <w:pPr>
        <w:ind w:left="136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09C99A0">
      <w:start w:val="1"/>
      <w:numFmt w:val="bullet"/>
      <w:lvlText w:val="▪"/>
      <w:lvlJc w:val="left"/>
      <w:pPr>
        <w:ind w:left="208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4D244EC">
      <w:start w:val="1"/>
      <w:numFmt w:val="bullet"/>
      <w:lvlText w:val="·"/>
      <w:lvlJc w:val="left"/>
      <w:pPr>
        <w:ind w:left="280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CFA22B0">
      <w:start w:val="1"/>
      <w:numFmt w:val="bullet"/>
      <w:lvlText w:val="o"/>
      <w:lvlJc w:val="left"/>
      <w:pPr>
        <w:ind w:left="352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E6658D4">
      <w:start w:val="1"/>
      <w:numFmt w:val="bullet"/>
      <w:lvlText w:val="▪"/>
      <w:lvlJc w:val="left"/>
      <w:pPr>
        <w:ind w:left="424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60E22AC">
      <w:start w:val="1"/>
      <w:numFmt w:val="bullet"/>
      <w:lvlText w:val="·"/>
      <w:lvlJc w:val="left"/>
      <w:pPr>
        <w:ind w:left="49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CCE3C0E">
      <w:start w:val="1"/>
      <w:numFmt w:val="bullet"/>
      <w:lvlText w:val="o"/>
      <w:lvlJc w:val="left"/>
      <w:pPr>
        <w:ind w:left="568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F803E60">
      <w:start w:val="1"/>
      <w:numFmt w:val="bullet"/>
      <w:lvlText w:val="▪"/>
      <w:lvlJc w:val="left"/>
      <w:pPr>
        <w:ind w:left="640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F5A0DCC"/>
    <w:multiLevelType w:val="hybridMultilevel"/>
    <w:tmpl w:val="0ECE5FB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1285023"/>
    <w:multiLevelType w:val="hybridMultilevel"/>
    <w:tmpl w:val="4F18DD96"/>
    <w:lvl w:ilvl="0" w:tplc="40090003">
      <w:start w:val="1"/>
      <w:numFmt w:val="bullet"/>
      <w:lvlText w:val="o"/>
      <w:lvlJc w:val="left"/>
      <w:pPr>
        <w:ind w:left="1296" w:hanging="360"/>
      </w:pPr>
      <w:rPr>
        <w:rFonts w:ascii="Courier New" w:hAnsi="Courier New" w:cs="Courier New"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8" w15:restartNumberingAfterBreak="0">
    <w:nsid w:val="4BA53AFD"/>
    <w:multiLevelType w:val="hybridMultilevel"/>
    <w:tmpl w:val="4A702A5C"/>
    <w:numStyleLink w:val="ImportedStyle4"/>
  </w:abstractNum>
  <w:abstractNum w:abstractNumId="9" w15:restartNumberingAfterBreak="0">
    <w:nsid w:val="4ECB0DD5"/>
    <w:multiLevelType w:val="hybridMultilevel"/>
    <w:tmpl w:val="AEC40426"/>
    <w:lvl w:ilvl="0" w:tplc="40090003">
      <w:start w:val="1"/>
      <w:numFmt w:val="bullet"/>
      <w:lvlText w:val="o"/>
      <w:lvlJc w:val="left"/>
      <w:pPr>
        <w:ind w:left="1296" w:hanging="360"/>
      </w:pPr>
      <w:rPr>
        <w:rFonts w:ascii="Courier New" w:hAnsi="Courier New" w:cs="Courier New"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10" w15:restartNumberingAfterBreak="0">
    <w:nsid w:val="4F1529B9"/>
    <w:multiLevelType w:val="hybridMultilevel"/>
    <w:tmpl w:val="DC6E22EC"/>
    <w:numStyleLink w:val="ImportedStyle5"/>
  </w:abstractNum>
  <w:abstractNum w:abstractNumId="11" w15:restartNumberingAfterBreak="0">
    <w:nsid w:val="64167AA8"/>
    <w:multiLevelType w:val="hybridMultilevel"/>
    <w:tmpl w:val="97D65F86"/>
    <w:numStyleLink w:val="ImportedStyle6"/>
  </w:abstractNum>
  <w:abstractNum w:abstractNumId="12" w15:restartNumberingAfterBreak="0">
    <w:nsid w:val="6AD8203A"/>
    <w:multiLevelType w:val="hybridMultilevel"/>
    <w:tmpl w:val="40903512"/>
    <w:numStyleLink w:val="ImportedStyle1"/>
  </w:abstractNum>
  <w:abstractNum w:abstractNumId="13" w15:restartNumberingAfterBreak="0">
    <w:nsid w:val="71274146"/>
    <w:multiLevelType w:val="hybridMultilevel"/>
    <w:tmpl w:val="DB4A6426"/>
    <w:lvl w:ilvl="0" w:tplc="40090003">
      <w:start w:val="1"/>
      <w:numFmt w:val="bullet"/>
      <w:lvlText w:val="o"/>
      <w:lvlJc w:val="left"/>
      <w:pPr>
        <w:ind w:left="1296" w:hanging="360"/>
      </w:pPr>
      <w:rPr>
        <w:rFonts w:ascii="Courier New" w:hAnsi="Courier New" w:cs="Courier New" w:hint="default"/>
      </w:rPr>
    </w:lvl>
    <w:lvl w:ilvl="1" w:tplc="40090003">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14" w15:restartNumberingAfterBreak="0">
    <w:nsid w:val="7738615D"/>
    <w:multiLevelType w:val="hybridMultilevel"/>
    <w:tmpl w:val="DC6E22EC"/>
    <w:styleLink w:val="ImportedStyle5"/>
    <w:lvl w:ilvl="0" w:tplc="FEB861F8">
      <w:start w:val="1"/>
      <w:numFmt w:val="decimal"/>
      <w:lvlText w:val="%1."/>
      <w:lvlJc w:val="left"/>
      <w:pPr>
        <w:ind w:left="533" w:hanging="53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E04428">
      <w:start w:val="1"/>
      <w:numFmt w:val="lowerLetter"/>
      <w:lvlText w:val="%2."/>
      <w:lvlJc w:val="left"/>
      <w:pPr>
        <w:ind w:left="108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5C6530E">
      <w:start w:val="1"/>
      <w:numFmt w:val="lowerRoman"/>
      <w:lvlText w:val="%3."/>
      <w:lvlJc w:val="left"/>
      <w:pPr>
        <w:ind w:left="1800" w:hanging="2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7189E1E">
      <w:start w:val="1"/>
      <w:numFmt w:val="decimal"/>
      <w:lvlText w:val="%4."/>
      <w:lvlJc w:val="left"/>
      <w:pPr>
        <w:ind w:left="252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61E2638">
      <w:start w:val="1"/>
      <w:numFmt w:val="lowerLetter"/>
      <w:lvlText w:val="%5."/>
      <w:lvlJc w:val="left"/>
      <w:pPr>
        <w:ind w:left="324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E21A0A">
      <w:start w:val="1"/>
      <w:numFmt w:val="lowerRoman"/>
      <w:lvlText w:val="%6."/>
      <w:lvlJc w:val="left"/>
      <w:pPr>
        <w:ind w:left="3960" w:hanging="2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32D09B46">
      <w:start w:val="1"/>
      <w:numFmt w:val="decimal"/>
      <w:lvlText w:val="%7."/>
      <w:lvlJc w:val="left"/>
      <w:pPr>
        <w:ind w:left="468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EEDBF4">
      <w:start w:val="1"/>
      <w:numFmt w:val="lowerLetter"/>
      <w:lvlText w:val="%8."/>
      <w:lvlJc w:val="left"/>
      <w:pPr>
        <w:ind w:left="540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3183BE2">
      <w:start w:val="1"/>
      <w:numFmt w:val="lowerRoman"/>
      <w:lvlText w:val="%9."/>
      <w:lvlJc w:val="left"/>
      <w:pPr>
        <w:ind w:left="6120" w:hanging="2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79404C58"/>
    <w:multiLevelType w:val="hybridMultilevel"/>
    <w:tmpl w:val="0EB45C1C"/>
    <w:styleLink w:val="ImportedStyle3"/>
    <w:lvl w:ilvl="0" w:tplc="374CBB5C">
      <w:start w:val="1"/>
      <w:numFmt w:val="upperRoman"/>
      <w:lvlText w:val="%1."/>
      <w:lvlJc w:val="left"/>
      <w:pPr>
        <w:ind w:left="1080" w:hanging="10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28465D46">
      <w:start w:val="1"/>
      <w:numFmt w:val="upperRoman"/>
      <w:lvlText w:val="%2."/>
      <w:lvlJc w:val="left"/>
      <w:pPr>
        <w:ind w:left="1080" w:hanging="10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CCC5F9A">
      <w:start w:val="1"/>
      <w:numFmt w:val="upperRoman"/>
      <w:lvlText w:val="%3."/>
      <w:lvlJc w:val="left"/>
      <w:pPr>
        <w:ind w:left="1080" w:hanging="10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06C0DEE">
      <w:start w:val="1"/>
      <w:numFmt w:val="upperRoman"/>
      <w:lvlText w:val="%4."/>
      <w:lvlJc w:val="left"/>
      <w:pPr>
        <w:ind w:left="1080" w:hanging="10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DA3E2B00">
      <w:start w:val="1"/>
      <w:numFmt w:val="upperRoman"/>
      <w:lvlText w:val="%5."/>
      <w:lvlJc w:val="left"/>
      <w:pPr>
        <w:ind w:left="1080" w:hanging="10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F2FE9E16">
      <w:start w:val="1"/>
      <w:numFmt w:val="upperRoman"/>
      <w:lvlText w:val="%6."/>
      <w:lvlJc w:val="left"/>
      <w:pPr>
        <w:ind w:left="1080" w:hanging="10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3CA4640">
      <w:start w:val="1"/>
      <w:numFmt w:val="upperRoman"/>
      <w:lvlText w:val="%7."/>
      <w:lvlJc w:val="left"/>
      <w:pPr>
        <w:ind w:left="1080" w:hanging="10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1E84046">
      <w:start w:val="1"/>
      <w:numFmt w:val="upperRoman"/>
      <w:lvlText w:val="%8."/>
      <w:lvlJc w:val="left"/>
      <w:pPr>
        <w:ind w:left="1080" w:hanging="10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1CEC008E">
      <w:start w:val="1"/>
      <w:numFmt w:val="upperRoman"/>
      <w:lvlText w:val="%9."/>
      <w:lvlJc w:val="left"/>
      <w:pPr>
        <w:ind w:left="1080" w:hanging="10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2"/>
  </w:num>
  <w:num w:numId="2">
    <w:abstractNumId w:val="12"/>
  </w:num>
  <w:num w:numId="3">
    <w:abstractNumId w:val="5"/>
  </w:num>
  <w:num w:numId="4">
    <w:abstractNumId w:val="1"/>
  </w:num>
  <w:num w:numId="5">
    <w:abstractNumId w:val="12"/>
    <w:lvlOverride w:ilvl="1"/>
  </w:num>
  <w:num w:numId="6">
    <w:abstractNumId w:val="12"/>
    <w:lvlOverride w:ilvl="0">
      <w:startOverride w:val="4"/>
    </w:lvlOverride>
  </w:num>
  <w:num w:numId="7">
    <w:abstractNumId w:val="12"/>
    <w:lvlOverride w:ilvl="0">
      <w:lvl w:ilvl="0" w:tplc="E6A86A88">
        <w:start w:val="1"/>
        <w:numFmt w:val="upperRoman"/>
        <w:lvlText w:val="%1."/>
        <w:lvlJc w:val="left"/>
        <w:pPr>
          <w:ind w:left="266" w:hanging="266"/>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7B1EB49C">
        <w:start w:val="1"/>
        <w:numFmt w:val="upperLetter"/>
        <w:lvlText w:val="%2."/>
        <w:lvlJc w:val="left"/>
        <w:pPr>
          <w:ind w:left="288" w:hanging="288"/>
        </w:pPr>
        <w:rPr>
          <w:rFonts w:ascii="Times New Roman" w:eastAsia="Times New Roman" w:hAnsi="Times New Roman" w:cs="Times New Roman"/>
          <w:b w:val="0"/>
          <w:bCs w:val="0"/>
          <w:i/>
          <w:iC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57E6AE2A">
        <w:start w:val="1"/>
        <w:numFmt w:val="decimal"/>
        <w:lvlText w:val="%3)"/>
        <w:lvlJc w:val="left"/>
        <w:pPr>
          <w:ind w:left="252" w:hanging="252"/>
        </w:pPr>
        <w:rPr>
          <w:rFonts w:ascii="Times New Roman" w:eastAsia="Times New Roman" w:hAnsi="Times New Roman" w:cs="Times New Roman"/>
          <w:b w:val="0"/>
          <w:bCs w:val="0"/>
          <w:i/>
          <w:iC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1494F728">
        <w:start w:val="1"/>
        <w:numFmt w:val="lowerLetter"/>
        <w:lvlText w:val="%4)"/>
        <w:lvlJc w:val="left"/>
        <w:pPr>
          <w:tabs>
            <w:tab w:val="num" w:pos="720"/>
          </w:tabs>
          <w:ind w:left="216" w:firstLine="28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761EBFF4">
        <w:start w:val="1"/>
        <w:numFmt w:val="lowerLetter"/>
        <w:lvlText w:val="%5)"/>
        <w:lvlJc w:val="left"/>
        <w:pPr>
          <w:tabs>
            <w:tab w:val="num" w:pos="2412"/>
          </w:tabs>
          <w:ind w:left="1908" w:firstLine="28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A210D808">
        <w:start w:val="1"/>
        <w:numFmt w:val="lowerLetter"/>
        <w:suff w:val="nothing"/>
        <w:lvlText w:val="(%6)"/>
        <w:lvlJc w:val="left"/>
        <w:pPr>
          <w:ind w:left="3600" w:firstLine="40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65784ADC">
        <w:start w:val="1"/>
        <w:numFmt w:val="lowerRoman"/>
        <w:suff w:val="nothing"/>
        <w:lvlText w:val="(%7)"/>
        <w:lvlJc w:val="left"/>
        <w:pPr>
          <w:ind w:left="4320" w:firstLine="40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67D4AE62">
        <w:start w:val="1"/>
        <w:numFmt w:val="lowerLetter"/>
        <w:suff w:val="nothing"/>
        <w:lvlText w:val="(%8)"/>
        <w:lvlJc w:val="left"/>
        <w:pPr>
          <w:ind w:left="5040" w:firstLine="40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73FC073E">
        <w:start w:val="1"/>
        <w:numFmt w:val="lowerRoman"/>
        <w:suff w:val="nothing"/>
        <w:lvlText w:val="(%9)"/>
        <w:lvlJc w:val="left"/>
        <w:pPr>
          <w:ind w:left="5760" w:firstLine="40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8">
    <w:abstractNumId w:val="15"/>
  </w:num>
  <w:num w:numId="9">
    <w:abstractNumId w:val="3"/>
  </w:num>
  <w:num w:numId="10">
    <w:abstractNumId w:val="3"/>
    <w:lvlOverride w:ilvl="0">
      <w:lvl w:ilvl="0" w:tplc="9022D862">
        <w:start w:val="1"/>
        <w:numFmt w:val="upperRoman"/>
        <w:lvlText w:val="%1."/>
        <w:lvlJc w:val="left"/>
        <w:pPr>
          <w:tabs>
            <w:tab w:val="num" w:pos="1080"/>
          </w:tabs>
          <w:ind w:left="1188" w:hanging="118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B73CF67E">
        <w:start w:val="1"/>
        <w:numFmt w:val="upperRoman"/>
        <w:lvlText w:val="%2."/>
        <w:lvlJc w:val="left"/>
        <w:pPr>
          <w:tabs>
            <w:tab w:val="num" w:pos="1080"/>
          </w:tabs>
          <w:ind w:left="1188" w:hanging="118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382FA9E">
        <w:start w:val="1"/>
        <w:numFmt w:val="upperRoman"/>
        <w:lvlText w:val="%3."/>
        <w:lvlJc w:val="left"/>
        <w:pPr>
          <w:tabs>
            <w:tab w:val="num" w:pos="1080"/>
          </w:tabs>
          <w:ind w:left="1188" w:hanging="118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3EA0CCF4">
        <w:start w:val="1"/>
        <w:numFmt w:val="upperRoman"/>
        <w:lvlText w:val="%4."/>
        <w:lvlJc w:val="left"/>
        <w:pPr>
          <w:tabs>
            <w:tab w:val="num" w:pos="1080"/>
          </w:tabs>
          <w:ind w:left="1188" w:hanging="118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ABA7190">
        <w:start w:val="1"/>
        <w:numFmt w:val="upperRoman"/>
        <w:lvlText w:val="%5."/>
        <w:lvlJc w:val="left"/>
        <w:pPr>
          <w:tabs>
            <w:tab w:val="num" w:pos="1080"/>
          </w:tabs>
          <w:ind w:left="1188" w:hanging="118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0A888628">
        <w:start w:val="1"/>
        <w:numFmt w:val="upperRoman"/>
        <w:lvlText w:val="%6."/>
        <w:lvlJc w:val="left"/>
        <w:pPr>
          <w:tabs>
            <w:tab w:val="num" w:pos="1080"/>
          </w:tabs>
          <w:ind w:left="1188" w:hanging="118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860DA98">
        <w:start w:val="1"/>
        <w:numFmt w:val="upperRoman"/>
        <w:lvlText w:val="%7."/>
        <w:lvlJc w:val="left"/>
        <w:pPr>
          <w:tabs>
            <w:tab w:val="num" w:pos="1080"/>
          </w:tabs>
          <w:ind w:left="1188" w:hanging="118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7723A82">
        <w:start w:val="1"/>
        <w:numFmt w:val="upperRoman"/>
        <w:lvlText w:val="%8."/>
        <w:lvlJc w:val="left"/>
        <w:pPr>
          <w:tabs>
            <w:tab w:val="num" w:pos="1080"/>
          </w:tabs>
          <w:ind w:left="1188" w:hanging="118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0FEFA38">
        <w:start w:val="1"/>
        <w:numFmt w:val="upperRoman"/>
        <w:lvlText w:val="%9."/>
        <w:lvlJc w:val="left"/>
        <w:pPr>
          <w:tabs>
            <w:tab w:val="num" w:pos="1080"/>
          </w:tabs>
          <w:ind w:left="1188" w:hanging="118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3"/>
    <w:lvlOverride w:ilvl="0">
      <w:startOverride w:val="2"/>
    </w:lvlOverride>
  </w:num>
  <w:num w:numId="12">
    <w:abstractNumId w:val="0"/>
  </w:num>
  <w:num w:numId="13">
    <w:abstractNumId w:val="8"/>
  </w:num>
  <w:num w:numId="14">
    <w:abstractNumId w:val="14"/>
  </w:num>
  <w:num w:numId="15">
    <w:abstractNumId w:val="10"/>
  </w:num>
  <w:num w:numId="16">
    <w:abstractNumId w:val="4"/>
  </w:num>
  <w:num w:numId="17">
    <w:abstractNumId w:val="11"/>
  </w:num>
  <w:num w:numId="18">
    <w:abstractNumId w:val="13"/>
  </w:num>
  <w:num w:numId="19">
    <w:abstractNumId w:val="7"/>
  </w:num>
  <w:num w:numId="20">
    <w:abstractNumId w:val="9"/>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F19"/>
    <w:rsid w:val="000016B7"/>
    <w:rsid w:val="000067CE"/>
    <w:rsid w:val="0053350E"/>
    <w:rsid w:val="00631B9C"/>
    <w:rsid w:val="00774DB7"/>
    <w:rsid w:val="00860B9E"/>
    <w:rsid w:val="0088545A"/>
    <w:rsid w:val="0092156E"/>
    <w:rsid w:val="00967C51"/>
    <w:rsid w:val="009D3AD3"/>
    <w:rsid w:val="00A36F19"/>
    <w:rsid w:val="00A95830"/>
    <w:rsid w:val="00BA0991"/>
    <w:rsid w:val="00C4399A"/>
    <w:rsid w:val="00D32EDA"/>
    <w:rsid w:val="00EE243E"/>
    <w:rsid w:val="00EF52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C44CD"/>
  <w15:docId w15:val="{28EE6557-5951-4252-B842-8DCDE0B88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067CE"/>
    <w:pPr>
      <w:jc w:val="center"/>
    </w:pPr>
    <w:rPr>
      <w:rFonts w:eastAsia="Times New Roman"/>
      <w:color w:val="000000"/>
      <w:u w:color="000000"/>
      <w:lang w:val="en-US"/>
      <w14:textOutline w14:w="12700" w14:cap="flat" w14:cmpd="sng" w14:algn="ctr">
        <w14:noFill/>
        <w14:prstDash w14:val="solid"/>
        <w14:miter w14:lim="400000"/>
      </w14:textOutline>
    </w:rPr>
  </w:style>
  <w:style w:type="paragraph" w:styleId="Heading1">
    <w:name w:val="heading 1"/>
    <w:next w:val="Normal"/>
    <w:link w:val="Heading1Char"/>
    <w:uiPriority w:val="9"/>
    <w:qFormat/>
    <w:pPr>
      <w:keepNext/>
      <w:keepLines/>
      <w:tabs>
        <w:tab w:val="left" w:pos="216"/>
        <w:tab w:val="left" w:pos="576"/>
      </w:tabs>
      <w:spacing w:before="160" w:after="80"/>
      <w:jc w:val="center"/>
      <w:outlineLvl w:val="0"/>
    </w:pPr>
    <w:rPr>
      <w:rFonts w:cs="Arial Unicode MS"/>
      <w:smallCaps/>
      <w:color w:val="000000"/>
      <w:u w:color="000000"/>
      <w:lang w:val="fr-FR"/>
      <w14:textOutline w14:w="12700" w14:cap="flat" w14:cmpd="sng" w14:algn="ctr">
        <w14:noFill/>
        <w14:prstDash w14:val="solid"/>
        <w14:miter w14:lim="400000"/>
      </w14:textOutline>
    </w:rPr>
  </w:style>
  <w:style w:type="paragraph" w:styleId="Heading2">
    <w:name w:val="heading 2"/>
    <w:next w:val="Normal"/>
    <w:link w:val="Heading2Char"/>
    <w:uiPriority w:val="9"/>
    <w:unhideWhenUsed/>
    <w:qFormat/>
    <w:pPr>
      <w:keepNext/>
      <w:keepLines/>
      <w:tabs>
        <w:tab w:val="left" w:pos="288"/>
      </w:tabs>
      <w:spacing w:before="120" w:after="60"/>
      <w:outlineLvl w:val="1"/>
    </w:pPr>
    <w:rPr>
      <w:rFonts w:cs="Arial Unicode MS"/>
      <w:i/>
      <w:iCs/>
      <w:color w:val="000000"/>
      <w:u w:color="000000"/>
      <w:lang w:val="en-US"/>
      <w14:textOutline w14:w="12700" w14:cap="flat" w14:cmpd="sng" w14:algn="ctr">
        <w14:noFill/>
        <w14:prstDash w14:val="solid"/>
        <w14:miter w14:lim="400000"/>
      </w14:textOutline>
    </w:rPr>
  </w:style>
  <w:style w:type="paragraph" w:styleId="Heading3">
    <w:name w:val="heading 3"/>
    <w:next w:val="Normal"/>
    <w:uiPriority w:val="9"/>
    <w:unhideWhenUsed/>
    <w:qFormat/>
    <w:pPr>
      <w:tabs>
        <w:tab w:val="left" w:pos="540"/>
      </w:tabs>
      <w:spacing w:line="240" w:lineRule="exact"/>
      <w:ind w:firstLine="288"/>
      <w:jc w:val="both"/>
      <w:outlineLvl w:val="2"/>
    </w:pPr>
    <w:rPr>
      <w:rFonts w:cs="Arial Unicode MS"/>
      <w:i/>
      <w:iCs/>
      <w:color w:val="000000"/>
      <w:u w:color="000000"/>
      <w:lang w:val="en-US"/>
      <w14:textOutline w14:w="12700" w14:cap="flat" w14:cmpd="sng" w14:algn="ctr">
        <w14:noFill/>
        <w14:prstDash w14:val="solid"/>
        <w14:miter w14:lim="400000"/>
      </w14:textOutline>
    </w:rPr>
  </w:style>
  <w:style w:type="paragraph" w:styleId="Heading4">
    <w:name w:val="heading 4"/>
    <w:next w:val="Normal"/>
    <w:uiPriority w:val="9"/>
    <w:unhideWhenUsed/>
    <w:qFormat/>
    <w:pPr>
      <w:tabs>
        <w:tab w:val="left" w:pos="720"/>
      </w:tabs>
      <w:spacing w:before="40" w:after="40"/>
      <w:ind w:firstLine="504"/>
      <w:jc w:val="both"/>
      <w:outlineLvl w:val="3"/>
    </w:pPr>
    <w:rPr>
      <w:rFonts w:cs="Arial Unicode MS"/>
      <w:i/>
      <w:iCs/>
      <w:color w:val="000000"/>
      <w:u w:color="000000"/>
      <w:lang w:val="en-US"/>
    </w:rPr>
  </w:style>
  <w:style w:type="paragraph" w:styleId="Heading5">
    <w:name w:val="heading 5"/>
    <w:next w:val="Normal"/>
    <w:uiPriority w:val="9"/>
    <w:unhideWhenUsed/>
    <w:qFormat/>
    <w:pPr>
      <w:tabs>
        <w:tab w:val="left" w:pos="360"/>
      </w:tabs>
      <w:spacing w:before="160" w:after="80"/>
      <w:jc w:val="center"/>
      <w:outlineLvl w:val="4"/>
    </w:pPr>
    <w:rPr>
      <w:rFonts w:cs="Arial Unicode MS"/>
      <w:smallCaps/>
      <w:color w:val="000000"/>
      <w:u w:color="00000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680"/>
        <w:tab w:val="right" w:pos="9360"/>
      </w:tabs>
      <w:jc w:val="center"/>
    </w:pPr>
    <w:rPr>
      <w:rFonts w:cs="Arial Unicode MS"/>
      <w:color w:val="000000"/>
      <w:u w:color="000000"/>
      <w:lang w:val="en-US"/>
    </w:rPr>
  </w:style>
  <w:style w:type="paragraph" w:customStyle="1" w:styleId="papertitle">
    <w:name w:val="paper title"/>
    <w:pPr>
      <w:spacing w:after="120"/>
      <w:jc w:val="center"/>
    </w:pPr>
    <w:rPr>
      <w:rFonts w:cs="Arial Unicode MS"/>
      <w:color w:val="000000"/>
      <w:sz w:val="48"/>
      <w:szCs w:val="48"/>
      <w:u w:color="000000"/>
      <w:lang w:val="en-US"/>
    </w:rPr>
  </w:style>
  <w:style w:type="paragraph" w:customStyle="1" w:styleId="Author">
    <w:name w:val="Author"/>
    <w:pPr>
      <w:spacing w:before="360" w:after="40"/>
      <w:jc w:val="center"/>
    </w:pPr>
    <w:rPr>
      <w:rFonts w:cs="Arial Unicode MS"/>
      <w:color w:val="000000"/>
      <w:sz w:val="22"/>
      <w:szCs w:val="22"/>
      <w:u w:color="000000"/>
      <w:lang w:val="en-US"/>
    </w:rPr>
  </w:style>
  <w:style w:type="paragraph" w:customStyle="1" w:styleId="Abstract">
    <w:name w:val="Abstract"/>
    <w:pPr>
      <w:spacing w:after="200"/>
      <w:ind w:firstLine="272"/>
      <w:jc w:val="both"/>
    </w:pPr>
    <w:rPr>
      <w:rFonts w:cs="Arial Unicode MS"/>
      <w:b/>
      <w:bCs/>
      <w:color w:val="000000"/>
      <w:sz w:val="18"/>
      <w:szCs w:val="18"/>
      <w:u w:color="000000"/>
      <w:lang w:val="en-US"/>
    </w:rPr>
  </w:style>
  <w:style w:type="paragraph" w:customStyle="1" w:styleId="Keywords">
    <w:name w:val="Keywords"/>
    <w:pPr>
      <w:spacing w:after="120"/>
      <w:ind w:firstLine="274"/>
      <w:jc w:val="both"/>
    </w:pPr>
    <w:rPr>
      <w:rFonts w:cs="Arial Unicode MS"/>
      <w:b/>
      <w:bCs/>
      <w:i/>
      <w:iCs/>
      <w:color w:val="000000"/>
      <w:sz w:val="18"/>
      <w:szCs w:val="18"/>
      <w:u w:color="000000"/>
      <w:lang w:val="en-US"/>
    </w:rPr>
  </w:style>
  <w:style w:type="numbering" w:customStyle="1" w:styleId="ImportedStyle1">
    <w:name w:val="Imported Style 1"/>
    <w:pPr>
      <w:numPr>
        <w:numId w:val="1"/>
      </w:numPr>
    </w:pPr>
  </w:style>
  <w:style w:type="paragraph" w:styleId="BodyText">
    <w:name w:val="Body Text"/>
    <w:pPr>
      <w:tabs>
        <w:tab w:val="left" w:pos="288"/>
      </w:tabs>
      <w:spacing w:after="120" w:line="228" w:lineRule="auto"/>
      <w:ind w:firstLine="288"/>
      <w:jc w:val="both"/>
    </w:pPr>
    <w:rPr>
      <w:rFonts w:cs="Arial Unicode MS"/>
      <w:color w:val="000000"/>
      <w:u w:color="000000"/>
      <w:lang w:val="en-US"/>
    </w:rPr>
  </w:style>
  <w:style w:type="paragraph" w:customStyle="1" w:styleId="bulletlist">
    <w:name w:val="bullet list"/>
    <w:pPr>
      <w:tabs>
        <w:tab w:val="left" w:pos="288"/>
      </w:tabs>
      <w:spacing w:after="120" w:line="228" w:lineRule="auto"/>
      <w:jc w:val="both"/>
    </w:pPr>
    <w:rPr>
      <w:rFonts w:cs="Arial Unicode MS"/>
      <w:color w:val="000000"/>
      <w:u w:color="000000"/>
      <w:lang w:val="en-US"/>
    </w:rPr>
  </w:style>
  <w:style w:type="numbering" w:customStyle="1" w:styleId="ImportedStyle2">
    <w:name w:val="Imported Style 2"/>
    <w:pPr>
      <w:numPr>
        <w:numId w:val="3"/>
      </w:numPr>
    </w:pPr>
  </w:style>
  <w:style w:type="paragraph" w:customStyle="1" w:styleId="sponsors">
    <w:name w:val="sponsors"/>
    <w:pPr>
      <w:pBdr>
        <w:top w:val="single" w:sz="4" w:space="0" w:color="000000"/>
      </w:pBdr>
      <w:ind w:firstLine="288"/>
      <w:jc w:val="center"/>
    </w:pPr>
    <w:rPr>
      <w:rFonts w:cs="Arial Unicode MS"/>
      <w:color w:val="000000"/>
      <w:sz w:val="16"/>
      <w:szCs w:val="16"/>
      <w:u w:color="000000"/>
      <w:lang w:val="en-US"/>
    </w:rPr>
  </w:style>
  <w:style w:type="paragraph" w:customStyle="1" w:styleId="equation">
    <w:name w:val="equation"/>
    <w:pPr>
      <w:tabs>
        <w:tab w:val="center" w:pos="2520"/>
        <w:tab w:val="right" w:pos="5040"/>
      </w:tabs>
      <w:spacing w:before="240" w:after="240" w:line="216" w:lineRule="auto"/>
      <w:jc w:val="center"/>
    </w:pPr>
    <w:rPr>
      <w:rFonts w:ascii="Symbol" w:eastAsia="Symbol" w:hAnsi="Symbol" w:cs="Symbol"/>
      <w:color w:val="000000"/>
      <w:u w:color="000000"/>
      <w:lang w:val="en-US"/>
    </w:rPr>
  </w:style>
  <w:style w:type="paragraph" w:customStyle="1" w:styleId="tablehead">
    <w:name w:val="table head"/>
    <w:pPr>
      <w:tabs>
        <w:tab w:val="left" w:pos="1080"/>
      </w:tabs>
      <w:spacing w:before="240" w:after="120" w:line="216" w:lineRule="auto"/>
      <w:jc w:val="center"/>
    </w:pPr>
    <w:rPr>
      <w:rFonts w:cs="Arial Unicode MS"/>
      <w:smallCaps/>
      <w:color w:val="000000"/>
      <w:sz w:val="16"/>
      <w:szCs w:val="16"/>
      <w:u w:color="000000"/>
      <w:lang w:val="en-US"/>
    </w:rPr>
  </w:style>
  <w:style w:type="numbering" w:customStyle="1" w:styleId="ImportedStyle3">
    <w:name w:val="Imported Style 3"/>
    <w:pPr>
      <w:numPr>
        <w:numId w:val="8"/>
      </w:numPr>
    </w:pPr>
  </w:style>
  <w:style w:type="paragraph" w:customStyle="1" w:styleId="tablecolhead">
    <w:name w:val="table col head"/>
    <w:pPr>
      <w:jc w:val="center"/>
    </w:pPr>
    <w:rPr>
      <w:rFonts w:cs="Arial Unicode MS"/>
      <w:b/>
      <w:bCs/>
      <w:color w:val="000000"/>
      <w:sz w:val="16"/>
      <w:szCs w:val="16"/>
      <w:u w:color="000000"/>
      <w:lang w:val="en-US"/>
    </w:rPr>
  </w:style>
  <w:style w:type="paragraph" w:customStyle="1" w:styleId="tablecolsubhead">
    <w:name w:val="table col subhead"/>
    <w:pPr>
      <w:jc w:val="center"/>
    </w:pPr>
    <w:rPr>
      <w:rFonts w:cs="Arial Unicode MS"/>
      <w:b/>
      <w:bCs/>
      <w:i/>
      <w:iCs/>
      <w:color w:val="000000"/>
      <w:sz w:val="15"/>
      <w:szCs w:val="15"/>
      <w:u w:color="000000"/>
      <w:lang w:val="en-US"/>
    </w:rPr>
  </w:style>
  <w:style w:type="paragraph" w:customStyle="1" w:styleId="tablecopy">
    <w:name w:val="table copy"/>
    <w:pPr>
      <w:jc w:val="both"/>
    </w:pPr>
    <w:rPr>
      <w:rFonts w:cs="Arial Unicode MS"/>
      <w:color w:val="000000"/>
      <w:sz w:val="16"/>
      <w:szCs w:val="16"/>
      <w:u w:color="000000"/>
      <w:lang w:val="en-US"/>
    </w:rPr>
  </w:style>
  <w:style w:type="paragraph" w:customStyle="1" w:styleId="tablefootnote">
    <w:name w:val="table footnote"/>
    <w:pPr>
      <w:spacing w:before="60" w:after="30"/>
      <w:jc w:val="right"/>
    </w:pPr>
    <w:rPr>
      <w:rFonts w:cs="Arial Unicode MS"/>
      <w:color w:val="000000"/>
      <w:sz w:val="12"/>
      <w:szCs w:val="12"/>
      <w:u w:color="000000"/>
      <w:lang w:val="en-US"/>
    </w:rPr>
  </w:style>
  <w:style w:type="numbering" w:customStyle="1" w:styleId="ImportedStyle4">
    <w:name w:val="Imported Style 4"/>
    <w:pPr>
      <w:numPr>
        <w:numId w:val="12"/>
      </w:numPr>
    </w:pPr>
  </w:style>
  <w:style w:type="paragraph" w:customStyle="1" w:styleId="figurecaption">
    <w:name w:val="figure caption"/>
    <w:pPr>
      <w:tabs>
        <w:tab w:val="left" w:pos="533"/>
      </w:tabs>
      <w:spacing w:before="80" w:after="200"/>
      <w:jc w:val="both"/>
    </w:pPr>
    <w:rPr>
      <w:rFonts w:cs="Arial Unicode MS"/>
      <w:color w:val="000000"/>
      <w:sz w:val="16"/>
      <w:szCs w:val="16"/>
      <w:u w:color="000000"/>
      <w:lang w:val="en-US"/>
    </w:rPr>
  </w:style>
  <w:style w:type="numbering" w:customStyle="1" w:styleId="ImportedStyle5">
    <w:name w:val="Imported Style 5"/>
    <w:pPr>
      <w:numPr>
        <w:numId w:val="14"/>
      </w:numPr>
    </w:pPr>
  </w:style>
  <w:style w:type="paragraph" w:customStyle="1" w:styleId="references">
    <w:name w:val="references"/>
    <w:pPr>
      <w:tabs>
        <w:tab w:val="left" w:pos="360"/>
      </w:tabs>
      <w:spacing w:after="50" w:line="180" w:lineRule="exact"/>
      <w:jc w:val="both"/>
    </w:pPr>
    <w:rPr>
      <w:rFonts w:cs="Arial Unicode MS"/>
      <w:color w:val="000000"/>
      <w:sz w:val="16"/>
      <w:szCs w:val="16"/>
      <w:u w:color="000000"/>
      <w:lang w:val="en-US"/>
    </w:rPr>
  </w:style>
  <w:style w:type="numbering" w:customStyle="1" w:styleId="ImportedStyle6">
    <w:name w:val="Imported Style 6"/>
    <w:pPr>
      <w:numPr>
        <w:numId w:val="16"/>
      </w:numPr>
    </w:pPr>
  </w:style>
  <w:style w:type="character" w:customStyle="1" w:styleId="Heading2Char">
    <w:name w:val="Heading 2 Char"/>
    <w:basedOn w:val="DefaultParagraphFont"/>
    <w:link w:val="Heading2"/>
    <w:uiPriority w:val="9"/>
    <w:rsid w:val="0053350E"/>
    <w:rPr>
      <w:rFonts w:cs="Arial Unicode MS"/>
      <w:i/>
      <w:iCs/>
      <w:color w:val="000000"/>
      <w:u w:color="000000"/>
      <w:lang w:val="en-US"/>
      <w14:textOutline w14:w="12700" w14:cap="flat" w14:cmpd="sng" w14:algn="ctr">
        <w14:noFill/>
        <w14:prstDash w14:val="solid"/>
        <w14:miter w14:lim="400000"/>
      </w14:textOutline>
    </w:rPr>
  </w:style>
  <w:style w:type="paragraph" w:styleId="ListParagraph">
    <w:name w:val="List Paragraph"/>
    <w:basedOn w:val="Normal"/>
    <w:uiPriority w:val="34"/>
    <w:qFormat/>
    <w:rsid w:val="0053350E"/>
    <w:pPr>
      <w:ind w:left="720"/>
      <w:contextualSpacing/>
    </w:pPr>
  </w:style>
  <w:style w:type="table" w:styleId="TableGrid">
    <w:name w:val="Table Grid"/>
    <w:basedOn w:val="TableNormal"/>
    <w:uiPriority w:val="39"/>
    <w:rsid w:val="009D3A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60B9E"/>
    <w:rPr>
      <w:sz w:val="16"/>
      <w:szCs w:val="16"/>
    </w:rPr>
  </w:style>
  <w:style w:type="paragraph" w:styleId="CommentText">
    <w:name w:val="annotation text"/>
    <w:basedOn w:val="Normal"/>
    <w:link w:val="CommentTextChar"/>
    <w:uiPriority w:val="99"/>
    <w:semiHidden/>
    <w:unhideWhenUsed/>
    <w:rsid w:val="00860B9E"/>
  </w:style>
  <w:style w:type="character" w:customStyle="1" w:styleId="CommentTextChar">
    <w:name w:val="Comment Text Char"/>
    <w:basedOn w:val="DefaultParagraphFont"/>
    <w:link w:val="CommentText"/>
    <w:uiPriority w:val="99"/>
    <w:semiHidden/>
    <w:rsid w:val="00860B9E"/>
    <w:rPr>
      <w:rFonts w:eastAsia="Times New Roman"/>
      <w:color w:val="000000"/>
      <w:u w:color="000000"/>
      <w:lang w:val="en-US"/>
      <w14:textOutline w14:w="12700" w14:cap="flat" w14:cmpd="sng" w14:algn="ctr">
        <w14:noFill/>
        <w14:prstDash w14:val="solid"/>
        <w14:miter w14:lim="400000"/>
      </w14:textOutline>
    </w:rPr>
  </w:style>
  <w:style w:type="paragraph" w:styleId="CommentSubject">
    <w:name w:val="annotation subject"/>
    <w:basedOn w:val="CommentText"/>
    <w:next w:val="CommentText"/>
    <w:link w:val="CommentSubjectChar"/>
    <w:uiPriority w:val="99"/>
    <w:semiHidden/>
    <w:unhideWhenUsed/>
    <w:rsid w:val="00860B9E"/>
    <w:rPr>
      <w:b/>
      <w:bCs/>
    </w:rPr>
  </w:style>
  <w:style w:type="character" w:customStyle="1" w:styleId="CommentSubjectChar">
    <w:name w:val="Comment Subject Char"/>
    <w:basedOn w:val="CommentTextChar"/>
    <w:link w:val="CommentSubject"/>
    <w:uiPriority w:val="99"/>
    <w:semiHidden/>
    <w:rsid w:val="00860B9E"/>
    <w:rPr>
      <w:rFonts w:eastAsia="Times New Roman"/>
      <w:b/>
      <w:bCs/>
      <w:color w:val="000000"/>
      <w:u w:color="000000"/>
      <w:lang w:val="en-US"/>
      <w14:textOutline w14:w="12700" w14:cap="flat" w14:cmpd="sng" w14:algn="ctr">
        <w14:noFill/>
        <w14:prstDash w14:val="solid"/>
        <w14:miter w14:lim="400000"/>
      </w14:textOutline>
    </w:rPr>
  </w:style>
  <w:style w:type="paragraph" w:styleId="BalloonText">
    <w:name w:val="Balloon Text"/>
    <w:basedOn w:val="Normal"/>
    <w:link w:val="BalloonTextChar"/>
    <w:uiPriority w:val="99"/>
    <w:semiHidden/>
    <w:unhideWhenUsed/>
    <w:rsid w:val="00860B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0B9E"/>
    <w:rPr>
      <w:rFonts w:ascii="Segoe UI" w:eastAsia="Times New Roman" w:hAnsi="Segoe UI" w:cs="Segoe UI"/>
      <w:color w:val="000000"/>
      <w:sz w:val="18"/>
      <w:szCs w:val="18"/>
      <w:u w:color="000000"/>
      <w:lang w:val="en-US"/>
      <w14:textOutline w14:w="12700" w14:cap="flat" w14:cmpd="sng" w14:algn="ctr">
        <w14:noFill/>
        <w14:prstDash w14:val="solid"/>
        <w14:miter w14:lim="400000"/>
      </w14:textOutline>
    </w:rPr>
  </w:style>
  <w:style w:type="character" w:customStyle="1" w:styleId="Heading1Char">
    <w:name w:val="Heading 1 Char"/>
    <w:basedOn w:val="DefaultParagraphFont"/>
    <w:link w:val="Heading1"/>
    <w:uiPriority w:val="9"/>
    <w:rsid w:val="00EF5285"/>
    <w:rPr>
      <w:rFonts w:cs="Arial Unicode MS"/>
      <w:smallCaps/>
      <w:color w:val="000000"/>
      <w:u w:color="000000"/>
      <w:lang w:val="fr-FR"/>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0076722">
      <w:bodyDiv w:val="1"/>
      <w:marLeft w:val="0"/>
      <w:marRight w:val="0"/>
      <w:marTop w:val="0"/>
      <w:marBottom w:val="0"/>
      <w:divBdr>
        <w:top w:val="none" w:sz="0" w:space="0" w:color="auto"/>
        <w:left w:val="none" w:sz="0" w:space="0" w:color="auto"/>
        <w:bottom w:val="none" w:sz="0" w:space="0" w:color="auto"/>
        <w:right w:val="none" w:sz="0" w:space="0" w:color="auto"/>
      </w:divBdr>
    </w:div>
    <w:div w:id="18799729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28A75-25B4-407B-89B6-95B2DB1B1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Pages>
  <Words>4148</Words>
  <Characters>23644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bsk anubala</cp:lastModifiedBy>
  <cp:revision>4</cp:revision>
  <dcterms:created xsi:type="dcterms:W3CDTF">2026-05-01T10:10:00Z</dcterms:created>
  <dcterms:modified xsi:type="dcterms:W3CDTF">2026-05-01T13:12:00Z</dcterms:modified>
</cp:coreProperties>
</file>