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0"/>
        <w:ind w:left="0" w:right="0"/>
      </w:pPr>
    </w:p>
    <w:p>
      <w:pPr>
        <w:autoSpaceDN w:val="0"/>
        <w:autoSpaceDE w:val="0"/>
        <w:widowControl/>
        <w:spacing w:line="274"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 New Roman" w:hAnsi="Times New Roman" w:eastAsia="Times New Roman"/>
          <w:b w:val="0"/>
          <w:i/>
          <w:color w:val="000000"/>
          <w:sz w:val="24"/>
        </w:rPr>
      </w:r>
      <w:r>
        <w:rPr>
          <w:rFonts w:ascii="Times New Roman" w:hAnsi="Times New Roman" w:eastAsia="Times New Roman"/>
          <w:b w:val="0"/>
          <w:i/>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compensarea undelor informaționale și corectarea rezervelor funcționale de adaptare „VALEO” (Logotopia anatomică și fiziologică vegetativă a organelor naturale), (distribuția tulburărilor patologice, structurale sau funcționale ale elementelor tisulare ale corpului uman, în conformitate cu etapele homotoxicozei conform Reckweg), în aplicarea practică a metodei de cercetare se bazează pe principiile rezonanței biologice.</w:t>
      </w:r>
    </w:p>
    <w:p>
      <w:pPr>
        <w:autoSpaceDN w:val="0"/>
        <w:tabs>
          <w:tab w:pos="708" w:val="left"/>
        </w:tabs>
        <w:autoSpaceDE w:val="0"/>
        <w:widowControl/>
        <w:spacing w:line="276" w:lineRule="exact" w:before="0" w:after="0"/>
        <w:ind w:left="0" w:right="0" w:firstLine="0"/>
        <w:jc w:val="left"/>
      </w:p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 xml:space="preserve">Secția VALEO realizează diagnosticarea screening al bolilor somatice umane și determinarea modificărilor reacțiilor electrofiziologice ale organismului; secțiunea include trei componente principale de diagnostic: </w:t>
        <w:tab/>
        <w:t>1). Componenta matematică și statistică, unde se realizează colectarea primară de informații despre abaterile în starea de sănătate somatică a subiectului. Colectarea anamnezei pe baza plângerilor și a intervențiilor chirurgicale anterioare; istoricul ginecologic la femei și datele de la examinări fizice obiective, cum ar fi pulsul, tensiunea arterială și examinarea externă a pacientului.</w:t>
      </w:r>
    </w:p>
    <w:p>
      <w:pPr>
        <w:autoSpaceDN w:val="0"/>
        <w:autoSpaceDE w:val="0"/>
        <w:widowControl/>
        <w:spacing w:line="276" w:lineRule="exact" w:before="0" w:after="6"/>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2). Componenta electrofiziologică, care utilizează senzori de deviație electromagnetică și stimulare sonoră a receptorilor auditivi ai pacientului, care sunt instalați în căști (sub influența stimulilor fiziologici precum sunet, lumină, culoare și stimul electromagnetic), creează un răspuns al funcțiilor autonome ale pacientului.</w:t>
      </w:r>
    </w:p>
    <w:tbl>
      <w:tblPr>
        <w:tblW w:type="auto" w:w="0"/>
        <w:tblLayout w:type="fixed"/>
        <w:tblLook w:firstColumn="1" w:firstRow="1" w:lastColumn="0" w:lastRow="0" w:noHBand="0" w:noVBand="1" w:val="04A0"/>
        <w:tblInd w:w="0.0" w:type="dxa"/>
      </w:tblPr>
      <w:tblGrid>
        <w:gridCol w:w="1102"/>
        <w:gridCol w:w="1102"/>
        <w:gridCol w:w="1102"/>
        <w:gridCol w:w="1102"/>
        <w:gridCol w:w="1102"/>
        <w:gridCol w:w="1102"/>
        <w:gridCol w:w="1102"/>
        <w:gridCol w:w="1102"/>
        <w:gridCol w:w="1102"/>
      </w:tblGrid>
      <w:tr>
        <w:trPr>
          <w:trHeight w:hRule="exact" w:val="276"/>
        </w:trPr>
        <w:tc>
          <w:tcPr>
            <w:tcW w:type="dxa" w:w="384"/>
            <w:tcMar>
              <w:start w:w="0" w:type="dxa"/>
              <w:end w:w="0" w:type="dxa"/>
            </w:tcMar>
          </w:tcPr>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t xml:space="preserve">во </w:t>
            </w:r>
          </w:p>
        </w:tc>
        <w:tc>
          <w:tcPr>
            <w:tcW w:type="dxa" w:w="8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timp</w:t>
            </w:r>
          </w:p>
        </w:tc>
        <w:tc>
          <w:tcPr>
            <w:tcW w:type="dxa" w:w="16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cercetare</w:t>
            </w:r>
          </w:p>
        </w:tc>
        <w:tc>
          <w:tcPr>
            <w:tcW w:type="dxa" w:w="14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specific</w:t>
            </w:r>
          </w:p>
        </w:tc>
        <w:tc>
          <w:tcPr>
            <w:tcW w:type="dxa" w:w="10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organe</w:t>
            </w:r>
          </w:p>
        </w:tc>
        <w:tc>
          <w:tcPr>
            <w:tcW w:type="dxa" w:w="4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и </w:t>
            </w:r>
          </w:p>
        </w:tc>
        <w:tc>
          <w:tcPr>
            <w:tcW w:type="dxa" w:w="11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crea</w:t>
            </w:r>
          </w:p>
        </w:tc>
        <w:tc>
          <w:tcPr>
            <w:tcW w:type="dxa" w:w="14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abatere</w:t>
            </w:r>
          </w:p>
        </w:tc>
        <w:tc>
          <w:tcPr>
            <w:tcW w:type="dxa" w:w="1440"/>
            <w:tcMar>
              <w:start w:w="0" w:type="dxa"/>
              <w:end w:w="0" w:type="dxa"/>
            </w:tcMar>
          </w:tcPr>
          <w:p>
            <w:pPr>
              <w:autoSpaceDN w:val="0"/>
              <w:autoSpaceDE w:val="0"/>
              <w:widowControl/>
              <w:spacing w:line="266" w:lineRule="exact" w:before="4" w:after="0"/>
              <w:ind w:left="116" w:right="0" w:firstLine="0"/>
              <w:jc w:val="left"/>
            </w:pPr>
            <w:r>
              <w:rPr>
                <w:rFonts w:ascii="TimesNewRomanPSMT" w:hAnsi="TimesNewRomanPSMT" w:eastAsia="TimesNewRomanPSMT"/>
                <w:b w:val="0"/>
                <w:i w:val="0"/>
                <w:color w:val="000000"/>
                <w:sz w:val="24"/>
              </w:rPr>
              <w:t>primit</w:t>
            </w:r>
          </w:p>
        </w:tc>
      </w:tr>
    </w:tbl>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r>
      <w:r>
        <w:rPr>
          <w:b w:val="0"/>
        </w:rPr>
        <w:t>parametrii spectrografici şi marcarea proceselor focale.</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3). Componentă electrică: un semnal electric în intervalul de 1,8 volți, care vine cu o anumită frecvență de oscilație specificată (măsurată în Hz), care corespunde unui anumit organ în care este implementată măsurarea impedanței active, dar cu o frecvență strict specificată Hz. vibratii corespunzatoare unui anumit organ.</w:t>
      </w:r>
    </w:p>
    <w:p>
      <w:pPr>
        <w:autoSpaceDN w:val="0"/>
        <w:autoSpaceDE w:val="0"/>
        <w:widowControl/>
        <w:spacing w:line="266" w:lineRule="exact" w:before="286" w:after="0"/>
        <w:ind w:left="708" w:right="0" w:firstLine="0"/>
        <w:jc w:val="left"/>
      </w:pPr>
      <w:r>
        <w:rPr>
          <w:rFonts w:ascii="TimesNewRomanPSMT" w:hAnsi="TimesNewRomanPSMT" w:eastAsia="TimesNewRomanPSMT"/>
          <w:b w:val="0"/>
          <w:i w:val="0"/>
          <w:color w:val="000000"/>
          <w:sz w:val="24"/>
          <w:u w:val="single"/>
        </w:rPr>
      </w:r>
      <w:r>
        <w:rPr>
          <w:rFonts w:ascii="TimesNewRomanPSMT" w:hAnsi="TimesNewRomanPSMT" w:eastAsia="TimesNewRomanPSMT"/>
          <w:b w:val="0"/>
          <w:i w:val="0"/>
          <w:color w:val="000000"/>
          <w:sz w:val="24"/>
        </w:rPr>
      </w:r>
      <w:r>
        <w:rPr>
          <w:b w:val="0"/>
        </w:rPr>
        <w:t>Oferă următoarele funcții:</w:t>
      </w:r>
    </w:p>
    <w:p>
      <w:pPr>
        <w:autoSpaceDN w:val="0"/>
        <w:tabs>
          <w:tab w:pos="376" w:val="left"/>
        </w:tabs>
        <w:autoSpaceDE w:val="0"/>
        <w:widowControl/>
        <w:spacing w:line="276" w:lineRule="exact" w:before="276" w:after="0"/>
        <w:ind w:left="0"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1. Interfața informațională-logică este destinată medicilor să efectueze o analiză sistematică a indicatorilor spectrografici ai conductivității tisulare.</w:t>
      </w:r>
    </w:p>
    <w:p>
      <w:pPr>
        <w:autoSpaceDN w:val="0"/>
        <w:tabs>
          <w:tab w:pos="376" w:val="left"/>
        </w:tabs>
        <w:autoSpaceDE w:val="0"/>
        <w:widowControl/>
        <w:spacing w:line="276" w:lineRule="exact" w:before="0" w:after="0"/>
        <w:ind w:left="0"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2. Determinarea relațiilor cauză-efect în dezvoltarea modificărilor patologice în organe și sisteme folosind metoda modelării vegetative a fantomelor grafice.</w:t>
      </w:r>
    </w:p>
    <w:p>
      <w:pPr>
        <w:autoSpaceDN w:val="0"/>
        <w:autoSpaceDE w:val="0"/>
        <w:widowControl/>
        <w:spacing w:line="276" w:lineRule="exact" w:before="0" w:after="6"/>
        <w:ind w:left="0" w:right="20" w:firstLine="376"/>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3. Modelarea complicațiilor așteptate, folosind o bază de date de referință de spectrograme identificate mai devreme în mod fiabil în grupurile și categoriile relevante de pacienți, tulburări ale procesului patologic selectiv și sistemic.</w:t>
      </w:r>
    </w:p>
    <w:tbl>
      <w:tblPr>
        <w:tblW w:type="auto" w:w="0"/>
        <w:tblLayout w:type="fixed"/>
        <w:tblLook w:firstColumn="1" w:firstRow="1" w:lastColumn="0" w:lastRow="0" w:noHBand="0" w:noVBand="1" w:val="04A0"/>
        <w:tblInd w:w="184.00000000000006" w:type="dxa"/>
      </w:tblPr>
      <w:tblGrid>
        <w:gridCol w:w="1653"/>
        <w:gridCol w:w="1653"/>
        <w:gridCol w:w="1653"/>
        <w:gridCol w:w="1653"/>
        <w:gridCol w:w="1653"/>
        <w:gridCol w:w="1653"/>
      </w:tblGrid>
      <w:tr>
        <w:trPr>
          <w:trHeight w:hRule="exact" w:val="274"/>
        </w:trPr>
        <w:tc>
          <w:tcPr>
            <w:tcW w:type="dxa" w:w="6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4. </w:t>
            </w:r>
          </w:p>
        </w:tc>
        <w:tc>
          <w:tcPr>
            <w:tcW w:type="dxa" w:w="15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Dezvăluind</w:t>
            </w:r>
          </w:p>
        </w:tc>
        <w:tc>
          <w:tcPr>
            <w:tcW w:type="dxa" w:w="25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spectrografice</w:t>
            </w:r>
          </w:p>
        </w:tc>
        <w:tc>
          <w:tcPr>
            <w:tcW w:type="dxa" w:w="20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identificare</w:t>
            </w:r>
          </w:p>
        </w:tc>
        <w:tc>
          <w:tcPr>
            <w:tcW w:type="dxa" w:w="18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toxic</w:t>
            </w:r>
          </w:p>
        </w:tc>
        <w:tc>
          <w:tcPr>
            <w:tcW w:type="dxa" w:w="1100"/>
            <w:tcMar>
              <w:start w:w="0" w:type="dxa"/>
              <w:end w:w="0" w:type="dxa"/>
            </w:tcMar>
          </w:tcPr>
          <w:p>
            <w:pPr>
              <w:autoSpaceDN w:val="0"/>
              <w:autoSpaceDE w:val="0"/>
              <w:widowControl/>
              <w:spacing w:line="266" w:lineRule="exact" w:before="4" w:after="0"/>
              <w:ind w:left="194" w:right="0" w:firstLine="0"/>
              <w:jc w:val="left"/>
            </w:pPr>
            <w:r>
              <w:rPr>
                <w:rFonts w:ascii="TimesNewRomanPSMT" w:hAnsi="TimesNewRomanPSMT" w:eastAsia="TimesNewRomanPSMT"/>
                <w:b w:val="0"/>
                <w:i w:val="0"/>
                <w:color w:val="000000"/>
                <w:sz w:val="24"/>
              </w:rPr>
              <w:t>influenţa</w:t>
            </w:r>
          </w:p>
        </w:tc>
      </w:tr>
    </w:tbl>
    <w:p>
      <w:pPr>
        <w:autoSpaceDN w:val="0"/>
        <w:autoSpaceDE w:val="0"/>
        <w:widowControl/>
        <w:spacing w:line="272" w:lineRule="exact" w:before="0" w:after="0"/>
        <w:ind w:left="0"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biocenoză microbiologică (paraziți, helminți, viruși și bacterii) pe homeostazie complexă și selectivă.</w:t>
      </w:r>
    </w:p>
    <w:p>
      <w:pPr>
        <w:autoSpaceDN w:val="0"/>
        <w:tabs>
          <w:tab w:pos="376" w:val="left"/>
        </w:tabs>
        <w:autoSpaceDE w:val="0"/>
        <w:widowControl/>
        <w:spacing w:line="276" w:lineRule="exact" w:before="0" w:after="6"/>
        <w:ind w:left="0"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5. Determinarea echilibrului endoecologic al stării acido-bazice a elementelor tisulare.</w:t>
      </w:r>
    </w:p>
    <w:tbl>
      <w:tblPr>
        <w:tblW w:type="auto" w:w="0"/>
        <w:tblLayout w:type="fixed"/>
        <w:tblLook w:firstColumn="1" w:firstRow="1" w:lastColumn="0" w:lastRow="0" w:noHBand="0" w:noVBand="1" w:val="04A0"/>
        <w:tblInd w:w="184.00000000000006" w:type="dxa"/>
      </w:tblPr>
      <w:tblGrid>
        <w:gridCol w:w="1239"/>
        <w:gridCol w:w="1239"/>
        <w:gridCol w:w="1239"/>
        <w:gridCol w:w="1239"/>
        <w:gridCol w:w="1239"/>
        <w:gridCol w:w="1239"/>
        <w:gridCol w:w="1239"/>
        <w:gridCol w:w="1239"/>
      </w:tblGrid>
      <w:tr>
        <w:trPr>
          <w:trHeight w:hRule="exact" w:val="274"/>
        </w:trPr>
        <w:tc>
          <w:tcPr>
            <w:tcW w:type="dxa" w:w="520"/>
            <w:tcMar>
              <w:start w:w="0" w:type="dxa"/>
              <w:end w:w="0" w:type="dxa"/>
            </w:tcMar>
          </w:tcPr>
          <w:p>
            <w:pPr>
              <w:autoSpaceDN w:val="0"/>
              <w:autoSpaceDE w:val="0"/>
              <w:widowControl/>
              <w:spacing w:line="266" w:lineRule="exact" w:before="4" w:after="0"/>
              <w:ind w:left="0" w:right="88" w:firstLine="0"/>
              <w:jc w:val="right"/>
            </w:pPr>
            <w:r>
              <w:rPr>
                <w:rFonts w:ascii="TimesNewRomanPSMT" w:hAnsi="TimesNewRomanPSMT" w:eastAsia="TimesNewRomanPSMT"/>
                <w:b w:val="0"/>
                <w:i w:val="0"/>
                <w:color w:val="000000"/>
                <w:sz w:val="24"/>
              </w:rPr>
              <w:t xml:space="preserve">6. </w:t>
            </w:r>
          </w:p>
        </w:tc>
        <w:tc>
          <w:tcPr>
            <w:tcW w:type="dxa" w:w="18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Utilizare</w:t>
            </w:r>
          </w:p>
        </w:tc>
        <w:tc>
          <w:tcPr>
            <w:tcW w:type="dxa" w:w="13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referinţă</w:t>
            </w:r>
          </w:p>
        </w:tc>
        <w:tc>
          <w:tcPr>
            <w:tcW w:type="dxa" w:w="6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баз </w:t>
            </w:r>
          </w:p>
        </w:tc>
        <w:tc>
          <w:tcPr>
            <w:tcW w:type="dxa" w:w="14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droguri</w:t>
            </w:r>
          </w:p>
        </w:tc>
        <w:tc>
          <w:tcPr>
            <w:tcW w:type="dxa" w:w="6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для </w:t>
            </w:r>
          </w:p>
        </w:tc>
        <w:tc>
          <w:tcPr>
            <w:tcW w:type="dxa" w:w="17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vegetativ</w:t>
            </w:r>
          </w:p>
        </w:tc>
        <w:tc>
          <w:tcPr>
            <w:tcW w:type="dxa" w:w="1620"/>
            <w:tcMar>
              <w:start w:w="0" w:type="dxa"/>
              <w:end w:w="0" w:type="dxa"/>
            </w:tcMar>
          </w:tcPr>
          <w:p>
            <w:pPr>
              <w:autoSpaceDN w:val="0"/>
              <w:autoSpaceDE w:val="0"/>
              <w:widowControl/>
              <w:spacing w:line="266" w:lineRule="exact" w:before="4" w:after="0"/>
              <w:ind w:left="116" w:right="0" w:firstLine="0"/>
              <w:jc w:val="left"/>
            </w:pPr>
            <w:r>
              <w:rPr>
                <w:rFonts w:ascii="TimesNewRomanPSMT" w:hAnsi="TimesNewRomanPSMT" w:eastAsia="TimesNewRomanPSMT"/>
                <w:b w:val="0"/>
                <w:i w:val="0"/>
                <w:color w:val="000000"/>
                <w:sz w:val="24"/>
              </w:rPr>
              <w:t>testare,</w:t>
            </w:r>
          </w:p>
        </w:tc>
      </w:tr>
    </w:tbl>
    <w:p>
      <w:pPr>
        <w:autoSpaceDN w:val="0"/>
        <w:autoSpaceDE w:val="0"/>
        <w:widowControl/>
        <w:spacing w:line="274"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selecția individuală a îmbunătățirii cuprinzătoare și consecvente a sănătății, folosind nutrienți activi biologic, ținând cont de starea individuală a sănătății umane și de compatibilitatea medicamentelor între ele.</w:t>
      </w:r>
    </w:p>
    <w:p>
      <w:pPr>
        <w:autoSpaceDN w:val="0"/>
        <w:tabs>
          <w:tab w:pos="376" w:val="left"/>
        </w:tabs>
        <w:autoSpaceDE w:val="0"/>
        <w:widowControl/>
        <w:spacing w:line="276" w:lineRule="exact" w:before="0" w:after="0"/>
        <w:ind w:left="0"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7. Salvarea unei baze de date a cercetărilor efectuate pe suporturi electronice și de hârtie.</w:t>
      </w:r>
    </w:p>
    <w:p>
      <w:pPr>
        <w:autoSpaceDN w:val="0"/>
        <w:autoSpaceDE w:val="0"/>
        <w:widowControl/>
        <w:spacing w:line="276" w:lineRule="exact" w:before="280" w:after="0"/>
        <w:ind w:left="0" w:right="0" w:firstLine="0"/>
        <w:jc w:val="left"/>
      </w:pPr>
      <w:r>
        <w:rPr>
          <w:rFonts w:ascii="Times New Roman" w:hAnsi="Times New Roman" w:eastAsia="Times New Roman"/>
          <w:b/>
          <w:i w:val="0"/>
          <w:color w:val="000000"/>
          <w:sz w:val="24"/>
        </w:rPr>
      </w:r>
      <w:r>
        <w:rPr>
          <w:rFonts w:ascii="Times New Roman" w:hAnsi="Times New Roman" w:eastAsia="Times New Roman"/>
          <w:b/>
          <w:i w:val="0"/>
          <w:color w:val="000000"/>
          <w:sz w:val="24"/>
        </w:rPr>
      </w:r>
      <w:r>
        <w:rPr>
          <w:b/>
        </w:rPr>
        <w:t>Secțiunea 4: NTAC.</w:t>
      </w:r>
      <w:r>
        <w:rPr>
          <w:b w:val="0"/>
        </w:rPr>
        <w:t xml:space="preserve"> Sistem informatic expert de diagnosticare pentru determinarea modificărilor stării fiziologice a corpului uman.</w:t>
      </w:r>
    </w:p>
    <w:p>
      <w:pPr>
        <w:autoSpaceDN w:val="0"/>
        <w:autoSpaceDE w:val="0"/>
        <w:widowControl/>
        <w:spacing w:line="274" w:lineRule="exact" w:before="0" w:after="6"/>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Secțiunea este destinată efectuării analizei screening neinvazive, termovasculare, a modificărilor hemodinamicii, prin înregistrarea radiației infraroșii a temperaturilor de suprafață a pielii umane, în șase ramuri de topografie.</w:t>
      </w:r>
    </w:p>
    <w:tbl>
      <w:tblPr>
        <w:tblW w:type="auto" w:w="0"/>
        <w:tblLayout w:type="fixed"/>
        <w:tblLook w:firstColumn="1" w:firstRow="1" w:lastColumn="0" w:lastRow="0" w:noHBand="0" w:noVBand="1" w:val="04A0"/>
        <w:tblInd w:w="0.0" w:type="dxa"/>
      </w:tblPr>
      <w:tblGrid>
        <w:gridCol w:w="1653"/>
        <w:gridCol w:w="1653"/>
        <w:gridCol w:w="1653"/>
        <w:gridCol w:w="1653"/>
        <w:gridCol w:w="1653"/>
        <w:gridCol w:w="1653"/>
      </w:tblGrid>
      <w:tr>
        <w:trPr>
          <w:trHeight w:hRule="exact" w:val="274"/>
        </w:trPr>
        <w:tc>
          <w:tcPr>
            <w:tcW w:type="dxa" w:w="1804"/>
            <w:tcMar>
              <w:start w:w="0" w:type="dxa"/>
              <w:end w:w="0" w:type="dxa"/>
            </w:tcMar>
          </w:tcPr>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t>anatomic</w:t>
            </w:r>
          </w:p>
        </w:tc>
        <w:tc>
          <w:tcPr>
            <w:tcW w:type="dxa" w:w="17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locaţie</w:t>
            </w:r>
          </w:p>
        </w:tc>
        <w:tc>
          <w:tcPr>
            <w:tcW w:type="dxa" w:w="18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arterial</w:t>
            </w:r>
          </w:p>
        </w:tc>
        <w:tc>
          <w:tcPr>
            <w:tcW w:type="dxa" w:w="9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canale,</w:t>
            </w:r>
          </w:p>
        </w:tc>
        <w:tc>
          <w:tcPr>
            <w:tcW w:type="dxa" w:w="21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caracterizarea</w:t>
            </w:r>
          </w:p>
        </w:tc>
        <w:tc>
          <w:tcPr>
            <w:tcW w:type="dxa" w:w="1440"/>
            <w:tcMar>
              <w:start w:w="0" w:type="dxa"/>
              <w:end w:w="0" w:type="dxa"/>
            </w:tcMar>
          </w:tcPr>
          <w:p>
            <w:pPr>
              <w:autoSpaceDN w:val="0"/>
              <w:autoSpaceDE w:val="0"/>
              <w:widowControl/>
              <w:spacing w:line="266" w:lineRule="exact" w:before="4" w:after="0"/>
              <w:ind w:left="126" w:right="0" w:firstLine="0"/>
              <w:jc w:val="left"/>
            </w:pPr>
            <w:r>
              <w:rPr>
                <w:rFonts w:ascii="TimesNewRomanPSMT" w:hAnsi="TimesNewRomanPSMT" w:eastAsia="TimesNewRomanPSMT"/>
                <w:b w:val="0"/>
                <w:i w:val="0"/>
                <w:color w:val="000000"/>
                <w:sz w:val="24"/>
              </w:rPr>
              <w:t>relaţie</w:t>
            </w:r>
          </w:p>
        </w:tc>
      </w:tr>
    </w:tbl>
    <w:p>
      <w:pPr>
        <w:autoSpaceDN w:val="0"/>
        <w:autoSpaceDE w:val="0"/>
        <w:widowControl/>
        <w:spacing w:line="266" w:lineRule="exact" w:before="6" w:after="0"/>
        <w:ind w:left="0" w:right="0" w:firstLine="0"/>
        <w:jc w:val="left"/>
      </w:pPr>
      <w:r>
        <w:rPr>
          <w:rFonts w:ascii="TimesNewRomanPSMT" w:hAnsi="TimesNewRomanPSMT" w:eastAsia="TimesNewRomanPSMT"/>
          <w:b w:val="0"/>
          <w:i w:val="0"/>
          <w:color w:val="000000"/>
          <w:sz w:val="24"/>
        </w:rPr>
      </w:r>
      <w:r>
        <w:rPr>
          <w:b w:val="0"/>
        </w:rPr>
        <w:t>sistemele cardiorespiratorii și termovasculare ale corpului.</w:t>
      </w:r>
    </w:p>
    <w:p>
      <w:pPr>
        <w:autoSpaceDN w:val="0"/>
        <w:autoSpaceDE w:val="0"/>
        <w:widowControl/>
        <w:spacing w:line="220" w:lineRule="exact" w:before="0" w:after="0"/>
        <w:ind w:left="0" w:right="0"/>
      </w:pPr>
    </w:p>
    <w:p>
      <w:pPr>
        <w:autoSpaceDN w:val="0"/>
        <w:autoSpaceDE w:val="0"/>
        <w:widowControl/>
        <w:spacing w:line="266" w:lineRule="exact" w:before="0" w:after="16"/>
        <w:ind w:left="708" w:right="0" w:firstLine="0"/>
        <w:jc w:val="left"/>
      </w:pPr>
      <w:r>
        <w:rPr>
          <w:rFonts w:ascii="TimesNewRomanPSMT" w:hAnsi="TimesNewRomanPSMT" w:eastAsia="TimesNewRomanPSMT"/>
          <w:b w:val="0"/>
          <w:i w:val="0"/>
          <w:color w:val="000000"/>
          <w:sz w:val="24"/>
        </w:rPr>
      </w:r>
      <w:r>
        <w:rPr>
          <w:b w:val="0"/>
        </w:rPr>
        <w:t>Cercetarea din secțiunea „NTAC” este destinată:</w:t>
      </w:r>
    </w:p>
    <w:tbl>
      <w:tblPr>
        <w:tblW w:type="auto" w:w="0"/>
        <w:tblLayout w:type="fixed"/>
        <w:tblLook w:firstColumn="1" w:firstRow="1" w:lastColumn="0" w:lastRow="0" w:noHBand="0" w:noVBand="1" w:val="04A0"/>
        <w:tblInd w:w="0.0" w:type="dxa"/>
      </w:tblPr>
      <w:tblGrid>
        <w:gridCol w:w="4958"/>
        <w:gridCol w:w="4958"/>
      </w:tblGrid>
      <w:tr>
        <w:trPr>
          <w:trHeight w:hRule="exact" w:val="2954"/>
        </w:trPr>
        <w:tc>
          <w:tcPr>
            <w:tcW w:type="dxa" w:w="404"/>
            <w:tcMar>
              <w:start w:w="0" w:type="dxa"/>
              <w:end w:w="0" w:type="dxa"/>
            </w:tcMar>
          </w:tcPr>
          <w:p>
            <w:pPr>
              <w:autoSpaceDN w:val="0"/>
              <w:autoSpaceDE w:val="0"/>
              <w:widowControl/>
              <w:spacing w:line="292" w:lineRule="exact" w:before="12" w:after="0"/>
              <w:ind w:left="0" w:right="288" w:firstLine="0"/>
              <w:jc w:val="left"/>
            </w:pPr>
            <w:r>
              <w:rPr>
                <w:rFonts w:ascii="Microsoft Sans Serif" w:hAnsi="Microsoft Sans Serif" w:eastAsia="Microsoft Sans Serif"/>
                <w:b w:val="0"/>
                <w:i w:val="0"/>
                <w:color w:val="000000"/>
                <w:sz w:val="18"/>
              </w:rPr>
              <w:t>―</w:t>
            </w:r>
            <w:r>
              <w:br/>
            </w:r>
            <w:r>
              <w:rPr>
                <w:rFonts w:ascii="Microsoft Sans Serif" w:hAnsi="Microsoft Sans Serif" w:eastAsia="Microsoft Sans Serif"/>
                <w:b w:val="0"/>
                <w:i w:val="0"/>
                <w:color w:val="000000"/>
                <w:sz w:val="18"/>
              </w:rPr>
              <w:t>―</w:t>
            </w:r>
          </w:p>
          <w:p>
            <w:pPr>
              <w:autoSpaceDN w:val="0"/>
              <w:autoSpaceDE w:val="0"/>
              <w:widowControl/>
              <w:spacing w:line="292" w:lineRule="exact" w:before="280" w:after="0"/>
              <w:ind w:left="0" w:right="288" w:firstLine="0"/>
              <w:jc w:val="left"/>
            </w:pPr>
            <w:r>
              <w:rPr>
                <w:rFonts w:ascii="Microsoft Sans Serif" w:hAnsi="Microsoft Sans Serif" w:eastAsia="Microsoft Sans Serif"/>
                <w:b w:val="0"/>
                <w:i w:val="0"/>
                <w:color w:val="000000"/>
                <w:sz w:val="18"/>
              </w:rPr>
              <w:t>―</w:t>
            </w:r>
            <w:r>
              <w:br/>
            </w:r>
            <w:r>
              <w:rPr>
                <w:rFonts w:ascii="Microsoft Sans Serif" w:hAnsi="Microsoft Sans Serif" w:eastAsia="Microsoft Sans Serif"/>
                <w:b w:val="0"/>
                <w:i w:val="0"/>
                <w:color w:val="000000"/>
                <w:sz w:val="18"/>
              </w:rPr>
              <w:t>―</w:t>
            </w:r>
          </w:p>
          <w:p>
            <w:pPr>
              <w:autoSpaceDN w:val="0"/>
              <w:autoSpaceDE w:val="0"/>
              <w:widowControl/>
              <w:spacing w:line="202" w:lineRule="exact" w:before="366" w:after="0"/>
              <w:ind w:left="0" w:right="0" w:firstLine="0"/>
              <w:jc w:val="left"/>
            </w:pPr>
            <w:r>
              <w:rPr>
                <w:rFonts w:ascii="Microsoft Sans Serif" w:hAnsi="Microsoft Sans Serif" w:eastAsia="Microsoft Sans Serif"/>
                <w:b w:val="0"/>
                <w:i w:val="0"/>
                <w:color w:val="000000"/>
                <w:sz w:val="18"/>
              </w:rPr>
              <w:t>―</w:t>
            </w:r>
          </w:p>
          <w:p>
            <w:pPr>
              <w:autoSpaceDN w:val="0"/>
              <w:autoSpaceDE w:val="0"/>
              <w:widowControl/>
              <w:spacing w:line="294" w:lineRule="exact" w:before="278" w:after="0"/>
              <w:ind w:left="0" w:right="288" w:firstLine="0"/>
              <w:jc w:val="left"/>
            </w:pPr>
            <w:r>
              <w:rPr>
                <w:rFonts w:ascii="Microsoft Sans Serif" w:hAnsi="Microsoft Sans Serif" w:eastAsia="Microsoft Sans Serif"/>
                <w:b w:val="0"/>
                <w:i w:val="0"/>
                <w:color w:val="000000"/>
                <w:sz w:val="18"/>
              </w:rPr>
              <w:t>―</w:t>
            </w:r>
            <w:r>
              <w:br/>
            </w:r>
            <w:r>
              <w:rPr>
                <w:rFonts w:ascii="Microsoft Sans Serif" w:hAnsi="Microsoft Sans Serif" w:eastAsia="Microsoft Sans Serif"/>
                <w:b w:val="0"/>
                <w:i w:val="0"/>
                <w:color w:val="000000"/>
                <w:sz w:val="18"/>
              </w:rPr>
              <w:t>―</w:t>
            </w:r>
          </w:p>
        </w:tc>
        <w:tc>
          <w:tcPr>
            <w:tcW w:type="dxa" w:w="9500"/>
            <w:tcMar>
              <w:start w:w="0" w:type="dxa"/>
              <w:end w:w="0" w:type="dxa"/>
            </w:tcMar>
          </w:tcPr>
          <w:p>
            <w:pPr>
              <w:autoSpaceDN w:val="0"/>
              <w:autoSpaceDE w:val="0"/>
              <w:widowControl/>
              <w:spacing w:line="286" w:lineRule="exact" w:before="0" w:after="0"/>
              <w:ind w:left="304" w:right="0" w:firstLine="0"/>
              <w:jc w:val="left"/>
            </w:pPr>
            <w:r>
              <w:rPr>
                <w:rFonts w:ascii="TimesNewRomanPSMT" w:hAnsi="TimesNewRomanPSMT" w:eastAsia="TimesNewRomanPSMT"/>
                <w:b w:val="0"/>
                <w:i w:val="0"/>
                <w:color w:val="000000"/>
                <w:sz w:val="24"/>
              </w:rPr>
              <w:t>analiză automată de screening expert a compoziției sângelui;</w:t>
            </w:r>
            <w:r>
              <w:br/>
            </w:r>
            <w:r>
              <w:rPr>
                <w:rFonts w:ascii="TimesNewRomanPSMT" w:hAnsi="TimesNewRomanPSMT" w:eastAsia="TimesNewRomanPSMT"/>
                <w:b w:val="0"/>
                <w:i w:val="0"/>
                <w:color w:val="000000"/>
                <w:sz w:val="24"/>
              </w:rPr>
              <w:t>determinarea stării metabolismului electrolitic în plasma sanguină și transportul oxigenului</w:t>
            </w:r>
            <w:r>
              <w:rPr>
                <w:rFonts w:ascii="TimesNewRomanPSMT" w:hAnsi="TimesNewRomanPSMT" w:eastAsia="TimesNewRomanPSMT"/>
                <w:b w:val="0"/>
                <w:i w:val="0"/>
                <w:color w:val="000000"/>
                <w:sz w:val="24"/>
              </w:rPr>
              <w:t>sânge;</w:t>
            </w:r>
            <w:r>
              <w:br/>
            </w:r>
            <w:r>
              <w:rPr>
                <w:rFonts w:ascii="TimesNewRomanPSMT" w:hAnsi="TimesNewRomanPSMT" w:eastAsia="TimesNewRomanPSMT"/>
                <w:b w:val="0"/>
                <w:i w:val="0"/>
                <w:color w:val="000000"/>
                <w:sz w:val="24"/>
              </w:rPr>
              <w:t>determinarea stării relative de secreție a sistemelor interne ale corpului;</w:t>
            </w:r>
            <w:r>
              <w:rPr>
                <w:rFonts w:ascii="TimesNewRomanPSMT" w:hAnsi="TimesNewRomanPSMT" w:eastAsia="TimesNewRomanPSMT"/>
                <w:b w:val="0"/>
                <w:i w:val="0"/>
                <w:color w:val="000000"/>
                <w:sz w:val="24"/>
              </w:rPr>
              <w:t>identificarea abaterilor în compoziția cantitativă a parametrilor clinici și biochimici</w:t>
            </w:r>
            <w:r>
              <w:rPr>
                <w:rFonts w:ascii="TimesNewRomanPSMT" w:hAnsi="TimesNewRomanPSMT" w:eastAsia="TimesNewRomanPSMT"/>
                <w:b w:val="0"/>
                <w:i w:val="0"/>
                <w:color w:val="000000"/>
                <w:sz w:val="24"/>
              </w:rPr>
              <w:t>sânge;</w:t>
            </w:r>
            <w:r>
              <w:br/>
            </w:r>
            <w:r>
              <w:rPr>
                <w:rFonts w:ascii="TimesNewRomanPSMT" w:hAnsi="TimesNewRomanPSMT" w:eastAsia="TimesNewRomanPSMT"/>
                <w:b w:val="0"/>
                <w:i w:val="0"/>
                <w:color w:val="000000"/>
                <w:sz w:val="24"/>
              </w:rPr>
              <w:t>identificarea abaterilor în compoziția cantitativă a sângelui periferic, cu calculul</w:t>
            </w:r>
            <w:r>
              <w:rPr>
                <w:rFonts w:ascii="TimesNewRomanPSMT" w:hAnsi="TimesNewRomanPSMT" w:eastAsia="TimesNewRomanPSMT"/>
                <w:b w:val="0"/>
                <w:i w:val="0"/>
                <w:color w:val="000000"/>
                <w:sz w:val="24"/>
              </w:rPr>
              <w:t>formula leucocitară;</w:t>
            </w:r>
            <w:r>
              <w:br/>
            </w:r>
            <w:r>
              <w:rPr>
                <w:rFonts w:ascii="TimesNewRomanPSMT" w:hAnsi="TimesNewRomanPSMT" w:eastAsia="TimesNewRomanPSMT"/>
                <w:b w:val="0"/>
                <w:i w:val="0"/>
                <w:color w:val="000000"/>
                <w:sz w:val="24"/>
              </w:rPr>
              <w:t>prezicerea posibilelor boli;</w:t>
            </w:r>
            <w:r>
              <w:br/>
            </w:r>
            <w:r>
              <w:rPr>
                <w:rFonts w:ascii="TimesNewRomanPSMT" w:hAnsi="TimesNewRomanPSMT" w:eastAsia="TimesNewRomanPSMT"/>
                <w:b w:val="0"/>
                <w:i w:val="0"/>
                <w:color w:val="000000"/>
                <w:sz w:val="24"/>
              </w:rPr>
              <w:t>Monitorizarea HRV (variabilitatea ritmului cardiac).</w:t>
            </w:r>
          </w:p>
        </w:tc>
      </w:tr>
    </w:tbl>
    <w:p>
      <w:pPr>
        <w:autoSpaceDN w:val="0"/>
        <w:autoSpaceDE w:val="0"/>
        <w:widowControl/>
        <w:spacing w:line="274" w:lineRule="exact" w:before="478" w:after="0"/>
        <w:ind w:left="720" w:right="720" w:firstLine="0"/>
        <w:jc w:val="center"/>
      </w:pPr>
      <w:r>
        <w:rPr>
          <w:rFonts w:ascii="Times New Roman" w:hAnsi="Times New Roman" w:eastAsia="Times New Roman"/>
          <w:b/>
          <w:i w:val="0"/>
          <w:color w:val="000000"/>
          <w:sz w:val="24"/>
        </w:rPr>
      </w:r>
      <w:r>
        <w:rPr>
          <w:rFonts w:ascii="Times New Roman" w:hAnsi="Times New Roman" w:eastAsia="Times New Roman"/>
          <w:b/>
          <w:i w:val="0"/>
          <w:color w:val="000000"/>
          <w:sz w:val="24"/>
        </w:rPr>
      </w:r>
      <w:r>
        <w:rPr>
          <w:b/>
        </w:rPr>
        <w:t>RELEVANȚA TEHNOLOGIEI MEDICALE ÎN ASISTENȚA PRACTICĂ A SĂNĂTĂȚII.</w:t>
      </w:r>
    </w:p>
    <w:p>
      <w:pPr>
        <w:autoSpaceDN w:val="0"/>
        <w:autoSpaceDE w:val="0"/>
        <w:widowControl/>
        <w:spacing w:line="276" w:lineRule="exact" w:before="276"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acest moment, problemele evaluării în timp util a stării obiective de sănătate prin metode neinvazive, precum și corecția dinamică în timp util a modificărilor patologice identificate, în ambulatoriu și în spitale, reprezintă o sarcină extrem de relevantă în cadrul Proiectului național: Protejarea sănătății Națiunii. Obiectivizarea stării de sănătate a majorității oamenilor necesită dezvoltarea de noi aspecte metodologice ale studiilor de screening de sănătate și corecția dinamică atunci când sunt detectate abateri în funcționarea normală a corpului pacientului.</w:t>
      </w:r>
    </w:p>
    <w:p>
      <w:pPr>
        <w:autoSpaceDN w:val="0"/>
        <w:autoSpaceDE w:val="0"/>
        <w:widowControl/>
        <w:spacing w:line="276" w:lineRule="exact" w:before="0" w:after="4"/>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u w:val="single"/>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Comparativ, cu tehnologiile de diagnostic disponibile în medicina practică, în Rusia și în străinătate, acestea nu permit obținerea de informații obiective asupra stării de sănătate holistice a unui pacient sau sportiv într-o perioadă scurtă de timp în două direcții simultan: 1). Studiul modificărilor structurale ale organelor și sistemelor corpului; 2). Evaluarea stării funcționale a organelor și a mecanismelor de autoreglare. Mai precis, se cere</w:t>
      </w:r>
    </w:p>
    <w:tbl>
      <w:tblPr>
        <w:tblW w:type="auto" w:w="0"/>
        <w:tblLayout w:type="fixed"/>
        <w:tblLook w:firstColumn="1" w:firstRow="1" w:lastColumn="0" w:lastRow="0" w:noHBand="0" w:noVBand="1" w:val="04A0"/>
        <w:tblInd w:w="0.0" w:type="dxa"/>
      </w:tblPr>
      <w:tblGrid>
        <w:gridCol w:w="1653"/>
        <w:gridCol w:w="1653"/>
        <w:gridCol w:w="1653"/>
        <w:gridCol w:w="1653"/>
        <w:gridCol w:w="1653"/>
        <w:gridCol w:w="1653"/>
      </w:tblGrid>
      <w:tr>
        <w:trPr>
          <w:trHeight w:hRule="exact" w:val="276"/>
        </w:trPr>
        <w:tc>
          <w:tcPr>
            <w:tcW w:type="dxa" w:w="1264"/>
            <w:tcMar>
              <w:start w:w="0" w:type="dxa"/>
              <w:end w:w="0" w:type="dxa"/>
            </w:tcMar>
          </w:tcPr>
          <w:p>
            <w:pPr>
              <w:autoSpaceDN w:val="0"/>
              <w:autoSpaceDE w:val="0"/>
              <w:widowControl/>
              <w:spacing w:line="266" w:lineRule="exact" w:before="6" w:after="0"/>
              <w:ind w:left="0" w:right="0" w:firstLine="0"/>
              <w:jc w:val="left"/>
            </w:pPr>
            <w:r>
              <w:rPr>
                <w:rFonts w:ascii="TimesNewRomanPSMT" w:hAnsi="TimesNewRomanPSMT" w:eastAsia="TimesNewRomanPSMT"/>
                <w:b w:val="0"/>
                <w:i w:val="0"/>
                <w:color w:val="000000"/>
                <w:sz w:val="24"/>
              </w:rPr>
              <w:t>echipamente</w:t>
            </w:r>
          </w:p>
        </w:tc>
        <w:tc>
          <w:tcPr>
            <w:tcW w:type="dxa" w:w="212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diagnostic</w:t>
            </w:r>
          </w:p>
        </w:tc>
        <w:tc>
          <w:tcPr>
            <w:tcW w:type="dxa" w:w="11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cabinetul</w:t>
            </w:r>
          </w:p>
        </w:tc>
        <w:tc>
          <w:tcPr>
            <w:tcW w:type="dxa" w:w="162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mai multe</w:t>
            </w:r>
          </w:p>
        </w:tc>
        <w:tc>
          <w:tcPr>
            <w:tcW w:type="dxa" w:w="21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diagnostic</w:t>
            </w:r>
          </w:p>
        </w:tc>
        <w:tc>
          <w:tcPr>
            <w:tcW w:type="dxa" w:w="1540"/>
            <w:tcMar>
              <w:start w:w="0" w:type="dxa"/>
              <w:end w:w="0" w:type="dxa"/>
            </w:tcMar>
          </w:tcPr>
          <w:p>
            <w:pPr>
              <w:autoSpaceDN w:val="0"/>
              <w:autoSpaceDE w:val="0"/>
              <w:widowControl/>
              <w:spacing w:line="266" w:lineRule="exact" w:before="6" w:after="0"/>
              <w:ind w:left="114" w:right="0" w:firstLine="0"/>
              <w:jc w:val="left"/>
            </w:pPr>
            <w:r>
              <w:rPr>
                <w:rFonts w:ascii="TimesNewRomanPSMT" w:hAnsi="TimesNewRomanPSMT" w:eastAsia="TimesNewRomanPSMT"/>
                <w:b w:val="0"/>
                <w:i w:val="0"/>
                <w:color w:val="000000"/>
                <w:sz w:val="24"/>
              </w:rPr>
              <w:t>instalatii,</w:t>
            </w:r>
          </w:p>
        </w:tc>
      </w:tr>
    </w:tbl>
    <w:p>
      <w:pPr>
        <w:autoSpaceDN w:val="0"/>
        <w:autoSpaceDE w:val="0"/>
        <w:widowControl/>
        <w:spacing w:line="276"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de exemplu, scanere cu ultrasunete, FGDS, Dopplerografie, ECG, analize de sânge prin metode standard, folosind consumabile suplimentare și resurse de muncă ale specialiștilor capabili să analizeze informațiile primite din mai multe etape ale studiului pacientului.</w:t>
      </w:r>
    </w:p>
    <w:p>
      <w:pPr>
        <w:autoSpaceDN w:val="0"/>
        <w:autoSpaceDE w:val="0"/>
        <w:widowControl/>
        <w:spacing w:line="276" w:lineRule="exact" w:before="0" w:after="4"/>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O metodă promițătoare, obiectivă și neinvazivă pentru cercetarea obiectivă a sănătății, atât a tulburărilor funcționale, cât și structurale, este o nouă tehnologie medicală pentru evaluarea screening a bolilor somatice umane cu</w:t>
      </w:r>
    </w:p>
    <w:tbl>
      <w:tblPr>
        <w:tblW w:type="auto" w:w="0"/>
        <w:tblLayout w:type="fixed"/>
        <w:tblLook w:firstColumn="1" w:firstRow="1" w:lastColumn="0" w:lastRow="0" w:noHBand="0" w:noVBand="1" w:val="04A0"/>
        <w:tblInd w:w="0.0" w:type="dxa"/>
      </w:tblPr>
      <w:tblGrid>
        <w:gridCol w:w="1653"/>
        <w:gridCol w:w="1653"/>
        <w:gridCol w:w="1653"/>
        <w:gridCol w:w="1653"/>
        <w:gridCol w:w="1653"/>
        <w:gridCol w:w="1653"/>
      </w:tblGrid>
      <w:tr>
        <w:trPr>
          <w:trHeight w:hRule="exact" w:val="278"/>
        </w:trPr>
        <w:tc>
          <w:tcPr>
            <w:tcW w:type="dxa" w:w="1844"/>
            <w:tcMar>
              <w:start w:w="0" w:type="dxa"/>
              <w:end w:w="0" w:type="dxa"/>
            </w:tcMar>
          </w:tcPr>
          <w:p>
            <w:pPr>
              <w:autoSpaceDN w:val="0"/>
              <w:autoSpaceDE w:val="0"/>
              <w:widowControl/>
              <w:spacing w:line="266" w:lineRule="exact" w:before="6" w:after="0"/>
              <w:ind w:left="0" w:right="0" w:firstLine="0"/>
              <w:jc w:val="left"/>
            </w:pPr>
            <w:r>
              <w:rPr>
                <w:rFonts w:ascii="TimesNewRomanPSMT" w:hAnsi="TimesNewRomanPSMT" w:eastAsia="TimesNewRomanPSMT"/>
                <w:b w:val="0"/>
                <w:i w:val="0"/>
                <w:color w:val="000000"/>
                <w:sz w:val="24"/>
              </w:rPr>
              <w:t>folosind</w:t>
            </w:r>
          </w:p>
        </w:tc>
        <w:tc>
          <w:tcPr>
            <w:tcW w:type="dxa" w:w="28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hardware și software</w:t>
            </w:r>
          </w:p>
        </w:tc>
        <w:tc>
          <w:tcPr>
            <w:tcW w:type="dxa" w:w="13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complex</w:t>
            </w:r>
          </w:p>
        </w:tc>
        <w:tc>
          <w:tcPr>
            <w:tcW w:type="dxa" w:w="20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„VALEOSKAN”,</w:t>
            </w:r>
          </w:p>
        </w:tc>
        <w:tc>
          <w:tcPr>
            <w:tcW w:type="dxa" w:w="42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 xml:space="preserve">в </w:t>
            </w:r>
          </w:p>
        </w:tc>
        <w:tc>
          <w:tcPr>
            <w:tcW w:type="dxa" w:w="1300"/>
            <w:tcMar>
              <w:start w:w="0" w:type="dxa"/>
              <w:end w:w="0" w:type="dxa"/>
            </w:tcMar>
          </w:tcPr>
          <w:p>
            <w:pPr>
              <w:autoSpaceDN w:val="0"/>
              <w:autoSpaceDE w:val="0"/>
              <w:widowControl/>
              <w:spacing w:line="266" w:lineRule="exact" w:before="6" w:after="0"/>
              <w:ind w:left="132" w:right="0" w:firstLine="0"/>
              <w:jc w:val="left"/>
            </w:pPr>
            <w:r>
              <w:rPr>
                <w:rFonts w:ascii="TimesNewRomanPSMT" w:hAnsi="TimesNewRomanPSMT" w:eastAsia="TimesNewRomanPSMT"/>
                <w:b w:val="0"/>
                <w:i w:val="0"/>
                <w:color w:val="000000"/>
                <w:sz w:val="24"/>
              </w:rPr>
              <w:t>diverse</w:t>
            </w:r>
          </w:p>
        </w:tc>
      </w:tr>
    </w:tbl>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r>
      <w:r>
        <w:rPr>
          <w:b w:val="0"/>
        </w:rPr>
        <w:t>modificări.</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Noua tehnologie medicală face posibilă rezolvarea problemelor de diagnosticare precoce a unui număr mare de boli, inclusiv a celor dificil de diagnosticat, care nu a fost încă implementată de alte complexe de diagnostic.</w:t>
      </w:r>
    </w:p>
    <w:p>
      <w:pPr>
        <w:autoSpaceDN w:val="0"/>
        <w:autoSpaceDE w:val="0"/>
        <w:widowControl/>
        <w:spacing w:line="276" w:lineRule="exact" w:before="0" w:after="0"/>
        <w:ind w:left="0" w:right="0" w:firstLine="708"/>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Pentru perioada actuală de timp, complexul hardware și software include patru secțiuni de diagnosticare și corectare, larg informative, care permit unei metode non-invazive, cu economii maxime de timp ale unui specialist, pentru a efectua o căutare de diagnostic diferențial pentru schimbări dinamice ale sănătății cu fiabilitate ridicată. După examinare, dacă este necesar, fără a părăsi camera de procedură și diagnosticare, efectuați corectarea hardware a anomaliilor de sănătate identificate și obiectivați rezultatele studiului și corectării.</w:t>
      </w:r>
    </w:p>
    <w:p>
      <w:pPr>
        <w:autoSpaceDN w:val="0"/>
        <w:tabs>
          <w:tab w:pos="720" w:val="left"/>
        </w:tabs>
        <w:autoSpaceDE w:val="0"/>
        <w:widowControl/>
        <w:spacing w:line="276" w:lineRule="auto" w:before="60" w:after="60"/>
        <w:ind w:left="720" w:right="0" w:firstLine="0"/>
        <w:jc w:val="left"/>
      </w:pPr>
      <w:r>
        <w:rPr>
          <w:rFonts w:ascii="SymbolMT" w:hAnsi="SymbolMT" w:eastAsia="SymbolMT"/>
          <w:b w:val="0"/>
          <w:i w:val="0"/>
          <w:color w:val="000000"/>
          <w:sz w:val="20"/>
        </w:rPr>
      </w:r>
      <w:r/>
      <w:r>
        <w:rPr>
          <w:rFonts w:ascii="TimesNewRomanPSMT" w:hAnsi="TimesNewRomanPSMT" w:eastAsia="TimesNewRomanPSMT"/>
          <w:b w:val="0"/>
          <w:i w:val="0"/>
          <w:color w:val="000000"/>
          <w:sz w:val="24"/>
        </w:rPr>
      </w:r>
      <w:r>
        <w:rPr>
          <w:rFonts w:ascii="SymbolMT" w:hAnsi="SymbolMT" w:eastAsia="SymbolMT"/>
          <w:b w:val="0"/>
          <w:i w:val="0"/>
          <w:color w:val="000000"/>
          <w:sz w:val="20"/>
        </w:rPr>
      </w:r>
      <w:r/>
      <w:r>
        <w:rPr>
          <w:rFonts w:ascii="Times New Roman" w:hAnsi="Times New Roman" w:eastAsia="Times New Roman"/>
          <w:b/>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b w:val="0"/>
          <w:sz w:val="22"/>
        </w:rPr>
        <w:t>• diagnosticul prenosologic al bolilor somatice ale unor grupuri largi de populație; • monitorizarea și evaluarea eficacității tratamentului, reabilitării, sanatoriului și a altor activități recreative;</w:t>
      </w:r>
    </w:p>
    <w:p>
      <w:pPr>
        <w:autoSpaceDN w:val="0"/>
        <w:autoSpaceDE w:val="0"/>
        <w:widowControl/>
        <w:spacing w:line="220" w:lineRule="exact" w:before="0" w:after="0"/>
        <w:ind w:left="0" w:right="0"/>
      </w:pPr>
    </w:p>
    <w:tbl>
      <w:tblPr>
        <w:tblW w:type="auto" w:w="0"/>
        <w:tblLayout w:type="fixed"/>
        <w:tblLook w:firstColumn="1" w:firstRow="1" w:lastColumn="0" w:lastRow="0" w:noHBand="0" w:noVBand="1" w:val="04A0"/>
        <w:tblInd w:w="164.00000000000006" w:type="dxa"/>
      </w:tblPr>
      <w:tblGrid>
        <w:gridCol w:w="1239"/>
        <w:gridCol w:w="1239"/>
        <w:gridCol w:w="1239"/>
        <w:gridCol w:w="1239"/>
        <w:gridCol w:w="1239"/>
        <w:gridCol w:w="1239"/>
        <w:gridCol w:w="1239"/>
        <w:gridCol w:w="1239"/>
      </w:tblGrid>
      <w:tr>
        <w:trPr>
          <w:trHeight w:hRule="exact" w:val="272"/>
        </w:trPr>
        <w:tc>
          <w:tcPr>
            <w:tcW w:type="dxa" w:w="420"/>
            <w:tcMar>
              <w:start w:w="0" w:type="dxa"/>
              <w:end w:w="0" w:type="dxa"/>
            </w:tcMar>
          </w:tcPr>
          <w:p>
            <w:pPr>
              <w:autoSpaceDN w:val="0"/>
              <w:autoSpaceDE w:val="0"/>
              <w:widowControl/>
              <w:spacing w:line="244" w:lineRule="exact" w:before="14" w:after="0"/>
              <w:ind w:left="0" w:right="0" w:firstLine="0"/>
              <w:jc w:val="center"/>
            </w:pPr>
            <w:r>
              <w:rPr>
                <w:rFonts w:ascii="SymbolMT" w:hAnsi="SymbolMT" w:eastAsia="SymbolMT"/>
                <w:b w:val="0"/>
                <w:i w:val="0"/>
                <w:color w:val="000000"/>
                <w:sz w:val="20"/>
              </w:rPr>
              <w:t>•</w:t>
            </w:r>
          </w:p>
        </w:tc>
        <w:tc>
          <w:tcPr>
            <w:tcW w:type="dxa" w:w="1060"/>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i w:val="0"/>
                <w:color w:val="000000"/>
                <w:sz w:val="24"/>
              </w:rPr>
              <w:t>evaluare</w:t>
            </w:r>
          </w:p>
        </w:tc>
        <w:tc>
          <w:tcPr>
            <w:tcW w:type="dxa" w:w="2260"/>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i w:val="0"/>
                <w:color w:val="000000"/>
                <w:sz w:val="24"/>
              </w:rPr>
              <w:t>funcţional</w:t>
            </w:r>
          </w:p>
        </w:tc>
        <w:tc>
          <w:tcPr>
            <w:tcW w:type="dxa" w:w="1360"/>
            <w:tcMar>
              <w:start w:w="0" w:type="dxa"/>
              <w:end w:w="0" w:type="dxa"/>
            </w:tcMar>
          </w:tcPr>
          <w:p>
            <w:pPr>
              <w:autoSpaceDN w:val="0"/>
              <w:autoSpaceDE w:val="0"/>
              <w:widowControl/>
              <w:spacing w:line="266" w:lineRule="exact" w:before="0" w:after="0"/>
              <w:ind w:left="0" w:right="0" w:firstLine="0"/>
              <w:jc w:val="center"/>
            </w:pPr>
            <w:r>
              <w:rPr>
                <w:rFonts w:ascii="Times New Roman" w:hAnsi="Times New Roman" w:eastAsia="Times New Roman"/>
                <w:b/>
                <w:i w:val="0"/>
                <w:color w:val="000000"/>
                <w:sz w:val="24"/>
              </w:rPr>
              <w:t>stat</w:t>
            </w:r>
          </w:p>
        </w:tc>
        <w:tc>
          <w:tcPr>
            <w:tcW w:type="dxa" w:w="440"/>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4"/>
              </w:rPr>
              <w:t xml:space="preserve">и </w:t>
            </w:r>
          </w:p>
        </w:tc>
        <w:tc>
          <w:tcPr>
            <w:tcW w:type="dxa" w:w="1080"/>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4"/>
              </w:rPr>
              <w:t>grade</w:t>
            </w:r>
          </w:p>
        </w:tc>
        <w:tc>
          <w:tcPr>
            <w:tcW w:type="dxa" w:w="1120"/>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4"/>
              </w:rPr>
              <w:t>influenţa</w:t>
            </w:r>
          </w:p>
        </w:tc>
        <w:tc>
          <w:tcPr>
            <w:tcW w:type="dxa" w:w="2000"/>
            <w:tcMar>
              <w:start w:w="0" w:type="dxa"/>
              <w:end w:w="0" w:type="dxa"/>
            </w:tcMar>
          </w:tcPr>
          <w:p>
            <w:pPr>
              <w:autoSpaceDN w:val="0"/>
              <w:autoSpaceDE w:val="0"/>
              <w:widowControl/>
              <w:spacing w:line="266" w:lineRule="exact" w:before="0" w:after="0"/>
              <w:ind w:left="130" w:right="0" w:firstLine="0"/>
              <w:jc w:val="left"/>
            </w:pPr>
            <w:r>
              <w:rPr>
                <w:rFonts w:ascii="TimesNewRomanPSMT" w:hAnsi="TimesNewRomanPSMT" w:eastAsia="TimesNewRomanPSMT"/>
                <w:b w:val="0"/>
                <w:i w:val="0"/>
                <w:color w:val="000000"/>
                <w:sz w:val="24"/>
              </w:rPr>
              <w:t>nefavorabil</w:t>
            </w:r>
          </w:p>
        </w:tc>
      </w:tr>
    </w:tbl>
    <w:p>
      <w:pPr>
        <w:autoSpaceDN w:val="0"/>
        <w:tabs>
          <w:tab w:pos="720" w:val="left"/>
        </w:tabs>
        <w:autoSpaceDE w:val="0"/>
        <w:widowControl/>
        <w:spacing w:line="276" w:lineRule="auto" w:before="60" w:after="60"/>
        <w:ind w:left="720" w:right="0" w:firstLine="0"/>
        <w:jc w:val="left"/>
      </w:pP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Pr>
          <w:rFonts w:ascii="Times New Roman" w:hAnsi="Times New Roman" w:eastAsia="Times New Roman"/>
          <w:b/>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Pr>
          <w:rFonts w:ascii="Times New Roman" w:hAnsi="Times New Roman" w:eastAsia="Times New Roman"/>
          <w:b/>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Pr>
          <w:rFonts w:ascii="Times New Roman" w:hAnsi="Times New Roman" w:eastAsia="Times New Roman"/>
          <w:b/>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SymbolMT" w:hAnsi="SymbolMT" w:eastAsia="SymbolMT"/>
          <w:b w:val="0"/>
          <w:i w:val="0"/>
          <w:color w:val="000000"/>
          <w:sz w:val="20"/>
        </w:rPr>
      </w: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b w:val="0"/>
          <w:sz w:val="22"/>
        </w:rPr>
        <w:t xml:space="preserve">• factori de producție și de mediu; </w:t>
        <w:t xml:space="preserve">• evaluarea conformității cerințelor profesionale prezentate cu capacitățile funcționale ale organismului; </w:t>
        <w:t xml:space="preserve">• screening, examene aprofundate și speciale etc.; </w:t>
        <w:t xml:space="preserve">• utilizarea ca metodă suplimentară de examinare în tratamentul și examinarea afecțiunilor vertebrogene și a bolilor degenerative-distrofice ale coloanei vertebrale; </w:t>
        <w:t xml:space="preserve">• să efectueze diagnosticul diferențial al mecanismelor etiopatogenetice de dezvoltare a modificărilor organelor și sistemelor corpului (determinarea localizării modificărilor primare în organe sau în aparatul segmentar al coloanei vertebrale); </w:t>
        <w:t xml:space="preserve">• să determine direcția procesului patologic în organele și sistemele corpului (de la inflamație la degenerare); </w:t>
        <w:t xml:space="preserve">• pentru efectuarea corecției segmentare fizioterapeutice a zonelor afectate de conducere tisulară; </w:t>
        <w:t xml:space="preserve">• prognozarea posibilelor boli, elaborarea programelor de sănătate cu medicamente: farmaceutice, homeopatice, pe bază de plante, nutrienți biologic activi sau aditivi alimentari, ținând cont de compatibilitatea acestora, compoziția, mecanismul de acțiune, organul de aplicare, sinergismul și antagonismul funcțional, precum și evaluarea eficacității medicamentelor pe baza rezultatelor reacției vegetative (veget); </w:t>
        <w:t xml:space="preserve">• pentru evaluarea dinamică a nivelului de sănătate, depistarea bolilor în stadii incipiente, prescrierea individuală a nutrienților alimentari și a medicamentelor farmaceutice, ca sistem expert de informare și referință; </w:t>
        <w:t>•</w:t>
        <w:tab/>
        <w:t>prevede dezvoltarea de măsuri individuale de prevenire, îmbunătățire a sănătății și terapeutice complexe folosind metoda testării vegetative. Face posibilă reducerea la minimum a probabilității efectelor secundare ale terapiei combinate și evitarea prescrierii necorespunzătoare a medicamentelor.</w:t>
      </w:r>
    </w:p>
    <w:p>
      <w:pPr>
        <w:autoSpaceDN w:val="0"/>
        <w:autoSpaceDE w:val="0"/>
        <w:widowControl/>
        <w:spacing w:line="276" w:lineRule="exact" w:before="284" w:after="0"/>
        <w:ind w:left="2304" w:right="2304" w:firstLine="0"/>
        <w:jc w:val="center"/>
      </w:pPr>
      <w:r>
        <w:rPr>
          <w:rFonts w:ascii="Times New Roman" w:hAnsi="Times New Roman" w:eastAsia="Times New Roman"/>
          <w:b/>
          <w:i w:val="0"/>
          <w:color w:val="000000"/>
          <w:sz w:val="24"/>
        </w:rPr>
      </w:r>
      <w:r>
        <w:rPr>
          <w:rFonts w:ascii="Times New Roman" w:hAnsi="Times New Roman" w:eastAsia="Times New Roman"/>
          <w:b/>
          <w:i w:val="0"/>
          <w:color w:val="000000"/>
          <w:sz w:val="24"/>
        </w:rPr>
      </w:r>
      <w:r>
        <w:rPr>
          <w:b/>
        </w:rPr>
        <w:t>INDICAȚII DE UTILIZARE A NOI TEHNOLOGII MEDICALE</w:t>
      </w:r>
    </w:p>
    <w:p>
      <w:pPr>
        <w:autoSpaceDN w:val="0"/>
        <w:tabs>
          <w:tab w:pos="708" w:val="left"/>
          <w:tab w:pos="1558" w:val="left"/>
          <w:tab w:pos="2026" w:val="left"/>
          <w:tab w:pos="3124" w:val="left"/>
          <w:tab w:pos="3472" w:val="left"/>
          <w:tab w:pos="4890" w:val="left"/>
          <w:tab w:pos="5520" w:val="left"/>
          <w:tab w:pos="6848" w:val="left"/>
          <w:tab w:pos="7122" w:val="left"/>
          <w:tab w:pos="7556" w:val="left"/>
          <w:tab w:pos="8628" w:val="left"/>
        </w:tabs>
        <w:autoSpaceDE w:val="0"/>
        <w:widowControl/>
        <w:spacing w:line="276" w:lineRule="exact" w:before="276" w:after="0"/>
        <w:ind w:left="0" w:right="0" w:firstLine="0"/>
        <w:jc w:val="left"/>
      </w:p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Oferă diagnosticul a peste 3.000 de boli legate de cardiologie, gastroenterologie, pneumologie, hepatologie, oncologie, urologie, reumatologie, neurologie, andrologie, imunologie, oftalmologie, stomatologie, osteologie, pediatrie terapeutică, endocrinologie, ginecologie și boli terapeutice generale. Un avantaj semnificativ al tehnologiei este extinderea sistematică și adăugarea regulată a bazelor de date de referință pentru identificarea spectrografică a stărilor patologice și a formelor nosologice de boli. Recomandat pentru utilizare în centre de reabilitare, clinici, spitale terapeutice, centre medicale, instituții medicale, stații de prim ajutor, sanatoriu-stațiune și centre sportive și de recreere.</w:t>
      </w:r>
    </w:p>
    <w:p>
      <w:pPr>
        <w:autoSpaceDN w:val="0"/>
        <w:autoSpaceDE w:val="0"/>
        <w:widowControl/>
        <w:spacing w:line="276" w:lineRule="exact" w:before="282" w:after="240"/>
        <w:ind w:left="2160" w:right="2160" w:firstLine="0"/>
        <w:jc w:val="center"/>
      </w:pPr>
      <w:r>
        <w:rPr>
          <w:rFonts w:ascii="Times New Roman" w:hAnsi="Times New Roman" w:eastAsia="Times New Roman"/>
          <w:b/>
          <w:i w:val="0"/>
          <w:color w:val="000000"/>
          <w:sz w:val="24"/>
        </w:rPr>
      </w:r>
      <w:r>
        <w:rPr>
          <w:rFonts w:ascii="Times New Roman" w:hAnsi="Times New Roman" w:eastAsia="Times New Roman"/>
          <w:b/>
          <w:i w:val="0"/>
          <w:color w:val="000000"/>
          <w:sz w:val="24"/>
        </w:rPr>
      </w:r>
      <w:r>
        <w:rPr>
          <w:b/>
        </w:rPr>
        <w:t>CONTRAINDICAȚII LA UTILIZAREA TEHNOLOGIEI MEDICALE</w:t>
      </w:r>
    </w:p>
    <w:tbl>
      <w:tblPr>
        <w:tblW w:type="auto" w:w="0"/>
        <w:tblLayout w:type="fixed"/>
        <w:tblLook w:firstColumn="1" w:firstRow="1" w:lastColumn="0" w:lastRow="0" w:noHBand="0" w:noVBand="1" w:val="04A0"/>
        <w:tblInd w:w="124.00000000000006" w:type="dxa"/>
      </w:tblPr>
      <w:tblGrid>
        <w:gridCol w:w="1239"/>
        <w:gridCol w:w="1239"/>
        <w:gridCol w:w="1239"/>
        <w:gridCol w:w="1239"/>
        <w:gridCol w:w="1239"/>
        <w:gridCol w:w="1239"/>
        <w:gridCol w:w="1239"/>
        <w:gridCol w:w="1239"/>
      </w:tblGrid>
      <w:tr>
        <w:trPr>
          <w:trHeight w:hRule="exact" w:val="318"/>
        </w:trPr>
        <w:tc>
          <w:tcPr>
            <w:tcW w:type="dxa" w:w="420"/>
            <w:vMerge w:val="restart"/>
            <w:tcMar>
              <w:start w:w="0" w:type="dxa"/>
              <w:end w:w="0" w:type="dxa"/>
            </w:tcMar>
            <w:tcMar>
              <w:start w:w="0" w:type="dxa"/>
              <w:end w:w="0" w:type="dxa"/>
            </w:tcMar>
          </w:tcPr>
          <w:p>
            <w:pPr>
              <w:autoSpaceDN w:val="0"/>
              <w:autoSpaceDE w:val="0"/>
              <w:widowControl/>
              <w:spacing w:line="202" w:lineRule="exact" w:before="148" w:after="0"/>
              <w:ind w:left="0" w:right="0" w:firstLine="0"/>
              <w:jc w:val="center"/>
            </w:pPr>
            <w:r>
              <w:rPr>
                <w:rFonts w:ascii="Microsoft Sans Serif" w:hAnsi="Microsoft Sans Serif" w:eastAsia="Microsoft Sans Serif"/>
                <w:b w:val="0"/>
                <w:i w:val="0"/>
                <w:color w:val="000000"/>
                <w:sz w:val="18"/>
              </w:rPr>
              <w:t>―</w:t>
            </w:r>
          </w:p>
        </w:tc>
        <w:tc>
          <w:tcPr>
            <w:tcW w:type="dxa" w:w="1580"/>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tehnologie</w:t>
            </w:r>
          </w:p>
        </w:tc>
        <w:tc>
          <w:tcPr>
            <w:tcW w:type="dxa" w:w="1020"/>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este interzis</w:t>
            </w:r>
          </w:p>
        </w:tc>
        <w:tc>
          <w:tcPr>
            <w:tcW w:type="dxa" w:w="1720"/>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utilizare</w:t>
            </w:r>
          </w:p>
        </w:tc>
        <w:tc>
          <w:tcPr>
            <w:tcW w:type="dxa" w:w="700"/>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 xml:space="preserve">для </w:t>
            </w:r>
          </w:p>
        </w:tc>
        <w:tc>
          <w:tcPr>
            <w:tcW w:type="dxa" w:w="1640"/>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diagnostice</w:t>
            </w:r>
          </w:p>
        </w:tc>
        <w:tc>
          <w:tcPr>
            <w:tcW w:type="dxa" w:w="1480"/>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4"/>
              </w:rPr>
              <w:t>pacienti,</w:t>
            </w:r>
          </w:p>
        </w:tc>
        <w:tc>
          <w:tcPr>
            <w:tcW w:type="dxa" w:w="1220"/>
            <w:tcMar>
              <w:start w:w="0" w:type="dxa"/>
              <w:end w:w="0" w:type="dxa"/>
            </w:tcMar>
          </w:tcPr>
          <w:p>
            <w:pPr>
              <w:autoSpaceDN w:val="0"/>
              <w:autoSpaceDE w:val="0"/>
              <w:widowControl/>
              <w:spacing w:line="266" w:lineRule="exact" w:before="52" w:after="0"/>
              <w:ind w:left="156" w:right="0" w:firstLine="0"/>
              <w:jc w:val="left"/>
            </w:pPr>
            <w:r>
              <w:rPr>
                <w:rFonts w:ascii="TimesNewRomanPSMT" w:hAnsi="TimesNewRomanPSMT" w:eastAsia="TimesNewRomanPSMT"/>
                <w:b w:val="0"/>
                <w:i w:val="0"/>
                <w:color w:val="000000"/>
                <w:sz w:val="24"/>
              </w:rPr>
              <w:t>având</w:t>
            </w:r>
          </w:p>
        </w:tc>
      </w:tr>
      <w:tr>
        <w:trPr>
          <w:trHeight w:hRule="exact" w:val="290"/>
        </w:trPr>
        <w:tc>
          <w:tcPr>
            <w:tcW w:type="dxa" w:w="1239"/>
            <w:vMerge/>
            <w:tcBorders/>
          </w:tcPr>
          <w:p/>
        </w:tc>
        <w:tc>
          <w:tcPr>
            <w:tcW w:type="dxa" w:w="9360"/>
            <w:gridSpan w:val="7"/>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8" w:after="0"/>
              <w:ind w:left="164" w:right="0" w:firstLine="0"/>
              <w:jc w:val="left"/>
            </w:pPr>
            <w:r>
              <w:rPr>
                <w:rFonts w:ascii="TimesNewRomanPSMT" w:hAnsi="TimesNewRomanPSMT" w:eastAsia="TimesNewRomanPSMT"/>
                <w:b w:val="0"/>
                <w:i w:val="0"/>
                <w:color w:val="000000"/>
                <w:sz w:val="24"/>
              </w:rPr>
              <w:t>dispozitive electronice implantate (stimulatoare cardiace artificiale,</w:t>
            </w:r>
          </w:p>
        </w:tc>
      </w:tr>
    </w:tbl>
    <w:p>
      <w:pPr>
        <w:autoSpaceDN w:val="0"/>
        <w:autoSpaceDE w:val="0"/>
        <w:widowControl/>
        <w:spacing w:line="266" w:lineRule="exact" w:before="4" w:after="0"/>
        <w:ind w:left="708" w:right="0" w:firstLine="0"/>
        <w:jc w:val="left"/>
      </w:pPr>
      <w:r>
        <w:rPr>
          <w:rFonts w:ascii="TimesNewRomanPSMT" w:hAnsi="TimesNewRomanPSMT" w:eastAsia="TimesNewRomanPSMT"/>
          <w:b w:val="0"/>
          <w:i w:val="0"/>
          <w:color w:val="000000"/>
          <w:sz w:val="24"/>
        </w:rPr>
      </w:r>
      <w:r>
        <w:rPr>
          <w:b w:val="0"/>
        </w:rPr>
        <w:t>stimulatoare cardiace);</w:t>
      </w:r>
    </w:p>
    <w:p>
      <w:pPr>
        <w:autoSpaceDN w:val="0"/>
        <w:tabs>
          <w:tab w:pos="708" w:val="left"/>
        </w:tabs>
        <w:autoSpaceDE w:val="0"/>
        <w:widowControl/>
        <w:spacing w:line="234" w:lineRule="exact" w:before="0" w:after="0"/>
        <w:ind w:left="284" w:right="0" w:firstLine="0"/>
        <w:jc w:val="left"/>
      </w:pPr>
      <w:r>
        <w:rPr>
          <w:rFonts w:ascii="Microsoft Sans Serif" w:hAnsi="Microsoft Sans Serif" w:eastAsia="Microsoft Sans Serif"/>
          <w:b w:val="0"/>
          <w:i w:val="0"/>
          <w:color w:val="000000"/>
          <w:sz w:val="18"/>
        </w:rPr>
      </w:r>
      <w:r/>
      <w:r>
        <w:rPr>
          <w:rFonts w:ascii="TimesNewRomanPSMT" w:hAnsi="TimesNewRomanPSMT" w:eastAsia="TimesNewRomanPSMT"/>
          <w:b w:val="0"/>
          <w:i w:val="0"/>
          <w:color w:val="000000"/>
          <w:sz w:val="24"/>
        </w:rPr>
      </w:r>
      <w:r>
        <w:rPr>
          <w:b w:val="0"/>
        </w:rPr>
        <w:t>- boli inflamatorii și infecțioase acute;</w:t>
      </w:r>
    </w:p>
    <w:p>
      <w:pPr>
        <w:autoSpaceDN w:val="0"/>
        <w:tabs>
          <w:tab w:pos="708" w:val="left"/>
        </w:tabs>
        <w:autoSpaceDE w:val="0"/>
        <w:widowControl/>
        <w:spacing w:line="204" w:lineRule="exact" w:before="0" w:after="0"/>
        <w:ind w:left="284" w:right="0" w:firstLine="0"/>
        <w:jc w:val="left"/>
      </w:pPr>
      <w:r>
        <w:rPr>
          <w:rFonts w:ascii="Microsoft Sans Serif" w:hAnsi="Microsoft Sans Serif" w:eastAsia="Microsoft Sans Serif"/>
          <w:b w:val="0"/>
          <w:i w:val="0"/>
          <w:color w:val="000000"/>
          <w:sz w:val="18"/>
        </w:rPr>
      </w:r>
      <w:r/>
      <w:r>
        <w:rPr>
          <w:rFonts w:ascii="TimesNewRomanPSMT" w:hAnsi="TimesNewRomanPSMT" w:eastAsia="TimesNewRomanPSMT"/>
          <w:b w:val="0"/>
          <w:i w:val="0"/>
          <w:color w:val="000000"/>
          <w:sz w:val="24"/>
        </w:rPr>
      </w:r>
      <w:r>
        <w:rPr>
          <w:b w:val="0"/>
        </w:rPr>
        <w:t>- boli psihice;</w:t>
      </w:r>
    </w:p>
    <w:p>
      <w:pPr>
        <w:autoSpaceDN w:val="0"/>
        <w:tabs>
          <w:tab w:pos="708" w:val="left"/>
        </w:tabs>
        <w:autoSpaceDE w:val="0"/>
        <w:widowControl/>
        <w:spacing w:line="210" w:lineRule="exact" w:before="0" w:after="0"/>
        <w:ind w:left="284" w:right="0" w:firstLine="0"/>
        <w:jc w:val="left"/>
      </w:pPr>
      <w:r>
        <w:rPr>
          <w:rFonts w:ascii="Microsoft Sans Serif" w:hAnsi="Microsoft Sans Serif" w:eastAsia="Microsoft Sans Serif"/>
          <w:b w:val="0"/>
          <w:i w:val="0"/>
          <w:color w:val="000000"/>
          <w:sz w:val="18"/>
        </w:rPr>
      </w:r>
      <w:r/>
      <w:r>
        <w:rPr>
          <w:rFonts w:ascii="TimesNewRomanPSMT" w:hAnsi="TimesNewRomanPSMT" w:eastAsia="TimesNewRomanPSMT"/>
          <w:b w:val="0"/>
          <w:i w:val="0"/>
          <w:color w:val="000000"/>
          <w:sz w:val="24"/>
        </w:rPr>
      </w:r>
      <w:r>
        <w:rPr>
          <w:b w:val="0"/>
        </w:rPr>
        <w:t>- afectiuni febrile;</w:t>
      </w:r>
    </w:p>
    <w:p>
      <w:pPr>
        <w:autoSpaceDN w:val="0"/>
        <w:tabs>
          <w:tab w:pos="708" w:val="left"/>
        </w:tabs>
        <w:autoSpaceDE w:val="0"/>
        <w:widowControl/>
        <w:spacing w:line="204" w:lineRule="exact" w:before="0" w:after="0"/>
        <w:ind w:left="284" w:right="0" w:firstLine="0"/>
        <w:jc w:val="left"/>
      </w:pPr>
      <w:r>
        <w:rPr>
          <w:rFonts w:ascii="Microsoft Sans Serif" w:hAnsi="Microsoft Sans Serif" w:eastAsia="Microsoft Sans Serif"/>
          <w:b w:val="0"/>
          <w:i w:val="0"/>
          <w:color w:val="000000"/>
          <w:sz w:val="18"/>
        </w:rPr>
      </w:r>
      <w:r/>
      <w:r>
        <w:rPr>
          <w:rFonts w:ascii="TimesNewRomanPSMT" w:hAnsi="TimesNewRomanPSMT" w:eastAsia="TimesNewRomanPSMT"/>
          <w:b w:val="0"/>
          <w:i w:val="0"/>
          <w:color w:val="000000"/>
          <w:sz w:val="24"/>
        </w:rPr>
      </w:r>
      <w:r>
        <w:rPr>
          <w:b w:val="0"/>
        </w:rPr>
        <w:t>- epuizare severă a organismului;</w:t>
      </w:r>
    </w:p>
    <w:p>
      <w:pPr>
        <w:autoSpaceDN w:val="0"/>
        <w:autoSpaceDE w:val="0"/>
        <w:widowControl/>
        <w:spacing w:line="220" w:lineRule="exact" w:before="0" w:after="0"/>
        <w:ind w:left="0" w:right="0"/>
      </w:pPr>
    </w:p>
    <w:p>
      <w:pPr>
        <w:autoSpaceDN w:val="0"/>
        <w:tabs>
          <w:tab w:pos="544" w:val="left"/>
        </w:tabs>
        <w:autoSpaceDE w:val="0"/>
        <w:widowControl/>
        <w:spacing w:line="204" w:lineRule="exact" w:before="0" w:after="0"/>
        <w:ind w:left="120" w:right="0" w:firstLine="0"/>
        <w:jc w:val="left"/>
      </w:pPr>
      <w:r>
        <w:rPr>
          <w:rFonts w:ascii="Microsoft Sans Serif" w:hAnsi="Microsoft Sans Serif" w:eastAsia="Microsoft Sans Serif"/>
          <w:b w:val="0"/>
          <w:i w:val="0"/>
          <w:color w:val="000000"/>
          <w:sz w:val="18"/>
        </w:rPr>
      </w:r>
      <w:r/>
      <w:r>
        <w:rPr>
          <w:rFonts w:ascii="TimesNewRomanPSMT" w:hAnsi="TimesNewRomanPSMT" w:eastAsia="TimesNewRomanPSMT"/>
          <w:b w:val="0"/>
          <w:i w:val="0"/>
          <w:color w:val="000000"/>
          <w:sz w:val="24"/>
        </w:rPr>
      </w:r>
      <w:r>
        <w:rPr>
          <w:b w:val="0"/>
        </w:rPr>
        <w:t>- procesul de tuberculoză activă;</w:t>
      </w:r>
    </w:p>
    <w:p>
      <w:pPr>
        <w:autoSpaceDN w:val="0"/>
        <w:tabs>
          <w:tab w:pos="544" w:val="left"/>
        </w:tabs>
        <w:autoSpaceDE w:val="0"/>
        <w:widowControl/>
        <w:spacing w:line="206" w:lineRule="exact" w:before="0" w:after="0"/>
        <w:ind w:left="120" w:right="0" w:firstLine="0"/>
        <w:jc w:val="left"/>
      </w:pPr>
      <w:r>
        <w:rPr>
          <w:rFonts w:ascii="Microsoft Sans Serif" w:hAnsi="Microsoft Sans Serif" w:eastAsia="Microsoft Sans Serif"/>
          <w:b w:val="0"/>
          <w:i w:val="0"/>
          <w:color w:val="000000"/>
          <w:sz w:val="18"/>
        </w:rPr>
      </w:r>
      <w:r/>
      <w:r>
        <w:rPr>
          <w:rFonts w:ascii="TimesNewRomanPSMT" w:hAnsi="TimesNewRomanPSMT" w:eastAsia="TimesNewRomanPSMT"/>
          <w:b w:val="0"/>
          <w:i w:val="0"/>
          <w:color w:val="000000"/>
          <w:sz w:val="24"/>
        </w:rPr>
      </w:r>
      <w:r>
        <w:rPr>
          <w:b w:val="0"/>
        </w:rPr>
        <w:t>- copii sub trei ani</w:t>
      </w:r>
    </w:p>
    <w:p>
      <w:pPr>
        <w:autoSpaceDN w:val="0"/>
        <w:tabs>
          <w:tab w:pos="544" w:val="left"/>
        </w:tabs>
        <w:autoSpaceDE w:val="0"/>
        <w:widowControl/>
        <w:spacing w:line="210" w:lineRule="exact" w:before="0" w:after="0"/>
        <w:ind w:left="120" w:right="0" w:firstLine="0"/>
        <w:jc w:val="left"/>
      </w:pPr>
      <w:r>
        <w:rPr>
          <w:rFonts w:ascii="Microsoft Sans Serif" w:hAnsi="Microsoft Sans Serif" w:eastAsia="Microsoft Sans Serif"/>
          <w:b w:val="0"/>
          <w:i w:val="0"/>
          <w:color w:val="000000"/>
          <w:sz w:val="18"/>
        </w:rPr>
      </w:r>
      <w:r/>
      <w:r>
        <w:rPr>
          <w:rFonts w:ascii="TimesNewRomanPSMT" w:hAnsi="TimesNewRomanPSMT" w:eastAsia="TimesNewRomanPSMT"/>
          <w:b w:val="0"/>
          <w:i w:val="0"/>
          <w:color w:val="000000"/>
          <w:sz w:val="24"/>
        </w:rPr>
      </w:r>
      <w:r>
        <w:rPr>
          <w:b w:val="0"/>
        </w:rPr>
        <w:t>- sarcina-al treilea trimestru de sarcina.</w:t>
      </w:r>
    </w:p>
    <w:p>
      <w:pPr>
        <w:autoSpaceDN w:val="0"/>
        <w:autoSpaceDE w:val="0"/>
        <w:widowControl/>
        <w:spacing w:line="276" w:lineRule="exact" w:before="254" w:after="0"/>
        <w:ind w:left="1728" w:right="1872" w:firstLine="0"/>
        <w:jc w:val="center"/>
      </w:pPr>
      <w:r>
        <w:rPr>
          <w:rFonts w:ascii="Times New Roman" w:hAnsi="Times New Roman" w:eastAsia="Times New Roman"/>
          <w:b/>
          <w:i w:val="0"/>
          <w:color w:val="000000"/>
          <w:sz w:val="24"/>
        </w:rPr>
      </w:r>
      <w:r>
        <w:rPr>
          <w:rFonts w:ascii="Times New Roman" w:hAnsi="Times New Roman" w:eastAsia="Times New Roman"/>
          <w:b/>
          <w:i w:val="0"/>
          <w:color w:val="000000"/>
          <w:sz w:val="24"/>
        </w:rPr>
      </w:r>
      <w:r>
        <w:rPr>
          <w:b/>
        </w:rPr>
        <w:t>SUPORT MATERIAL ȘI TEHNIC DE TEHNOLOGIE MEDICALĂ</w:t>
      </w:r>
    </w:p>
    <w:p>
      <w:pPr>
        <w:autoSpaceDN w:val="0"/>
        <w:autoSpaceDE w:val="0"/>
        <w:widowControl/>
        <w:spacing w:line="276" w:lineRule="exact" w:before="270" w:after="0"/>
        <w:ind w:left="556" w:right="20" w:hanging="36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1. Complex hardware și software al seriei „VALEOSKAN” cu următoarele modificări: 725-R, 752-R, 800-F, 850-A, DSAM; UR Nr FSR 2007/01424 din 24 octombrie 2008; Certificat de Conformitate Nr. ROSS RU.AYA79.V10341 din 21 ianuarie 2009.</w:t>
      </w:r>
    </w:p>
    <w:p>
      <w:pPr>
        <w:autoSpaceDN w:val="0"/>
        <w:tabs>
          <w:tab w:pos="556" w:val="left"/>
        </w:tabs>
        <w:autoSpaceDE w:val="0"/>
        <w:widowControl/>
        <w:spacing w:line="276" w:lineRule="exact" w:before="0" w:after="0"/>
        <w:ind w:left="196"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b w:val="0"/>
        </w:rPr>
        <w:t xml:space="preserve">2. Complex hardware și software „NTAK”, RU Nr. FSR 2008/03783 din 12 decembrie 2008; </w:t>
        <w:tab/>
        <w:t>Certificat de Conformitate Nr. ROSS RU.AYA79.V10342 din 21 ianuarie 2009.</w:t>
      </w:r>
    </w:p>
    <w:p>
      <w:pPr>
        <w:autoSpaceDN w:val="0"/>
        <w:autoSpaceDE w:val="0"/>
        <w:widowControl/>
        <w:spacing w:line="276" w:lineRule="exact" w:before="0" w:after="0"/>
        <w:ind w:left="144" w:right="0" w:firstLine="0"/>
        <w:jc w:val="center"/>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3. Pulsoximetru fără cadru 010-M10B (Pulsoximetru platou M10OEM, f. PALCO Labs USA, Reg. ud. Nr. 98/1260, aprobat pentru utilizare în practica medicală.</w:t>
      </w:r>
    </w:p>
    <w:p>
      <w:pPr>
        <w:autoSpaceDN w:val="0"/>
        <w:autoSpaceDE w:val="0"/>
        <w:widowControl/>
        <w:spacing w:line="220" w:lineRule="exact" w:before="0" w:after="0"/>
        <w:ind w:left="0" w:right="0"/>
      </w:pPr>
    </w:p>
    <w:p>
      <w:pPr>
        <w:autoSpaceDN w:val="0"/>
        <w:autoSpaceDE w:val="0"/>
        <w:widowControl/>
        <w:spacing w:line="266" w:lineRule="exact" w:before="0" w:after="0"/>
        <w:ind w:left="0" w:right="0" w:firstLine="0"/>
        <w:jc w:val="center"/>
      </w:pPr>
      <w:r>
        <w:rPr>
          <w:rFonts w:ascii="Times New Roman" w:hAnsi="Times New Roman" w:eastAsia="Times New Roman"/>
          <w:b/>
          <w:i w:val="0"/>
          <w:color w:val="000000"/>
          <w:sz w:val="24"/>
        </w:rPr>
      </w:r>
      <w:r>
        <w:rPr>
          <w:b/>
        </w:rPr>
        <w:t>2.</w:t>
      </w:r>
      <w:r>
        <w:rPr>
          <w:b w:val="0"/>
        </w:rPr>
        <w:t xml:space="preserve"> Conectați-vă la un computer</w:t>
      </w:r>
    </w:p>
    <w:p>
      <w:pPr>
        <w:autoSpaceDN w:val="0"/>
        <w:autoSpaceDE w:val="0"/>
        <w:widowControl/>
        <w:spacing w:line="266" w:lineRule="exact" w:before="286" w:after="222"/>
        <w:ind w:left="0" w:right="0" w:firstLine="0"/>
        <w:jc w:val="center"/>
      </w:pPr>
      <w:r>
        <w:rPr>
          <w:rFonts w:ascii="Times New Roman" w:hAnsi="Times New Roman" w:eastAsia="Times New Roman"/>
          <w:b/>
          <w:i w:val="0"/>
          <w:color w:val="000000"/>
          <w:sz w:val="24"/>
        </w:rPr>
      </w:r>
      <w:r>
        <w:rPr>
          <w:b/>
        </w:rPr>
        <w:t>2.</w:t>
      </w:r>
      <w:r>
        <w:rPr>
          <w:b w:val="0"/>
        </w:rPr>
        <w:t xml:space="preserve"> 1. Configurarea computerului</w:t>
      </w:r>
    </w:p>
    <w:tbl>
      <w:tblPr>
        <w:tblW w:type="auto" w:w="0"/>
        <w:tblLayout w:type="fixed"/>
        <w:tblLook w:firstColumn="1" w:firstRow="1" w:lastColumn="0" w:lastRow="0" w:noHBand="0" w:noVBand="1" w:val="04A0"/>
        <w:tblInd w:w="344.00000000000006" w:type="dxa"/>
      </w:tblPr>
      <w:tblGrid>
        <w:gridCol w:w="1653"/>
        <w:gridCol w:w="1653"/>
        <w:gridCol w:w="1653"/>
        <w:gridCol w:w="1653"/>
        <w:gridCol w:w="1653"/>
        <w:gridCol w:w="1653"/>
      </w:tblGrid>
      <w:tr>
        <w:trPr>
          <w:trHeight w:hRule="exact" w:val="332"/>
        </w:trPr>
        <w:tc>
          <w:tcPr>
            <w:tcW w:type="dxa" w:w="920"/>
            <w:tcMar>
              <w:start w:w="0" w:type="dxa"/>
              <w:end w:w="0" w:type="dxa"/>
            </w:tcMar>
          </w:tcPr>
          <w:p>
            <w:pPr>
              <w:autoSpaceDN w:val="0"/>
              <w:autoSpaceDE w:val="0"/>
              <w:widowControl/>
              <w:spacing w:line="266" w:lineRule="exact" w:before="60" w:after="0"/>
              <w:ind w:left="0" w:right="102" w:firstLine="0"/>
              <w:jc w:val="right"/>
            </w:pPr>
            <w:r>
              <w:rPr>
                <w:rFonts w:ascii="TimesNewRomanPSMT" w:hAnsi="TimesNewRomanPSMT" w:eastAsia="TimesNewRomanPSMT"/>
                <w:b w:val="0"/>
                <w:i w:val="0"/>
                <w:color w:val="000000"/>
                <w:sz w:val="24"/>
              </w:rPr>
              <w:t xml:space="preserve">Для </w:t>
            </w:r>
          </w:p>
        </w:tc>
        <w:tc>
          <w:tcPr>
            <w:tcW w:type="dxa" w:w="146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corecta</w:t>
            </w:r>
          </w:p>
        </w:tc>
        <w:tc>
          <w:tcPr>
            <w:tcW w:type="dxa" w:w="102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lucru</w:t>
            </w:r>
          </w:p>
        </w:tc>
        <w:tc>
          <w:tcPr>
            <w:tcW w:type="dxa" w:w="286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hardware și software</w:t>
            </w:r>
          </w:p>
        </w:tc>
        <w:tc>
          <w:tcPr>
            <w:tcW w:type="dxa" w:w="136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complex</w:t>
            </w:r>
          </w:p>
        </w:tc>
        <w:tc>
          <w:tcPr>
            <w:tcW w:type="dxa" w:w="1940"/>
            <w:tcMar>
              <w:start w:w="0" w:type="dxa"/>
              <w:end w:w="0" w:type="dxa"/>
            </w:tcMar>
          </w:tcPr>
          <w:p>
            <w:pPr>
              <w:autoSpaceDN w:val="0"/>
              <w:autoSpaceDE w:val="0"/>
              <w:widowControl/>
              <w:spacing w:line="266" w:lineRule="exact" w:before="60" w:after="0"/>
              <w:ind w:left="116" w:right="0" w:firstLine="0"/>
              <w:jc w:val="left"/>
            </w:pPr>
            <w:r>
              <w:rPr>
                <w:rFonts w:ascii="TimesNewRomanPSMT" w:hAnsi="TimesNewRomanPSMT" w:eastAsia="TimesNewRomanPSMT"/>
                <w:b w:val="0"/>
                <w:i w:val="0"/>
                <w:color w:val="000000"/>
                <w:sz w:val="24"/>
              </w:rPr>
              <w:t>"VALEOSCAN",</w:t>
            </w:r>
          </w:p>
        </w:tc>
      </w:tr>
    </w:tbl>
    <w:p>
      <w:pPr>
        <w:autoSpaceDN w:val="0"/>
        <w:autoSpaceDE w:val="0"/>
        <w:widowControl/>
        <w:spacing w:line="272" w:lineRule="exact" w:before="0" w:after="0"/>
        <w:ind w:left="0"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u w:val="single"/>
        </w:rPr>
      </w:r>
      <w:r>
        <w:rPr>
          <w:rFonts w:ascii="Times New Roman" w:hAnsi="Times New Roman" w:eastAsia="Times New Roman"/>
          <w:b/>
          <w:i w:val="0"/>
          <w:color w:val="000000"/>
          <w:sz w:val="24"/>
          <w:u w:val="single"/>
        </w:rPr>
      </w:r>
      <w:r>
        <w:rPr>
          <w:rFonts w:ascii="TimesNewRomanPSMT" w:hAnsi="TimesNewRomanPSMT" w:eastAsia="TimesNewRomanPSMT"/>
          <w:b w:val="0"/>
          <w:i w:val="0"/>
          <w:color w:val="000000"/>
          <w:sz w:val="24"/>
        </w:rPr>
      </w:r>
      <w:r>
        <w:rPr>
          <w:b w:val="0"/>
        </w:rPr>
        <w:t>trebuie să faceți o serie de setări în configurația sistemului de operare al computerului pentru sistemul de operare Windows XP:</w:t>
      </w:r>
    </w:p>
    <w:p>
      <w:pPr>
        <w:autoSpaceDN w:val="0"/>
        <w:autoSpaceDE w:val="0"/>
        <w:widowControl/>
        <w:spacing w:line="266" w:lineRule="exact" w:before="290" w:after="0"/>
        <w:ind w:left="708" w:right="0" w:firstLine="0"/>
        <w:jc w:val="left"/>
      </w:pPr>
      <w:r>
        <w:rPr>
          <w:rFonts w:ascii="Times New Roman" w:hAnsi="Times New Roman" w:eastAsia="Times New Roman"/>
          <w:b/>
          <w:i w:val="0"/>
          <w:color w:val="000000"/>
          <w:sz w:val="24"/>
        </w:rPr>
      </w:r>
      <w:r>
        <w:rPr>
          <w:b/>
        </w:rPr>
        <w:t>1.</w:t>
      </w:r>
      <w:r>
        <w:rPr>
          <w:b w:val="0"/>
        </w:rPr>
        <w:t xml:space="preserve"> Moduri de repaus, standby.</w:t>
      </w:r>
    </w:p>
    <w:p>
      <w:pPr>
        <w:autoSpaceDN w:val="0"/>
        <w:autoSpaceDE w:val="0"/>
        <w:widowControl/>
        <w:spacing w:line="240" w:lineRule="auto" w:before="0" w:after="0"/>
        <w:ind w:left="0" w:right="126" w:firstLine="0"/>
        <w:jc w:val="right"/>
      </w:pPr>
      <w:r>
        <w:drawing>
          <wp:inline xmlns:a="http://schemas.openxmlformats.org/drawingml/2006/main" xmlns:pic="http://schemas.openxmlformats.org/drawingml/2006/picture">
            <wp:extent cx="1586229" cy="176021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86229" cy="1760219"/>
                    </a:xfrm>
                    <a:prstGeom prst="rect"/>
                  </pic:spPr>
                </pic:pic>
              </a:graphicData>
            </a:graphic>
          </wp:inline>
        </w:drawing>
      </w:r>
    </w:p>
    <w:p>
      <w:pPr>
        <w:autoSpaceDN w:val="0"/>
        <w:autoSpaceDE w:val="0"/>
        <w:widowControl/>
        <w:spacing w:line="272" w:lineRule="exact" w:before="0" w:after="0"/>
        <w:ind w:left="0" w:right="2776"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Trebuie să dezactivați aceste moduri în sistemul dvs. de operare. Pentru a face acest lucru, deschideți „Panou de control”. Faceți dublu clic pe butonul stâng al mouse-ului pe comanda rapidă „Afișare”.</w:t>
      </w:r>
    </w:p>
    <w:p>
      <w:pPr>
        <w:autoSpaceDN w:val="0"/>
        <w:autoSpaceDE w:val="0"/>
        <w:widowControl/>
        <w:spacing w:line="266" w:lineRule="exact" w:before="10" w:after="0"/>
        <w:ind w:left="0" w:right="0" w:firstLine="0"/>
        <w:jc w:val="left"/>
      </w:pPr>
      <w:r>
        <w:rPr>
          <w:rFonts w:ascii="TimesNewRomanPSMT" w:hAnsi="TimesNewRomanPSMT" w:eastAsia="TimesNewRomanPSMT"/>
          <w:b w:val="0"/>
          <w:i w:val="0"/>
          <w:color w:val="000000"/>
          <w:sz w:val="24"/>
        </w:rPr>
      </w:r>
      <w:r>
        <w:rPr>
          <w:b w:val="0"/>
        </w:rPr>
        <w:t>În fila „Screensaver”, faceți clic pe butonul „Power.”.</w:t>
      </w:r>
    </w:p>
    <w:p>
      <w:pPr>
        <w:autoSpaceDN w:val="0"/>
        <w:tabs>
          <w:tab w:pos="2676" w:val="left"/>
        </w:tabs>
        <w:autoSpaceDE w:val="0"/>
        <w:widowControl/>
        <w:spacing w:line="240" w:lineRule="auto" w:before="288" w:after="0"/>
        <w:ind w:left="8" w:right="0" w:firstLine="0"/>
        <w:jc w:val="left"/>
      </w:p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putere”, în secțiunea „Setări schemă”, vizavi de inscripția „Modul de așteptare prin”, selectați „Niciodată” în meniul derulant.</w:t>
      </w:r>
    </w:p>
    <w:p>
      <w:pPr>
        <w:autoSpaceDN w:val="0"/>
        <w:tabs>
          <w:tab w:pos="3384" w:val="left"/>
          <w:tab w:pos="4710" w:val="left"/>
          <w:tab w:pos="5902" w:val="left"/>
        </w:tabs>
        <w:autoSpaceDE w:val="0"/>
        <w:widowControl/>
        <w:spacing w:line="266" w:lineRule="exact" w:before="0" w:after="0"/>
        <w:ind w:left="2676" w:right="0" w:firstLine="0"/>
        <w:jc w:val="left"/>
      </w:pP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fila „Schema de control”.</w:t>
      </w:r>
    </w:p>
    <w:p>
      <w:pPr>
        <w:autoSpaceDN w:val="0"/>
        <w:autoSpaceDE w:val="0"/>
        <w:widowControl/>
        <w:spacing w:line="276" w:lineRule="exact" w:before="240" w:after="0"/>
        <w:ind w:left="0" w:right="2736"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fila „Modul de repaus”, debifați caseta de lângă „Permiteți utilizarea modului de repaus”.</w:t>
      </w:r>
    </w:p>
    <w:p>
      <w:pPr>
        <w:autoSpaceDN w:val="0"/>
        <w:tabs>
          <w:tab w:pos="7292" w:val="left"/>
        </w:tabs>
        <w:autoSpaceDE w:val="0"/>
        <w:widowControl/>
        <w:spacing w:line="240" w:lineRule="auto" w:before="0" w:after="0"/>
        <w:ind w:left="0" w:right="0" w:firstLine="0"/>
        <w:jc w:val="left"/>
      </w:pPr>
      <w:r>
        <w:rPr>
          <w:rFonts w:ascii="TimesNewRomanPSMT" w:hAnsi="TimesNewRomanPSMT" w:eastAsia="TimesNewRomanPSMT"/>
          <w:b w:val="0"/>
          <w:i w:val="0"/>
          <w:color w:val="000000"/>
          <w:sz w:val="24"/>
        </w:rPr>
      </w:r>
      <w:r/>
      <w:r>
        <w:rPr>
          <w:b w:val="0"/>
        </w:rPr>
        <w:t>Pentru calculatoarele portabile (laptop), este, de asemenea, necesar</w:t>
      </w:r>
    </w:p>
    <w:p>
      <w:pPr>
        <w:autoSpaceDN w:val="0"/>
        <w:autoSpaceDE w:val="0"/>
        <w:widowControl/>
        <w:spacing w:line="276" w:lineRule="exact" w:before="0" w:after="230"/>
        <w:ind w:left="0" w:right="576"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b w:val="0"/>
        </w:rPr>
        <w:t xml:space="preserve">setați pe fila „Avansat” acțiunile efectuate când capacul computerului este închis, adică alegeți: </w:t>
        <w:t xml:space="preserve">Acțiune la închiderea capacului computerului -&gt; „Nu este necesară nicio acțiune”; </w:t>
        <w:t xml:space="preserve">Acțiune la apăsarea butonului de pornire -&gt; Oprire; </w:t>
        <w:t>Acțiune când apăsați butonul Sleep -&gt; Nu este necesară nicio acțiune.</w:t>
      </w:r>
    </w:p>
    <w:tbl>
      <w:tblPr>
        <w:tblW w:type="auto" w:w="0"/>
        <w:tblLayout w:type="fixed"/>
        <w:tblLook w:firstColumn="1" w:firstRow="1" w:lastColumn="0" w:lastRow="0" w:noHBand="0" w:noVBand="1" w:val="04A0"/>
        <w:tblInd w:w="0.0" w:type="dxa"/>
      </w:tblPr>
      <w:tblGrid>
        <w:gridCol w:w="1417"/>
        <w:gridCol w:w="1417"/>
        <w:gridCol w:w="1417"/>
        <w:gridCol w:w="1417"/>
        <w:gridCol w:w="1417"/>
        <w:gridCol w:w="1417"/>
        <w:gridCol w:w="1417"/>
      </w:tblGrid>
      <w:tr>
        <w:trPr>
          <w:trHeight w:hRule="exact" w:val="1284"/>
        </w:trPr>
        <w:tc>
          <w:tcPr>
            <w:tcW w:type="dxa" w:w="7164"/>
            <w:gridSpan w:val="6"/>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0" w:after="0"/>
              <w:ind w:left="708" w:right="0" w:firstLine="0"/>
              <w:jc w:val="left"/>
            </w:pPr>
            <w:r>
              <w:rPr>
                <w:rFonts w:ascii="Times New Roman" w:hAnsi="Times New Roman" w:eastAsia="Times New Roman"/>
                <w:b/>
                <w:i w:val="0"/>
                <w:color w:val="000000"/>
                <w:sz w:val="24"/>
              </w:rPr>
              <w:t>2. Configurarea managementului energiei.</w:t>
            </w:r>
          </w:p>
          <w:p>
            <w:pPr>
              <w:autoSpaceDN w:val="0"/>
              <w:autoSpaceDE w:val="0"/>
              <w:widowControl/>
              <w:spacing w:line="266" w:lineRule="exact" w:before="6" w:after="0"/>
              <w:ind w:left="708" w:right="0" w:firstLine="0"/>
              <w:jc w:val="left"/>
            </w:pPr>
            <w:r>
              <w:rPr>
                <w:rFonts w:ascii="TimesNewRomanPSMT" w:hAnsi="TimesNewRomanPSMT" w:eastAsia="TimesNewRomanPSMT"/>
                <w:b w:val="0"/>
                <w:i w:val="0"/>
                <w:color w:val="000000"/>
                <w:sz w:val="24"/>
              </w:rPr>
              <w:t>Deschideți „Panou de control” -&gt; „Sistem”.</w:t>
            </w:r>
          </w:p>
        </w:tc>
        <w:tc>
          <w:tcPr>
            <w:tcW w:type="dxa" w:w="2660"/>
            <w:vMerge w:val="restart"/>
            <w:tcMar>
              <w:start w:w="0" w:type="dxa"/>
              <w:end w:w="0" w:type="dxa"/>
            </w:tcMar>
            <w:tcMar>
              <w:start w:w="0" w:type="dxa"/>
              <w:end w:w="0" w:type="dxa"/>
            </w:tcMar>
            <w:tcMar>
              <w:start w:w="0" w:type="dxa"/>
              <w:end w:w="0" w:type="dxa"/>
            </w:tcMar>
          </w:tcPr>
          <w:p>
            <w:pPr>
              <w:autoSpaceDN w:val="0"/>
              <w:autoSpaceDE w:val="0"/>
              <w:widowControl/>
              <w:spacing w:line="240" w:lineRule="auto" w:before="78" w:after="0"/>
              <w:ind w:left="0" w:right="0" w:firstLine="0"/>
              <w:jc w:val="center"/>
            </w:pPr>
            <w:r>
              <w:drawing>
                <wp:inline xmlns:a="http://schemas.openxmlformats.org/drawingml/2006/main" xmlns:pic="http://schemas.openxmlformats.org/drawingml/2006/picture">
                  <wp:extent cx="1582419" cy="189610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582419" cy="1896109"/>
                          </a:xfrm>
                          <a:prstGeom prst="rect"/>
                        </pic:spPr>
                      </pic:pic>
                    </a:graphicData>
                  </a:graphic>
                </wp:inline>
              </w:drawing>
            </w:r>
          </w:p>
        </w:tc>
      </w:tr>
      <w:tr>
        <w:trPr>
          <w:trHeight w:hRule="exact" w:val="960"/>
        </w:trPr>
        <w:tc>
          <w:tcPr>
            <w:tcW w:type="dxa" w:w="424"/>
            <w:tcMar>
              <w:start w:w="0" w:type="dxa"/>
              <w:end w:w="0" w:type="dxa"/>
            </w:tcMar>
          </w:tcPr>
          <w:p>
            <w:pPr>
              <w:autoSpaceDN w:val="0"/>
              <w:autoSpaceDE w:val="0"/>
              <w:widowControl/>
              <w:spacing w:line="266" w:lineRule="exact" w:before="694" w:after="0"/>
              <w:ind w:left="0" w:right="0" w:firstLine="0"/>
              <w:jc w:val="left"/>
            </w:pPr>
            <w:r>
              <w:rPr>
                <w:rFonts w:ascii="TimesNewRomanPSMT" w:hAnsi="TimesNewRomanPSMT" w:eastAsia="TimesNewRomanPSMT"/>
                <w:b w:val="0"/>
                <w:i w:val="0"/>
                <w:color w:val="000000"/>
                <w:sz w:val="24"/>
              </w:rPr>
              <w:t xml:space="preserve">На </w:t>
            </w:r>
          </w:p>
        </w:tc>
        <w:tc>
          <w:tcPr>
            <w:tcW w:type="dxa" w:w="1160"/>
            <w:tcMar>
              <w:start w:w="0" w:type="dxa"/>
              <w:end w:w="0" w:type="dxa"/>
            </w:tcMar>
          </w:tcPr>
          <w:p>
            <w:pPr>
              <w:autoSpaceDN w:val="0"/>
              <w:autoSpaceDE w:val="0"/>
              <w:widowControl/>
              <w:spacing w:line="266" w:lineRule="exact" w:before="694" w:after="0"/>
              <w:ind w:left="0" w:right="0" w:firstLine="0"/>
              <w:jc w:val="center"/>
            </w:pPr>
            <w:r>
              <w:rPr>
                <w:rFonts w:ascii="TimesNewRomanPSMT" w:hAnsi="TimesNewRomanPSMT" w:eastAsia="TimesNewRomanPSMT"/>
                <w:b w:val="0"/>
                <w:i w:val="0"/>
                <w:color w:val="000000"/>
                <w:sz w:val="24"/>
              </w:rPr>
              <w:t>marcaj</w:t>
            </w:r>
          </w:p>
        </w:tc>
        <w:tc>
          <w:tcPr>
            <w:tcW w:type="dxa" w:w="1980"/>
            <w:tcMar>
              <w:start w:w="0" w:type="dxa"/>
              <w:end w:w="0" w:type="dxa"/>
            </w:tcMar>
          </w:tcPr>
          <w:p>
            <w:pPr>
              <w:autoSpaceDN w:val="0"/>
              <w:autoSpaceDE w:val="0"/>
              <w:widowControl/>
              <w:spacing w:line="266" w:lineRule="exact" w:before="694" w:after="0"/>
              <w:ind w:left="0" w:right="0" w:firstLine="0"/>
              <w:jc w:val="center"/>
            </w:pPr>
            <w:r>
              <w:rPr>
                <w:rFonts w:ascii="TimesNewRomanPSMT" w:hAnsi="TimesNewRomanPSMT" w:eastAsia="TimesNewRomanPSMT"/>
                <w:b w:val="0"/>
                <w:i w:val="0"/>
                <w:color w:val="000000"/>
                <w:sz w:val="24"/>
              </w:rPr>
              <w:t>"Echipament"</w:t>
            </w:r>
          </w:p>
        </w:tc>
        <w:tc>
          <w:tcPr>
            <w:tcW w:type="dxa" w:w="1160"/>
            <w:tcMar>
              <w:start w:w="0" w:type="dxa"/>
              <w:end w:w="0" w:type="dxa"/>
            </w:tcMar>
          </w:tcPr>
          <w:p>
            <w:pPr>
              <w:autoSpaceDN w:val="0"/>
              <w:autoSpaceDE w:val="0"/>
              <w:widowControl/>
              <w:spacing w:line="266" w:lineRule="exact" w:before="694" w:after="0"/>
              <w:ind w:left="0" w:right="0" w:firstLine="0"/>
              <w:jc w:val="center"/>
            </w:pPr>
            <w:r>
              <w:rPr>
                <w:rFonts w:ascii="TimesNewRomanPSMT" w:hAnsi="TimesNewRomanPSMT" w:eastAsia="TimesNewRomanPSMT"/>
                <w:b w:val="0"/>
                <w:i w:val="0"/>
                <w:color w:val="000000"/>
                <w:sz w:val="24"/>
              </w:rPr>
              <w:t>clic</w:t>
            </w:r>
          </w:p>
        </w:tc>
        <w:tc>
          <w:tcPr>
            <w:tcW w:type="dxa" w:w="1000"/>
            <w:tcMar>
              <w:start w:w="0" w:type="dxa"/>
              <w:end w:w="0" w:type="dxa"/>
            </w:tcMar>
          </w:tcPr>
          <w:p>
            <w:pPr>
              <w:autoSpaceDN w:val="0"/>
              <w:autoSpaceDE w:val="0"/>
              <w:widowControl/>
              <w:spacing w:line="266" w:lineRule="exact" w:before="694" w:after="0"/>
              <w:ind w:left="0" w:right="0" w:firstLine="0"/>
              <w:jc w:val="center"/>
            </w:pPr>
            <w:r>
              <w:rPr>
                <w:rFonts w:ascii="TimesNewRomanPSMT" w:hAnsi="TimesNewRomanPSMT" w:eastAsia="TimesNewRomanPSMT"/>
                <w:b w:val="0"/>
                <w:i w:val="0"/>
                <w:color w:val="000000"/>
                <w:sz w:val="24"/>
              </w:rPr>
              <w:t>buton</w:t>
            </w:r>
          </w:p>
        </w:tc>
        <w:tc>
          <w:tcPr>
            <w:tcW w:type="dxa" w:w="1440"/>
            <w:tcMar>
              <w:start w:w="0" w:type="dxa"/>
              <w:end w:w="0" w:type="dxa"/>
            </w:tcMar>
          </w:tcPr>
          <w:p>
            <w:pPr>
              <w:autoSpaceDN w:val="0"/>
              <w:autoSpaceDE w:val="0"/>
              <w:widowControl/>
              <w:spacing w:line="266" w:lineRule="exact" w:before="694" w:after="0"/>
              <w:ind w:left="0" w:right="0" w:firstLine="0"/>
              <w:jc w:val="center"/>
            </w:pPr>
            <w:r>
              <w:rPr>
                <w:rFonts w:ascii="TimesNewRomanPSMT" w:hAnsi="TimesNewRomanPSMT" w:eastAsia="TimesNewRomanPSMT"/>
                <w:b w:val="0"/>
                <w:i w:val="0"/>
                <w:color w:val="000000"/>
                <w:sz w:val="24"/>
              </w:rPr>
              <w:t>„Dispecer</w:t>
            </w:r>
          </w:p>
        </w:tc>
        <w:tc>
          <w:tcPr>
            <w:tcW w:type="dxa" w:w="1417"/>
            <w:vMerge/>
            <w:tcBorders/>
          </w:tcPr>
          <w:p/>
        </w:tc>
      </w:tr>
      <w:tr>
        <w:trPr>
          <w:trHeight w:hRule="exact" w:val="880"/>
        </w:trPr>
        <w:tc>
          <w:tcPr>
            <w:tcW w:type="dxa" w:w="7164"/>
            <w:gridSpan w:val="6"/>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0" w:after="0"/>
              <w:ind w:left="0" w:right="0" w:firstLine="0"/>
              <w:jc w:val="left"/>
            </w:pPr>
            <w:r>
              <w:rPr>
                <w:rFonts w:ascii="TimesNewRomanPSMT" w:hAnsi="TimesNewRomanPSMT" w:eastAsia="TimesNewRomanPSMT"/>
                <w:b w:val="0"/>
                <w:i w:val="0"/>
                <w:color w:val="000000"/>
                <w:sz w:val="24"/>
              </w:rPr>
              <w:t>dispozitive”.</w:t>
            </w:r>
          </w:p>
        </w:tc>
        <w:tc>
          <w:tcPr>
            <w:tcW w:type="dxa" w:w="1417"/>
            <w:vMerge/>
            <w:tcBorders/>
          </w:tcPr>
          <w:p/>
        </w:tc>
      </w:tr>
    </w:tbl>
    <w:sectPr w:rsidR="00FC693F" w:rsidRPr="0006063C" w:rsidSect="00034616">
      <w:pgSz w:w="11900" w:h="16840"/>
      <w:pgMar w:top="400" w:right="708" w:bottom="498" w:left="127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