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0"/>
        <w:ind w:left="0" w:right="0"/>
      </w:pPr>
    </w:p>
    <w:p>
      <w:pPr>
        <w:autoSpaceDN w:val="0"/>
        <w:autoSpaceDE w:val="0"/>
        <w:widowControl/>
        <w:spacing w:line="266" w:lineRule="exact" w:before="0" w:after="0"/>
        <w:ind w:left="0" w:right="0" w:firstLine="0"/>
        <w:jc w:val="center"/>
      </w:pPr>
      <w:r>
        <w:rPr>
          <w:rFonts w:ascii="Times New Roman" w:hAnsi="Times New Roman" w:eastAsia="Times New Roman"/>
          <w:b/>
          <w:i w:val="0"/>
          <w:color w:val="000000"/>
          <w:sz w:val="24"/>
        </w:rPr>
      </w:r>
      <w:r>
        <w:rPr>
          <w:b/>
        </w:rPr>
        <w:t>5.</w:t>
      </w:r>
      <w:r>
        <w:rPr>
          <w:b w:val="0"/>
        </w:rPr>
        <w:t xml:space="preserve"> 4.8. Analiza cuantică</w:t>
      </w:r>
    </w:p>
    <w:p>
      <w:pPr>
        <w:autoSpaceDN w:val="0"/>
        <w:autoSpaceDE w:val="0"/>
        <w:widowControl/>
        <w:spacing w:line="240" w:lineRule="auto" w:before="0" w:after="0"/>
        <w:ind w:left="248" w:right="0" w:firstLine="0"/>
        <w:jc w:val="left"/>
      </w:pPr>
      <w:r>
        <w:drawing>
          <wp:inline xmlns:a="http://schemas.openxmlformats.org/drawingml/2006/main" xmlns:pic="http://schemas.openxmlformats.org/drawingml/2006/picture">
            <wp:extent cx="5930900" cy="23342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30900" cy="2334260"/>
                    </a:xfrm>
                    <a:prstGeom prst="rect"/>
                  </pic:spPr>
                </pic:pic>
              </a:graphicData>
            </a:graphic>
          </wp:inline>
        </w:drawing>
      </w:r>
    </w:p>
    <w:p>
      <w:pPr>
        <w:autoSpaceDN w:val="0"/>
        <w:autoSpaceDE w:val="0"/>
        <w:widowControl/>
        <w:spacing w:line="276" w:lineRule="exact" w:before="24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 New Roman" w:hAnsi="Times New Roman" w:eastAsia="Times New Roman"/>
          <w:b/>
          <w:i w:val="0"/>
          <w:color w:val="000000"/>
          <w:sz w:val="24"/>
          <w:u w:val="single"/>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Se dorește să vă informăm despre apariția unei noi secțiuni de interpretare a datelor în cadrul cercetării ANALIZA QUANTUM. Dacă vrei să înțelegi ușor și rapid, această secțiune poate fi utilizată pentru a stabili intensitatea procesului de referință, care este diferențiat pe un anumit organ. Imaginați-vă că un grafic complicat este analizat cu un calcul matematic de înaltă precizie, așa cum ar fi dacă noi ar fi reprezentat graficile caracteristicilor de frecvență ale unui anumit organ al pacientului pe hârtie, divizată în milimetri.</w:t>
      </w:r>
    </w:p>
    <w:p>
      <w:pPr>
        <w:autoSpaceDN w:val="0"/>
        <w:autoSpaceDE w:val="0"/>
        <w:widowControl/>
        <w:spacing w:line="266" w:lineRule="exact" w:before="10" w:after="0"/>
        <w:ind w:left="0" w:right="0" w:firstLine="0"/>
        <w:jc w:val="center"/>
      </w:pPr>
      <w:r>
        <w:rPr>
          <w:rFonts w:ascii="TimesNewRomanPSMT" w:hAnsi="TimesNewRomanPSMT" w:eastAsia="TimesNewRomanPSMT"/>
          <w:b w:val="0"/>
          <w:i w:val="0"/>
          <w:color w:val="000000"/>
          <w:sz w:val="24"/>
        </w:rPr>
      </w:r>
      <w:r>
        <w:rPr>
          <w:b w:val="0"/>
        </w:rPr>
        <w:t>Pentru informații mai detaliate despre analiza cuantică, vedeți mai jos în text.</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Atenție la faptul că în secțiunea de analiza cuantică există posibilitatea de a vedea intensitatea dezvoltării a unui proces în organul respectiv. În acest caz, văzim că mastopatia se află în fază de dezvoltare clinică. Acest lucru înseamnă că simptomele bolnavilor încă nu au apărut, dar procesul de dezvoltare al mastopatiei a fost lansat. Descoperirea timpurie a stărilor patologice și prepatologice este una dintre principalele avantaje ale VALOE-diagnosticii.</w:t>
      </w:r>
    </w:p>
    <w:p>
      <w:pPr>
        <w:autoSpaceDN w:val="0"/>
        <w:autoSpaceDE w:val="0"/>
        <w:widowControl/>
        <w:spacing w:line="276" w:lineRule="exact" w:before="280" w:after="0"/>
        <w:ind w:left="2448" w:right="2448" w:firstLine="0"/>
        <w:jc w:val="center"/>
      </w:pPr>
      <w:r>
        <w:rPr>
          <w:rFonts w:ascii="Times New Roman" w:hAnsi="Times New Roman" w:eastAsia="Times New Roman"/>
          <w:b/>
          <w:i w:val="0"/>
          <w:color w:val="000000"/>
          <w:sz w:val="24"/>
        </w:rPr>
      </w:r>
      <w:r>
        <w:rPr>
          <w:rFonts w:ascii="Times New Roman" w:hAnsi="Times New Roman" w:eastAsia="Times New Roman"/>
          <w:b/>
          <w:i w:val="0"/>
          <w:color w:val="000000"/>
          <w:sz w:val="24"/>
        </w:rPr>
      </w:r>
      <w:r>
        <w:rPr>
          <w:b/>
        </w:rPr>
        <w:t>Analiza cuantică din perspectiva fizicii medico-biologice</w:t>
      </w:r>
    </w:p>
    <w:p>
      <w:pPr>
        <w:autoSpaceDN w:val="0"/>
        <w:autoSpaceDE w:val="0"/>
        <w:widowControl/>
        <w:spacing w:line="276" w:lineRule="exact" w:before="272"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 prezent, știința mondială a ajuns la un nou nivel de dezvoltare, caracterizat prin crearea cunoașterii integrative, obținută prin dezvoltarea și activitatea specială a unor direcții științifice complexe, care sinteze în sine cunoașterile, principiile și metodele unor discipline științifice, deoarece doar pe o astfel de bază pot fi rezolvate</w:t>
      </w:r>
    </w:p>
    <w:p>
      <w:pPr>
        <w:autoSpaceDN w:val="0"/>
        <w:autoSpaceDE w:val="0"/>
        <w:widowControl/>
        <w:spacing w:line="220" w:lineRule="exact" w:before="0" w:after="0"/>
        <w:ind w:left="0" w:right="0"/>
      </w:pPr>
    </w:p>
    <w:p>
      <w:pPr>
        <w:autoSpaceDN w:val="0"/>
        <w:autoSpaceDE w:val="0"/>
        <w:widowControl/>
        <w:spacing w:line="276" w:lineRule="exact" w:before="0" w:after="6"/>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Intrebări nodale ale științei moderne. Teoria logicii entropice cuantice a profesorului Teodor van Houwen-fizician cuantic și specialist în psihologie socială-a devenit exact o știință sintezeze. Această teorie se bazează pe cunoștințe, principii, axiome și postulate diverse ale științei moderne: de la teoria informației, mecanica cuantică, termodinamica, teoria relativității până la filozofie, psihologie, sociologie, ecologie, teorie a dezastrelor și alte discipline. Fondamentele teoretice ale schimbului informational au fost puse de C. Shannon, care a propus o măsură statistică a cantității de informații. Teoria informației propusă de Shannon are o aplicație limitată din cauza faptului că funcția informational este considerată de Shannon ca o abstrație matematică, fără legătură cu celelalte.</w:t>
      </w:r>
    </w:p>
    <w:tbl>
      <w:tblPr>
        <w:tblW w:type="auto" w:w="0"/>
        <w:tblLayout w:type="fixed"/>
        <w:tblLook w:firstColumn="1" w:firstRow="1" w:lastColumn="0" w:lastRow="0" w:noHBand="0" w:noVBand="1" w:val="04A0"/>
        <w:tblInd w:w="0.0" w:type="dxa"/>
      </w:tblPr>
      <w:tblGrid>
        <w:gridCol w:w="1239"/>
        <w:gridCol w:w="1239"/>
        <w:gridCol w:w="1239"/>
        <w:gridCol w:w="1239"/>
        <w:gridCol w:w="1239"/>
        <w:gridCol w:w="1239"/>
        <w:gridCol w:w="1239"/>
        <w:gridCol w:w="1239"/>
      </w:tblGrid>
      <w:tr>
        <w:trPr>
          <w:trHeight w:hRule="exact" w:val="274"/>
        </w:trPr>
        <w:tc>
          <w:tcPr>
            <w:tcW w:type="dxa" w:w="2184"/>
            <w:tcMar>
              <w:start w:w="0" w:type="dxa"/>
              <w:end w:w="0" w:type="dxa"/>
            </w:tcMar>
          </w:tcPr>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t>fundamentale</w:t>
            </w:r>
          </w:p>
        </w:tc>
        <w:tc>
          <w:tcPr>
            <w:tcW w:type="dxa" w:w="14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Functii</w:t>
            </w:r>
          </w:p>
        </w:tc>
        <w:tc>
          <w:tcPr>
            <w:tcW w:type="dxa" w:w="11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Materii</w:t>
            </w:r>
          </w:p>
        </w:tc>
        <w:tc>
          <w:tcPr>
            <w:tcW w:type="dxa" w:w="4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 xml:space="preserve">и </w:t>
            </w:r>
          </w:p>
        </w:tc>
        <w:tc>
          <w:tcPr>
            <w:tcW w:type="dxa" w:w="50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 xml:space="preserve">не </w:t>
            </w:r>
          </w:p>
        </w:tc>
        <w:tc>
          <w:tcPr>
            <w:tcW w:type="dxa" w:w="16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reprezintă</w:t>
            </w:r>
          </w:p>
        </w:tc>
        <w:tc>
          <w:tcPr>
            <w:tcW w:type="dxa" w:w="16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Opțiuni</w:t>
            </w:r>
          </w:p>
        </w:tc>
        <w:tc>
          <w:tcPr>
            <w:tcW w:type="dxa" w:w="980"/>
            <w:tcMar>
              <w:start w:w="0" w:type="dxa"/>
              <w:end w:w="0" w:type="dxa"/>
            </w:tcMar>
          </w:tcPr>
          <w:p>
            <w:pPr>
              <w:autoSpaceDN w:val="0"/>
              <w:autoSpaceDE w:val="0"/>
              <w:widowControl/>
              <w:spacing w:line="266" w:lineRule="exact" w:before="4" w:after="0"/>
              <w:ind w:left="110" w:right="0" w:firstLine="0"/>
              <w:jc w:val="left"/>
            </w:pPr>
            <w:r>
              <w:rPr>
                <w:rFonts w:ascii="TimesNewRomanPSMT" w:hAnsi="TimesNewRomanPSMT" w:eastAsia="TimesNewRomanPSMT"/>
                <w:b w:val="0"/>
                <w:i w:val="0"/>
                <w:color w:val="000000"/>
                <w:sz w:val="24"/>
              </w:rPr>
              <w:t>Descrierea</w:t>
            </w:r>
          </w:p>
        </w:tc>
      </w:tr>
    </w:tbl>
    <w:p>
      <w:pPr>
        <w:autoSpaceDN w:val="0"/>
        <w:autoSpaceDE w:val="0"/>
        <w:widowControl/>
        <w:spacing w:line="276" w:lineRule="exact" w:before="0" w:after="0"/>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Legești și reguli obiective ale obținerii informației inițiale în procesul cunoscătorii științifice. În teoria sa, van Houwen consideră funcția informatică ca o categorie materială care reflectă nivelul organizării structurale interne ale obiectului și se află în relație cu caracteristici fundamentale precum energia și masa obiectului.</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Dacă se analizează modelul electron-pozitron al vidului, propus de Paul Dirac ca o structură spațială formată dintr-un pachet de electroni și pozitroni, apariția sursei de perturbare a masei se manifestă prin necompensația inertiei a acestor particule, percepută ca un câmp gravitațional. Dar în același timp, apare și necompensația spinului, care se manifestă ca un anumit câmp fizic și care este, deci, un component al gravitației și are o direcție identică (convergență) în continuumul spațiu-timp.</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Professor H. Tokugawa (Tokyo University) first suggested that the spin of a particle, which characterizes its rotation around its own axis, corresponds to a specific physical field that is later known as the "entropy quantum field" or the "Kelly terminal field".</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C. Thorn și Y. Walton au încercat să descopere experimental un câmp determinat de interacțiunea spinilor. Prezența unui asemenea câmp ar fi fost un "garant" pentru conservarea momentului impulsului, similar cu cum un câmp gravitațional existent în jurul oricărei sisteme de corpuri este în mod univoc legat de masa conservată a sistemului.</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Potrivit principului de incertitudine Heisenberg, nu se poate stabili valorile precise ale coordonatei și ale impulsului pentru un obiect cuantic. Valorile zero ale entropiei negative ale vidului sunt "interzise" de principiul de incertitudine, deoarece în acest caz se cunosc simultan coordonata și vectorul impulsului al obiectului. Numărul de grade de libertate în vid este infinit, deci mărimea fluctuației densității entropiei vidului poate fi și ea infinită.</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De aceea, pot apărea stări în care vidul are un nivel de organizare extrem de ridicat, pe care van Hooven l-a calificat „ca fiind similar cu conștiința sau stări asemănătoare”.</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Teoria generală a relativității a lui Albert Einstein a legat câmpurile gravitaționale cu curbarea spațiului-timpului cu patru dimensiuni. Profesorul van Houwen, pornind de la principiul convergenței acțiunii forțelor gravitaționale și al entropiei, a construit un model matematic al câmpului cuantic al entropiei, care reprezintă un „câmp quasi”, generat de deformarea spațiului-timpului provocată.</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Van Houwen a reușit să depășească bariera interdisciplinară și să leagă în unitatea mecanica lui Newton, Einstein, Planck, electrodinamica lui Maxwell și termodinamica cu caracteristicile fundamentale cuantic-entropice ale vidului.</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Teodor van Houwen a avansat o hipoteză care a marcat începutul unei adevărate revoluții în știință. Acestă hipoteză afirmă că mărimea pierderii organizării sistemice a sistemelor materiale în interacțiune cu radiația electromagnetica nu poate avea valori aleatorii și nici nu poate fi egală cu zero. Densitatea câmpului entropiei sistemelor elementare trebuie să fie egală cu un număr întreg, multiplu al unei anumite cantități de energie a sistemului.</w:t>
      </w:r>
    </w:p>
    <w:p>
      <w:pPr>
        <w:autoSpaceDN w:val="0"/>
        <w:autoSpaceDE w:val="0"/>
        <w:widowControl/>
        <w:spacing w:line="220" w:lineRule="exact" w:before="0" w:after="0"/>
        <w:ind w:left="0" w:right="0"/>
      </w:pPr>
    </w:p>
    <w:p>
      <w:pPr>
        <w:autoSpaceDN w:val="0"/>
        <w:tabs>
          <w:tab w:pos="720" w:val="left"/>
        </w:tabs>
        <w:autoSpaceDE w:val="0"/>
        <w:widowControl/>
        <w:spacing w:line="272" w:lineRule="exact" w:before="0" w:after="4"/>
        <w:ind w:left="0" w:right="0" w:firstLine="0"/>
        <w:jc w:val="left"/>
      </w:p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Prin acest lucru, van Houwen a definit relația dintre gradul de distrugere al sistemului și cantitatea maximă de energie pe care sistemul poate să emită sau să absorbe.</w:t>
      </w:r>
    </w:p>
    <w:tbl>
      <w:tblPr>
        <w:tblW w:type="auto" w:w="0"/>
        <w:tblLayout w:type="fixed"/>
        <w:tblLook w:firstColumn="1" w:firstRow="1" w:lastColumn="0" w:lastRow="0" w:noHBand="0" w:noVBand="1" w:val="04A0"/>
        <w:tblInd w:w="344.00000000000006" w:type="dxa"/>
      </w:tblPr>
      <w:tblGrid>
        <w:gridCol w:w="1417"/>
        <w:gridCol w:w="1417"/>
        <w:gridCol w:w="1417"/>
        <w:gridCol w:w="1417"/>
        <w:gridCol w:w="1417"/>
        <w:gridCol w:w="1417"/>
        <w:gridCol w:w="1417"/>
      </w:tblGrid>
      <w:tr>
        <w:trPr>
          <w:trHeight w:hRule="exact" w:val="276"/>
        </w:trPr>
        <w:tc>
          <w:tcPr>
            <w:tcW w:type="dxa" w:w="1360"/>
            <w:tcMar>
              <w:start w:w="0" w:type="dxa"/>
              <w:end w:w="0" w:type="dxa"/>
            </w:tcMar>
          </w:tcPr>
          <w:p>
            <w:pPr>
              <w:autoSpaceDN w:val="0"/>
              <w:autoSpaceDE w:val="0"/>
              <w:widowControl/>
              <w:spacing w:line="266" w:lineRule="exact" w:before="6" w:after="0"/>
              <w:ind w:left="0" w:right="152" w:firstLine="0"/>
              <w:jc w:val="right"/>
            </w:pPr>
            <w:r>
              <w:rPr>
                <w:rFonts w:ascii="TimesNewRomanPSMT" w:hAnsi="TimesNewRomanPSMT" w:eastAsia="TimesNewRomanPSMT"/>
                <w:b w:val="0"/>
                <w:i w:val="0"/>
                <w:color w:val="000000"/>
                <w:sz w:val="24"/>
              </w:rPr>
              <w:t>Fiecare</w:t>
            </w:r>
          </w:p>
        </w:tc>
        <w:tc>
          <w:tcPr>
            <w:tcW w:type="dxa" w:w="178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Materială</w:t>
            </w:r>
          </w:p>
        </w:tc>
        <w:tc>
          <w:tcPr>
            <w:tcW w:type="dxa" w:w="120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sistem</w:t>
            </w:r>
          </w:p>
        </w:tc>
        <w:tc>
          <w:tcPr>
            <w:tcW w:type="dxa" w:w="98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Are proprietate</w:t>
            </w:r>
          </w:p>
        </w:tc>
        <w:tc>
          <w:tcPr>
            <w:tcW w:type="dxa" w:w="188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Optare</w:t>
            </w:r>
          </w:p>
        </w:tc>
        <w:tc>
          <w:tcPr>
            <w:tcW w:type="dxa" w:w="202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interacțiune</w:t>
            </w:r>
          </w:p>
        </w:tc>
        <w:tc>
          <w:tcPr>
            <w:tcW w:type="dxa" w:w="340"/>
            <w:tcMar>
              <w:start w:w="0" w:type="dxa"/>
              <w:end w:w="0" w:type="dxa"/>
            </w:tcMar>
          </w:tcPr>
          <w:p>
            <w:pPr>
              <w:autoSpaceDN w:val="0"/>
              <w:autoSpaceDE w:val="0"/>
              <w:widowControl/>
              <w:spacing w:line="266" w:lineRule="exact" w:before="6" w:after="0"/>
              <w:ind w:left="0" w:right="8" w:firstLine="0"/>
              <w:jc w:val="right"/>
            </w:pPr>
            <w:r>
              <w:rPr>
                <w:rFonts w:ascii="TimesNewRomanPSMT" w:hAnsi="TimesNewRomanPSMT" w:eastAsia="TimesNewRomanPSMT"/>
                <w:b w:val="0"/>
                <w:i w:val="0"/>
                <w:color w:val="000000"/>
                <w:sz w:val="24"/>
              </w:rPr>
              <w:t xml:space="preserve">с </w:t>
            </w:r>
          </w:p>
        </w:tc>
      </w:tr>
    </w:tbl>
    <w:p>
      <w:pPr>
        <w:autoSpaceDN w:val="0"/>
        <w:autoSpaceDE w:val="0"/>
        <w:widowControl/>
        <w:spacing w:line="274" w:lineRule="exact" w:before="0" w:after="0"/>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Rădierea electromagnetică cu lungime de undă determinată, cu energie cuantică echivalentă cu energia necesară pentru ruperea legăturii (potentialul entropic) a componentelor principale ale sistemului.</w:t>
      </w:r>
    </w:p>
    <w:p>
      <w:pPr>
        <w:autoSpaceDN w:val="0"/>
        <w:autoSpaceDE w:val="0"/>
        <w:widowControl/>
        <w:spacing w:line="276" w:lineRule="exact" w:before="0" w:after="4"/>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 procesul de interacțiune a componentelor sistemului cu cuantumi de câmp electromagnetic, se schimbă mărimea densității câmpului de entropie a sistemului, ceea ce determină o perturbație a echilibrului gravitațional-static în mediul extern. Schimbarea gradientului câmpului gravitațional determină schimbarea curbătoriei spațiului, ceea ce duce la schimbarea mărimi valorilor de entropie ale sistemului, pentru fiecare componentă al cărui sunt caracteristice stări precise (cuante) ale mărimi câmpului de entropie.</w:t>
      </w:r>
    </w:p>
    <w:tbl>
      <w:tblPr>
        <w:tblW w:type="auto" w:w="0"/>
        <w:tblLayout w:type="fixed"/>
        <w:tblLook w:firstColumn="1" w:firstRow="1" w:lastColumn="0" w:lastRow="0" w:noHBand="0" w:noVBand="1" w:val="04A0"/>
        <w:tblInd w:w="344.00000000000006" w:type="dxa"/>
      </w:tblPr>
      <w:tblGrid>
        <w:gridCol w:w="1653"/>
        <w:gridCol w:w="1653"/>
        <w:gridCol w:w="1653"/>
        <w:gridCol w:w="1653"/>
        <w:gridCol w:w="1653"/>
        <w:gridCol w:w="1653"/>
      </w:tblGrid>
      <w:tr>
        <w:trPr>
          <w:trHeight w:hRule="exact" w:val="278"/>
        </w:trPr>
        <w:tc>
          <w:tcPr>
            <w:tcW w:type="dxa" w:w="1920"/>
            <w:tcMar>
              <w:start w:w="0" w:type="dxa"/>
              <w:end w:w="0" w:type="dxa"/>
            </w:tcMar>
          </w:tcPr>
          <w:p>
            <w:pPr>
              <w:autoSpaceDN w:val="0"/>
              <w:autoSpaceDE w:val="0"/>
              <w:widowControl/>
              <w:spacing w:line="266" w:lineRule="exact" w:before="6" w:after="0"/>
              <w:ind w:left="376" w:right="0" w:firstLine="0"/>
              <w:jc w:val="left"/>
            </w:pPr>
            <w:r>
              <w:rPr>
                <w:rFonts w:ascii="TimesNewRomanPSMT" w:hAnsi="TimesNewRomanPSMT" w:eastAsia="TimesNewRomanPSMT"/>
                <w:b w:val="0"/>
                <w:i w:val="0"/>
                <w:color w:val="000000"/>
                <w:sz w:val="24"/>
              </w:rPr>
              <w:t>Entropia</w:t>
            </w:r>
          </w:p>
        </w:tc>
        <w:tc>
          <w:tcPr>
            <w:tcW w:type="dxa" w:w="198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neodnorodnost</w:t>
            </w:r>
          </w:p>
        </w:tc>
        <w:tc>
          <w:tcPr>
            <w:tcW w:type="dxa" w:w="94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marți</w:t>
            </w:r>
          </w:p>
        </w:tc>
        <w:tc>
          <w:tcPr>
            <w:tcW w:type="dxa" w:w="176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Materială</w:t>
            </w:r>
          </w:p>
        </w:tc>
        <w:tc>
          <w:tcPr>
            <w:tcW w:type="dxa" w:w="1240"/>
            <w:tcMar>
              <w:start w:w="0" w:type="dxa"/>
              <w:end w:w="0" w:type="dxa"/>
            </w:tcMar>
          </w:tcPr>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t>sisteme</w:t>
            </w:r>
          </w:p>
        </w:tc>
        <w:tc>
          <w:tcPr>
            <w:tcW w:type="dxa" w:w="1720"/>
            <w:tcMar>
              <w:start w:w="0" w:type="dxa"/>
              <w:end w:w="0" w:type="dxa"/>
            </w:tcMar>
          </w:tcPr>
          <w:p>
            <w:pPr>
              <w:autoSpaceDN w:val="0"/>
              <w:autoSpaceDE w:val="0"/>
              <w:widowControl/>
              <w:spacing w:line="266" w:lineRule="exact" w:before="6" w:after="0"/>
              <w:ind w:left="132" w:right="0" w:firstLine="0"/>
              <w:jc w:val="left"/>
            </w:pPr>
            <w:r>
              <w:rPr>
                <w:rFonts w:ascii="TimesNewRomanPSMT" w:hAnsi="TimesNewRomanPSMT" w:eastAsia="TimesNewRomanPSMT"/>
                <w:b w:val="0"/>
                <w:i w:val="0"/>
                <w:color w:val="000000"/>
                <w:sz w:val="24"/>
              </w:rPr>
              <w:t>condiționată</w:t>
            </w:r>
          </w:p>
        </w:tc>
      </w:tr>
    </w:tbl>
    <w:p>
      <w:pPr>
        <w:autoSpaceDN w:val="0"/>
        <w:autoSpaceDE w:val="0"/>
        <w:widowControl/>
        <w:spacing w:line="274" w:lineRule="exact" w:before="0" w:after="0"/>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Campurile electromagnetice și gravitaționale servesc ca sursă de energie internă a sistemului, care pentru particulele cu încărcare electrică și spin se manifestă prin generarea unui câmp terminal.</w:t>
      </w:r>
    </w:p>
    <w:p>
      <w:pPr>
        <w:autoSpaceDN w:val="0"/>
        <w:autoSpaceDE w:val="0"/>
        <w:widowControl/>
        <w:spacing w:line="276" w:lineRule="exact" w:before="0" w:after="6"/>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Astfel, schimbul de informații al structurilor elementare ale componentelor sistemului se efectuează la distanță, asociativ și selectiv, cu ajutorul cuantelor de radiație electromagnetică, care au energie echivalentă cu energia de rupere a legăturii (entropică).</w:t>
      </w:r>
    </w:p>
    <w:tbl>
      <w:tblPr>
        <w:tblW w:type="auto" w:w="0"/>
        <w:tblLayout w:type="fixed"/>
        <w:tblLook w:firstColumn="1" w:firstRow="1" w:lastColumn="0" w:lastRow="0" w:noHBand="0" w:noVBand="1" w:val="04A0"/>
        <w:tblInd w:w="0.0" w:type="dxa"/>
      </w:tblPr>
      <w:tblGrid>
        <w:gridCol w:w="1417"/>
        <w:gridCol w:w="1417"/>
        <w:gridCol w:w="1417"/>
        <w:gridCol w:w="1417"/>
        <w:gridCol w:w="1417"/>
        <w:gridCol w:w="1417"/>
        <w:gridCol w:w="1417"/>
      </w:tblGrid>
      <w:tr>
        <w:trPr>
          <w:trHeight w:hRule="exact" w:val="274"/>
        </w:trPr>
        <w:tc>
          <w:tcPr>
            <w:tcW w:type="dxa" w:w="1464"/>
            <w:tcMar>
              <w:start w:w="0" w:type="dxa"/>
              <w:end w:w="0" w:type="dxa"/>
            </w:tcMar>
          </w:tcPr>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t>Potentialul</w:t>
            </w:r>
          </w:p>
        </w:tc>
        <w:tc>
          <w:tcPr>
            <w:tcW w:type="dxa" w:w="176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elementară</w:t>
            </w:r>
          </w:p>
        </w:tc>
        <w:tc>
          <w:tcPr>
            <w:tcW w:type="dxa" w:w="14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Strukturi</w:t>
            </w:r>
          </w:p>
        </w:tc>
        <w:tc>
          <w:tcPr>
            <w:tcW w:type="dxa" w:w="126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Sisteme.</w:t>
            </w:r>
          </w:p>
        </w:tc>
        <w:tc>
          <w:tcPr>
            <w:tcW w:type="dxa" w:w="16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Statice</w:t>
            </w:r>
          </w:p>
        </w:tc>
        <w:tc>
          <w:tcPr>
            <w:tcW w:type="dxa" w:w="20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gravitaționale</w:t>
            </w:r>
          </w:p>
        </w:tc>
        <w:tc>
          <w:tcPr>
            <w:tcW w:type="dxa" w:w="340"/>
            <w:tcMar>
              <w:start w:w="0" w:type="dxa"/>
              <w:end w:w="0" w:type="dxa"/>
            </w:tcMar>
          </w:tcPr>
          <w:p>
            <w:pPr>
              <w:autoSpaceDN w:val="0"/>
              <w:autoSpaceDE w:val="0"/>
              <w:widowControl/>
              <w:spacing w:line="266" w:lineRule="exact" w:before="4" w:after="0"/>
              <w:ind w:left="0" w:right="8" w:firstLine="0"/>
              <w:jc w:val="right"/>
            </w:pPr>
            <w:r>
              <w:rPr>
                <w:rFonts w:ascii="TimesNewRomanPSMT" w:hAnsi="TimesNewRomanPSMT" w:eastAsia="TimesNewRomanPSMT"/>
                <w:b w:val="0"/>
                <w:i w:val="0"/>
                <w:color w:val="000000"/>
                <w:sz w:val="24"/>
              </w:rPr>
              <w:t xml:space="preserve">и </w:t>
            </w:r>
          </w:p>
        </w:tc>
      </w:tr>
    </w:tbl>
    <w:p>
      <w:pPr>
        <w:autoSpaceDN w:val="0"/>
        <w:autoSpaceDE w:val="0"/>
        <w:widowControl/>
        <w:spacing w:line="274" w:lineRule="exact" w:before="0" w:after="0"/>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Campurile electromagnetice determină mișcarea mecanică și polarizarea sistemului, iar câmpurile dinamice gravitaționale și electromagnetice excită în el un potențial entropic.</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Orice sistem material (mecanic, fizico-chimic, biologic, sociologic) poate fi doar în stări staționare în care energia legăturii interne a componentelor depășește fondul energetic al câmpurilor de entropie ale mediului înconjurător.</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 conformitate cu postulații ale logicii cuantic-entropice, orice eveniment, chiar și la o scară foarte mică de timp, se produce discret, prin schimbarea stărilor de fază ale sistemului. Dacă mărimea stimuluiului, care se înțelege orice influență externă, depășește pragul critic, mărimea entropiei sistemului crește brusc.</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 consecință, trebuie să existe un anumit "stare terminală" a sistemului, unde la trecerea unui stimul peste pragul critic se produce o rupere a legăturilor interne dominaționale, care încetează existența sistemului ca un tot funcțional unit. Din perspectiva mecanicii cuantice, ruperea reală – rezultat finit al unei modificări infinit de mici – este principial neobservabilă: niciodată nu se poate afirma cu siguranță că cauza a fost mai mare decât orice valoare finită, stabilită în avans.</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Justiția formulei legii conservării nivelului general de organizare structurală a sistemului a permis lui van Houwen să explice existența așa-ziselor «fenomene paranormale» din poziții materialiste și naturalești, fără a recurge la concepte mistice sau religioase. Multe fenomene paranormale pot fi explicate cu ajutorul principilor fundamentale ale teorii de logică entropică cuantică, care pot fi reduse la un cerc restrâns de fenomene fizice accesibile studiului natural. Cu ajutorul acesteia, se pot explica bine fenomene paranormale precum «viziunea clarvăzătoare», «telepatia» și direcțiile practice importante conexe, precum radiaestesia.</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Teoria logicii cu entropie cuantică permite posibilitatea principială a prezicerea evenimentelor viitoare, în absența informației de bază (prezicerea neliniară). Din punctul de vedere al logicii obișnuite, triviale, viitorul nu există, iar prezicerea evenimentelor viitoare pare a fi o invazie a absurdului în sferele sacre ale simțului comun.</w:t>
      </w:r>
    </w:p>
    <w:p>
      <w:pPr>
        <w:autoSpaceDN w:val="0"/>
        <w:autoSpaceDE w:val="0"/>
        <w:widowControl/>
        <w:spacing w:line="220" w:lineRule="exact" w:before="0" w:after="0"/>
        <w:ind w:left="0" w:right="0"/>
      </w:pPr>
    </w:p>
    <w:p>
      <w:pPr>
        <w:autoSpaceDN w:val="0"/>
        <w:autoSpaceDE w:val="0"/>
        <w:widowControl/>
        <w:spacing w:line="274"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Teoria logicii entropice conține Teorema Abrahamsons despre imposibilitatea de a caracteriza în o scară unică de timp momentul ruptei legăturilor interne în timpul trecerii la o valoare critică a stimului. În momentul distrugerii, toate stările de fază converg către un singur centru, care există în afara timpului. Acest stat al sistemului, care corespunde fazei de rupere terminală, poate fi numit cu ușurință „focul timpului”.</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 focusul timpului, toate stările de fază se unesc, densitatea entropiei sistemului se apropie de infinit. Astfel, sistemul, aflându-se în fază terminală, poate fi înregistrat în orice altă fază a existenței sale. Precisarea prognozei stării sistemului va fi proporțională cu potențialul său entropic în faza temporală dată.</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Înregistrarea valorilor extreme ale potențialului de entropie pe o scară de timp permite determinarea condițiilor de existență stabilă ale oricărei sisteme materiale (obiect).</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Teorema neopredefinității fazelor de stare permite să se prezice cu o anumită probabilitate apariția stărilor instabile, metastabile, în care riscul de distrugere al sistemului crește semnificativ.</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Traducerea experimentului care a confirmat principiul necertitudinii în stări de fază, efectuat de J. Heppard (Universitatea Stanford) în condiții de laborator controlate pentru a prezice evenimente viitoare generate de un generator de numere aleatorii, este următoarea:</w:t>
        <w:t>* Experimentul a confirmat principiul necertitudinii în stări de fază.</w:t>
        <w:t>* A fost efectuat de J. Heppard de la Universitatea Stanford în condiții de laborator controlate.</w:t>
        <w:t>* Scopul experimentului era să prezice evenimente viitoare generate de un generator de numere aleatorii.</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A fost identificată o înaltă corelație între parametrii care caracterizează viteza creșterii densității câmpului entropiei sistemului metastabil și a preciziei prezicției.</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Un sistem metastabil poate fi reprezentat printr-un set de elemente, în fiecare dintre acestea se produce o creștere treptată a densității entropiei, conducând sistemul la o stare critică instabilă (apar neliniaritatea, multiplicitatea stărilor, apar procese în lanț și avalanșă). Sistemele metastabile prezintă o sensibilitate ridicată la influențele externe extrem de slabe cu un număr suficient de mare de elemente active (N). Cu cât valoarea lui N este mai mare, cu atât influența poate duce sistemul la o stare terminală mai slabă. Fluctuația densității entropiei unui sistem metastabil este însoțită de generarea de zgomot de pâlpâire, o trăsătură caracteristică a căruia este creșterea puterii semnalului într-un singur interval de frecvență cu o scădere a frecvenței. Cele mai simple elemente fizice care generează zgomot de pâlpâire vor corespunde defectelor structurii interne; acestea pot fi erori tectonice în structurile geologice, defecte ale rețelei cristaline în elementele semiconductoare sau centre de impurități în substraturi biologice.</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T. van Houwen, la invitația Academiei Naționale de Științe, a Administrației Naționale de Aeronautică și Spațiu (NASA) și a Pentagonului, a condus un program pentru crearea de dispozitive electronice, destinate modificării intenționate ale stării de conștiință și obținerii efectelor psihofizice reproducibile pentru obținerea de informații fără contact de la obiecte fizice îndepărtate (ascunse).</w:t>
      </w:r>
    </w:p>
    <w:p>
      <w:pPr>
        <w:autoSpaceDN w:val="0"/>
        <w:autoSpaceDE w:val="0"/>
        <w:widowControl/>
        <w:spacing w:line="276" w:lineRule="exact" w:before="0" w:after="6"/>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Majoritatea experimentelor au fost efectuate în zidurile Institutului de Cercetare Internațional Stanford (SRI) – laboratorul principal care studiază efectele paranormale. Experimentul a fost finalizat cu crearea aparaturii care funcționează pe baza principiului de amplificare a semnalului inițial în timpul dezintegrării statelor metastabile. Mai târziu, această aparatură, precum și alte construcții similare, au primit denumirea comună pentru toată grupa de aparate „mașini de gândire” (metatroane). Din punct de vedere fizic, „mașini de gândire” reprezintă un sistem de oscilații electronice, care rezonant la lungimea undei a radiației electromagnetice, energia căreia este adecvată energiei</w:t>
      </w:r>
    </w:p>
    <w:tbl>
      <w:tblPr>
        <w:tblW w:type="auto" w:w="0"/>
        <w:tblLayout w:type="fixed"/>
        <w:tblLook w:firstColumn="1" w:firstRow="1" w:lastColumn="0" w:lastRow="0" w:noHBand="0" w:noVBand="1" w:val="04A0"/>
        <w:tblInd w:w="0.0" w:type="dxa"/>
      </w:tblPr>
      <w:tblGrid>
        <w:gridCol w:w="1653"/>
        <w:gridCol w:w="1653"/>
        <w:gridCol w:w="1653"/>
        <w:gridCol w:w="1653"/>
        <w:gridCol w:w="1653"/>
        <w:gridCol w:w="1653"/>
      </w:tblGrid>
      <w:tr>
        <w:trPr>
          <w:trHeight w:hRule="exact" w:val="274"/>
        </w:trPr>
        <w:tc>
          <w:tcPr>
            <w:tcW w:type="dxa" w:w="1404"/>
            <w:tcMar>
              <w:start w:w="0" w:type="dxa"/>
              <w:end w:w="0" w:type="dxa"/>
            </w:tcMar>
          </w:tcPr>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t>Războaie</w:t>
            </w:r>
          </w:p>
        </w:tc>
        <w:tc>
          <w:tcPr>
            <w:tcW w:type="dxa" w:w="188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Entropia</w:t>
            </w:r>
          </w:p>
        </w:tc>
        <w:tc>
          <w:tcPr>
            <w:tcW w:type="dxa" w:w="158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Potentialul</w:t>
            </w:r>
          </w:p>
        </w:tc>
        <w:tc>
          <w:tcPr>
            <w:tcW w:type="dxa" w:w="196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dominante</w:t>
            </w:r>
          </w:p>
        </w:tc>
        <w:tc>
          <w:tcPr>
            <w:tcW w:type="dxa" w:w="10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Legături,</w:t>
            </w:r>
          </w:p>
        </w:tc>
        <w:tc>
          <w:tcPr>
            <w:tcW w:type="dxa" w:w="2040"/>
            <w:tcMar>
              <w:start w:w="0" w:type="dxa"/>
              <w:end w:w="0" w:type="dxa"/>
            </w:tcMar>
          </w:tcPr>
          <w:p>
            <w:pPr>
              <w:autoSpaceDN w:val="0"/>
              <w:autoSpaceDE w:val="0"/>
              <w:widowControl/>
              <w:spacing w:line="266" w:lineRule="exact" w:before="4" w:after="0"/>
              <w:ind w:left="128" w:right="0" w:firstLine="0"/>
              <w:jc w:val="left"/>
            </w:pPr>
            <w:r>
              <w:rPr>
                <w:rFonts w:ascii="TimesNewRomanPSMT" w:hAnsi="TimesNewRomanPSMT" w:eastAsia="TimesNewRomanPSMT"/>
                <w:b w:val="0"/>
                <w:i w:val="0"/>
                <w:color w:val="000000"/>
                <w:sz w:val="24"/>
              </w:rPr>
              <w:t>sustinând</w:t>
            </w:r>
          </w:p>
        </w:tc>
      </w:tr>
    </w:tbl>
    <w:p>
      <w:pPr>
        <w:autoSpaceDN w:val="0"/>
        <w:autoSpaceDE w:val="0"/>
        <w:widowControl/>
        <w:spacing w:line="266" w:lineRule="exact" w:before="6" w:after="0"/>
        <w:ind w:left="0" w:right="0" w:firstLine="0"/>
        <w:jc w:val="left"/>
      </w:pPr>
      <w:r>
        <w:rPr>
          <w:rFonts w:ascii="TimesNewRomanPSMT" w:hAnsi="TimesNewRomanPSMT" w:eastAsia="TimesNewRomanPSMT"/>
          <w:b w:val="0"/>
          <w:i w:val="0"/>
          <w:color w:val="000000"/>
          <w:sz w:val="24"/>
        </w:rPr>
      </w:r>
      <w:r>
        <w:rPr>
          <w:b w:val="0"/>
        </w:rPr>
        <w:t>Organizația structurală a sistemului studiat.</w:t>
      </w:r>
    </w:p>
    <w:p>
      <w:pPr>
        <w:autoSpaceDN w:val="0"/>
        <w:autoSpaceDE w:val="0"/>
        <w:widowControl/>
        <w:spacing w:line="220" w:lineRule="exact" w:before="0" w:after="0"/>
        <w:ind w:left="0" w:right="0"/>
      </w:pPr>
    </w:p>
    <w:p>
      <w:pPr>
        <w:autoSpaceDN w:val="0"/>
        <w:autoSpaceDE w:val="0"/>
        <w:widowControl/>
        <w:spacing w:line="272"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Teoria logicii entropice cuantice a lui T. van Hoven permite să se răspundă din punct de vedere fizic la întrebarea filozofică veche – de ce lumea în jurul nostru este atât de imperfectă, de ce se produc nefericirile, dezastrele, catastrofele și războaiele, ce este bun și rău.</w:t>
      </w:r>
    </w:p>
    <w:p>
      <w:pPr>
        <w:autoSpaceDN w:val="0"/>
        <w:autoSpaceDE w:val="0"/>
        <w:widowControl/>
        <w:spacing w:line="276" w:lineRule="exact" w:before="0" w:after="6"/>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La diversitatea de evenimente nefericite, dezastre și fenomene naturale, există o mecanică ascunsă comună – procesele de auto-oscilație ale densității câmpurilor de entropie a vidului, legate de schimbarea gradientului câmpurilor gravitaționale și electromagnetice.</w:t>
      </w:r>
    </w:p>
    <w:tbl>
      <w:tblPr>
        <w:tblW w:type="auto" w:w="0"/>
        <w:tblLayout w:type="fixed"/>
        <w:tblLook w:firstColumn="1" w:firstRow="1" w:lastColumn="0" w:lastRow="0" w:noHBand="0" w:noVBand="1" w:val="04A0"/>
        <w:tblInd w:w="0.0" w:type="dxa"/>
      </w:tblPr>
      <w:tblGrid>
        <w:gridCol w:w="1417"/>
        <w:gridCol w:w="1417"/>
        <w:gridCol w:w="1417"/>
        <w:gridCol w:w="1417"/>
        <w:gridCol w:w="1417"/>
        <w:gridCol w:w="1417"/>
        <w:gridCol w:w="1417"/>
      </w:tblGrid>
      <w:tr>
        <w:trPr>
          <w:trHeight w:hRule="exact" w:val="274"/>
        </w:trPr>
        <w:tc>
          <w:tcPr>
            <w:tcW w:type="dxa" w:w="1644"/>
            <w:tcMar>
              <w:start w:w="0" w:type="dxa"/>
              <w:end w:w="0" w:type="dxa"/>
            </w:tcMar>
          </w:tcPr>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t>definit</w:t>
            </w:r>
          </w:p>
        </w:tc>
        <w:tc>
          <w:tcPr>
            <w:tcW w:type="dxa" w:w="10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moment</w:t>
            </w:r>
          </w:p>
        </w:tc>
        <w:tc>
          <w:tcPr>
            <w:tcW w:type="dxa" w:w="11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Timp</w:t>
            </w:r>
          </w:p>
        </w:tc>
        <w:tc>
          <w:tcPr>
            <w:tcW w:type="dxa" w:w="21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Corespunzător</w:t>
            </w:r>
          </w:p>
        </w:tc>
        <w:tc>
          <w:tcPr>
            <w:tcW w:type="dxa" w:w="174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terminal</w:t>
            </w:r>
          </w:p>
        </w:tc>
        <w:tc>
          <w:tcPr>
            <w:tcW w:type="dxa" w:w="80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 xml:space="preserve">фазе, </w:t>
            </w:r>
          </w:p>
        </w:tc>
        <w:tc>
          <w:tcPr>
            <w:tcW w:type="dxa" w:w="1400"/>
            <w:tcMar>
              <w:start w:w="0" w:type="dxa"/>
              <w:end w:w="0" w:type="dxa"/>
            </w:tcMar>
          </w:tcPr>
          <w:p>
            <w:pPr>
              <w:autoSpaceDN w:val="0"/>
              <w:autoSpaceDE w:val="0"/>
              <w:widowControl/>
              <w:spacing w:line="266" w:lineRule="exact" w:before="4" w:after="0"/>
              <w:ind w:left="128" w:right="0" w:firstLine="0"/>
              <w:jc w:val="left"/>
            </w:pPr>
            <w:r>
              <w:rPr>
                <w:rFonts w:ascii="TimesNewRomanPSMT" w:hAnsi="TimesNewRomanPSMT" w:eastAsia="TimesNewRomanPSMT"/>
                <w:b w:val="0"/>
                <w:i w:val="0"/>
                <w:color w:val="000000"/>
                <w:sz w:val="24"/>
              </w:rPr>
              <w:t>Suprapășesc</w:t>
            </w:r>
          </w:p>
        </w:tc>
      </w:tr>
    </w:tbl>
    <w:p>
      <w:pPr>
        <w:autoSpaceDN w:val="0"/>
        <w:autoSpaceDE w:val="0"/>
        <w:widowControl/>
        <w:spacing w:line="274" w:lineRule="exact" w:before="0" w:after="0"/>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Nivel critic de stabilitate a sistemului în acest stare staționară, care duce la creșterea proceselor destructorii, scăderea nivelului de organizare și în final-distrugerea completă a acestui sistem.</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Formarea și evoluția materiei este un rezultat organic al formării de câmpuri cuantice de entropie, care reglează toate procesele fizice, inclusiv procesele de activitate vitală, inclusiv activitatea cerebrală superioară a omului.</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Perioade de înaltă tensiune a câmpurilor terminale în raport cu obiectele biologice și sociale pot apărea sub formă de slăbire a sistemelor de adaptare ale organismelor vii, asteneză, comportament delinquent, reacții sexuale neadecvate, creștere a morbidității și mortalității epidemice, psihózuri masive, creștere a criminalității, crize economice și sociale, conflicte armate și războaie.</w:t>
      </w:r>
    </w:p>
    <w:p>
      <w:pPr>
        <w:autoSpaceDN w:val="0"/>
        <w:tabs>
          <w:tab w:pos="720" w:val="left"/>
        </w:tabs>
        <w:autoSpaceDE w:val="0"/>
        <w:widowControl/>
        <w:spacing w:line="276" w:lineRule="exact" w:before="0" w:after="0"/>
        <w:ind w:left="0" w:right="0" w:firstLine="0"/>
        <w:jc w:val="left"/>
      </w:p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Aceasta este de asemenea perioada de înaltă „inducție informatică”, timpul când apar genii și se fac descoperiri revoluționare în știință și tehnică.</w:t>
      </w:r>
    </w:p>
    <w:p>
      <w:pPr>
        <w:autoSpaceDN w:val="0"/>
        <w:autoSpaceDE w:val="0"/>
        <w:widowControl/>
        <w:spacing w:line="276" w:lineRule="exact" w:before="0" w:after="0"/>
        <w:ind w:left="0" w:right="20" w:firstLine="72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Omul, ca orice obiect material care schimbă informații cu mediul înconjurător, generează un câmp entropic în un interval semnificativ de frecvențe și energii. Sistemul biologic care are o tensiune de câmp mare, poate destabiliza prin radiația sa corpurile fizice din jurul său. Astfel, organismul cu potențial entropic „foarte mare” diminuește efectiv rezistența tuturor elementelor care îl înconjoară – construcții arhitecturale, mecanisme, și înnobilă activitatea vitală a altor structuri biologice.</w:t>
      </w:r>
    </w:p>
    <w:p>
      <w:pPr>
        <w:autoSpaceDN w:val="0"/>
        <w:autoSpaceDE w:val="0"/>
        <w:widowControl/>
        <w:spacing w:line="276" w:lineRule="exact" w:before="0" w:after="118"/>
        <w:ind w:left="0" w:right="0" w:firstLine="708"/>
        <w:jc w:val="left"/>
      </w:pPr>
      <w:r>
        <w:rPr>
          <w:rFonts w:ascii="TimesNewRomanPSMT" w:hAnsi="TimesNewRomanPSMT" w:eastAsia="TimesNewRomanPSMT"/>
          <w:b w:val="0"/>
          <w:i w:val="0"/>
          <w:color w:val="000000"/>
          <w:sz w:val="24"/>
        </w:rPr>
      </w:r>
      <w:r>
        <w:rPr>
          <w:rFonts w:ascii="Times New Roman" w:hAnsi="Times New Roman" w:eastAsia="Times New Roman"/>
          <w:b/>
          <w:i w:val="0"/>
          <w:color w:val="000000"/>
          <w:sz w:val="24"/>
        </w:rPr>
      </w:r>
      <w:r>
        <w:rPr>
          <w:rFonts w:ascii="TimesNewRomanPSMT" w:hAnsi="TimesNewRomanPSMT" w:eastAsia="TimesNewRomanPSMT"/>
          <w:b w:val="0"/>
          <w:i w:val="0"/>
          <w:color w:val="000000"/>
          <w:sz w:val="24"/>
        </w:rPr>
      </w:r>
      <w:r>
        <w:rPr>
          <w:rFonts w:ascii="Times New Roman" w:hAnsi="Times New Roman" w:eastAsia="Times New Roman"/>
          <w:b/>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Rezumând conceptul: Potrivit Academiei de Științe a Rusiei, analiza cuantică (entropică) permite să se construiască un model matematic al procesului patologic, luând ca punct de plecare (stadiul zero) țesutul sănătos (preparatul organ) și ca punct final forma clinic manifestată a unui proces patologic, și calculând matematic graficile unei serii de stări intermediare. În timpul analizei se determină cel mai mare sarcină spectrală cu una dintre stările intermediare sau (starea extremă), determinându-se astfel maturitatea procesului și prezența semnelor de patologie clinică. Entropia caracterizează cantitatea medie de informații conținute în mesajul transmis. Entropia este o caracteristică fundamentală.</w:t>
      </w: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3677919" cy="13766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77919" cy="1376680"/>
                    </a:xfrm>
                    <a:prstGeom prst="rect"/>
                  </pic:spPr>
                </pic:pic>
              </a:graphicData>
            </a:graphic>
          </wp:inline>
        </w:drawing>
      </w:r>
    </w:p>
    <w:p>
      <w:pPr>
        <w:autoSpaceDN w:val="0"/>
        <w:autoSpaceDE w:val="0"/>
        <w:widowControl/>
        <w:spacing w:line="266" w:lineRule="exact" w:before="0" w:after="0"/>
        <w:ind w:left="90" w:right="0" w:firstLine="0"/>
        <w:jc w:val="left"/>
      </w:pPr>
      <w:r>
        <w:rPr>
          <w:rFonts w:ascii="TimesNewRomanPSMT" w:hAnsi="TimesNewRomanPSMT" w:eastAsia="TimesNewRomanPSMT"/>
          <w:b w:val="0"/>
          <w:i w:val="0"/>
          <w:color w:val="000000"/>
          <w:sz w:val="24"/>
        </w:rPr>
      </w:r>
      <w:r>
        <w:rPr>
          <w:b w:val="0"/>
        </w:rPr>
        <w:t>Caracteristicile sursei.</w:t>
      </w:r>
    </w:p>
    <w:p>
      <w:pPr>
        <w:autoSpaceDN w:val="0"/>
        <w:tabs>
          <w:tab w:pos="370" w:val="left"/>
          <w:tab w:pos="798" w:val="left"/>
          <w:tab w:pos="2628" w:val="left"/>
          <w:tab w:pos="2806" w:val="left"/>
        </w:tabs>
        <w:autoSpaceDE w:val="0"/>
        <w:widowControl/>
        <w:spacing w:line="276" w:lineRule="exact" w:before="0" w:after="6"/>
        <w:ind w:left="90" w:right="0" w:firstLine="0"/>
        <w:jc w:val="left"/>
      </w:p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Cu cât este mai înalt, cu atât este mai greu să se transmită un semnal electromagnetic prin canalul de comunicare între dispozitiv și programul de calculator. Energiea necesară pentru transmiterea mesajului este proporțională cu entropia sa. Pentru a calcula entropia (a identifica gradul de deplasare al instabilității semnalului electromagnetic cuantic), se folosesc formule discrete de calcul. Rezultatul tuturor calculurilor este folosit de noi.</w:t>
      </w:r>
    </w:p>
    <w:tbl>
      <w:tblPr>
        <w:tblW w:type="auto" w:w="0"/>
        <w:tblLayout w:type="fixed"/>
        <w:tblLook w:firstColumn="1" w:firstRow="1" w:lastColumn="0" w:lastRow="0" w:noHBand="0" w:noVBand="1" w:val="04A0"/>
        <w:tblInd w:w="42.000000000000455" w:type="dxa"/>
      </w:tblPr>
      <w:tblGrid>
        <w:gridCol w:w="3305"/>
        <w:gridCol w:w="3305"/>
        <w:gridCol w:w="3305"/>
      </w:tblGrid>
      <w:tr>
        <w:trPr>
          <w:trHeight w:hRule="exact" w:val="274"/>
        </w:trPr>
        <w:tc>
          <w:tcPr>
            <w:tcW w:type="dxa" w:w="60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 xml:space="preserve">при </w:t>
            </w:r>
          </w:p>
        </w:tc>
        <w:tc>
          <w:tcPr>
            <w:tcW w:type="dxa" w:w="162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definiție</w:t>
            </w:r>
          </w:p>
        </w:tc>
        <w:tc>
          <w:tcPr>
            <w:tcW w:type="dxa" w:w="1740"/>
            <w:tcMar>
              <w:start w:w="0" w:type="dxa"/>
              <w:end w:w="0" w:type="dxa"/>
            </w:tcMar>
          </w:tcPr>
          <w:p>
            <w:pPr>
              <w:autoSpaceDN w:val="0"/>
              <w:autoSpaceDE w:val="0"/>
              <w:widowControl/>
              <w:spacing w:line="266" w:lineRule="exact" w:before="4" w:after="0"/>
              <w:ind w:left="140" w:right="0" w:firstLine="0"/>
              <w:jc w:val="left"/>
            </w:pPr>
            <w:r>
              <w:rPr>
                <w:rFonts w:ascii="TimesNewRomanPSMT" w:hAnsi="TimesNewRomanPSMT" w:eastAsia="TimesNewRomanPSMT"/>
                <w:b w:val="0"/>
                <w:i w:val="0"/>
                <w:color w:val="000000"/>
                <w:sz w:val="24"/>
              </w:rPr>
              <w:t>Intensitate</w:t>
            </w:r>
          </w:p>
        </w:tc>
      </w:tr>
    </w:tbl>
    <w:p>
      <w:pPr>
        <w:autoSpaceDN w:val="0"/>
        <w:autoSpaceDE w:val="0"/>
        <w:widowControl/>
        <w:spacing w:line="266" w:lineRule="exact" w:before="6" w:after="0"/>
        <w:ind w:left="0" w:right="0" w:firstLine="0"/>
        <w:jc w:val="center"/>
      </w:pPr>
      <w:r>
        <w:rPr>
          <w:rFonts w:ascii="TimesNewRomanPSMT" w:hAnsi="TimesNewRomanPSMT" w:eastAsia="TimesNewRomanPSMT"/>
          <w:b w:val="0"/>
          <w:i w:val="0"/>
          <w:color w:val="000000"/>
          <w:sz w:val="24"/>
        </w:rPr>
      </w:r>
      <w:r>
        <w:rPr>
          <w:b w:val="0"/>
        </w:rPr>
        <w:t>Curentul procesului patologic în</w:t>
      </w:r>
    </w:p>
    <w:p>
      <w:pPr>
        <w:autoSpaceDN w:val="0"/>
        <w:autoSpaceDE w:val="0"/>
        <w:widowControl/>
        <w:spacing w:line="220" w:lineRule="exact" w:before="0" w:after="0"/>
        <w:ind w:left="0" w:right="0"/>
      </w:pPr>
    </w:p>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4"/>
        </w:rPr>
      </w:r>
      <w:r>
        <w:rPr>
          <w:b w:val="0"/>
        </w:rPr>
        <w:t>Organul investigat.</w:t>
      </w:r>
    </w:p>
    <w:p>
      <w:pPr>
        <w:autoSpaceDN w:val="0"/>
        <w:autoSpaceDE w:val="0"/>
        <w:widowControl/>
        <w:spacing w:line="276" w:lineRule="exact" w:before="0" w:after="0"/>
        <w:ind w:left="0" w:right="1440" w:firstLine="708"/>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b w:val="0"/>
        </w:rPr>
        <w:t>În acest caz, trebuie luate în considerare că:</w:t>
        <w:t>- valorile indicelui entropic de 1, 2 indică lipsa de tendințe în dezvoltarea procesului în cauză,</w:t>
        <w:t>- valorile de 3, 4 indică prezența fazelor clinice ale procesului,</w:t>
        <w:t>- valorile de 5, 6 indică maturitatea procesului.</w:t>
      </w:r>
    </w:p>
    <w:p>
      <w:pPr>
        <w:autoSpaceDN w:val="0"/>
        <w:autoSpaceDE w:val="0"/>
        <w:widowControl/>
        <w:spacing w:line="276" w:lineRule="exact" w:before="0" w:after="230"/>
        <w:ind w:left="0" w:right="22"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Scăzuta similaritate spectrală cu etalonul (dispersia mai mare de 1) în condiții de înalt nivel de entropie (5, 6) indică starea de remisiune a procesului patologic în contextul reacțiilor adaptive scăzute ale țesutului.</w:t>
      </w:r>
    </w:p>
    <w:tbl>
      <w:tblPr>
        <w:tblW w:type="auto" w:w="0"/>
        <w:tblLayout w:type="fixed"/>
        <w:tblLook w:firstColumn="1" w:firstRow="1" w:lastColumn="0" w:lastRow="0" w:noHBand="0" w:noVBand="1" w:val="04A0"/>
        <w:tblInd w:w="44.00000000000006" w:type="dxa"/>
      </w:tblPr>
      <w:tblGrid>
        <w:gridCol w:w="763"/>
        <w:gridCol w:w="763"/>
        <w:gridCol w:w="763"/>
        <w:gridCol w:w="763"/>
        <w:gridCol w:w="763"/>
        <w:gridCol w:w="763"/>
        <w:gridCol w:w="763"/>
        <w:gridCol w:w="763"/>
        <w:gridCol w:w="763"/>
        <w:gridCol w:w="763"/>
        <w:gridCol w:w="763"/>
        <w:gridCol w:w="763"/>
        <w:gridCol w:w="763"/>
      </w:tblGrid>
      <w:tr>
        <w:trPr>
          <w:trHeight w:hRule="exact" w:val="874"/>
        </w:trPr>
        <w:tc>
          <w:tcPr>
            <w:tcW w:type="dxa" w:w="1080"/>
            <w:vMerge w:val="restart"/>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266" w:after="0"/>
              <w:ind w:left="0" w:right="0" w:firstLine="0"/>
              <w:jc w:val="center"/>
            </w:pPr>
            <w:r>
              <w:drawing>
                <wp:inline xmlns:a="http://schemas.openxmlformats.org/drawingml/2006/main" xmlns:pic="http://schemas.openxmlformats.org/drawingml/2006/picture">
                  <wp:extent cx="581660" cy="85598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1660" cy="855980"/>
                          </a:xfrm>
                          <a:prstGeom prst="rect"/>
                        </pic:spPr>
                      </pic:pic>
                    </a:graphicData>
                  </a:graphic>
                </wp:inline>
              </w:drawing>
            </w:r>
          </w:p>
        </w:tc>
        <w:tc>
          <w:tcPr>
            <w:tcW w:type="dxa" w:w="8780"/>
            <w:gridSpan w:val="12"/>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48" w:after="0"/>
              <w:ind w:left="104" w:right="6" w:firstLine="708"/>
              <w:jc w:val="both"/>
            </w:pPr>
            <w:r>
              <w:rPr>
                <w:rFonts w:ascii="TimesNewRomanPSMT" w:hAnsi="TimesNewRomanPSMT" w:eastAsia="TimesNewRomanPSMT"/>
                <w:b w:val="0"/>
                <w:i w:val="0"/>
                <w:color w:val="000000"/>
                <w:sz w:val="24"/>
              </w:rPr>
              <w:t>În acest caz, analizando standardul de holisticiță cronică, observăm</w:t>
            </w:r>
            <w:r>
              <w:rPr>
                <w:rFonts w:ascii="TimesNewRomanPSMT" w:hAnsi="TimesNewRomanPSMT" w:eastAsia="TimesNewRomanPSMT"/>
                <w:b w:val="0"/>
                <w:i w:val="0"/>
                <w:color w:val="000000"/>
                <w:sz w:val="24"/>
              </w:rPr>
              <w:t>Faza clinică a procesului, dar, în același timp, modelul de culoare galbenă</w:t>
            </w:r>
            <w:r>
              <w:rPr>
                <w:rFonts w:ascii="TimesNewRomanPSMT" w:hAnsi="TimesNewRomanPSMT" w:eastAsia="TimesNewRomanPSMT"/>
                <w:b w:val="0"/>
                <w:i w:val="0"/>
                <w:color w:val="000000"/>
                <w:sz w:val="24"/>
              </w:rPr>
              <w:t>Bubula este marcată cu un număr mare de marcatori negativi. Cum se poate</w:t>
            </w:r>
          </w:p>
        </w:tc>
      </w:tr>
      <w:tr>
        <w:trPr>
          <w:trHeight w:hRule="exact" w:val="280"/>
        </w:trPr>
        <w:tc>
          <w:tcPr>
            <w:tcW w:type="dxa" w:w="763"/>
            <w:vMerge/>
            <w:tcBorders/>
          </w:tcPr>
          <w:p/>
        </w:tc>
        <w:tc>
          <w:tcPr>
            <w:tcW w:type="dxa" w:w="1340"/>
            <w:tcMar>
              <w:start w:w="0" w:type="dxa"/>
              <w:end w:w="0" w:type="dxa"/>
            </w:tcMar>
          </w:tcPr>
          <w:p>
            <w:pPr>
              <w:autoSpaceDN w:val="0"/>
              <w:autoSpaceDE w:val="0"/>
              <w:widowControl/>
              <w:spacing w:line="266" w:lineRule="exact" w:before="12" w:after="0"/>
              <w:ind w:left="0" w:right="0" w:firstLine="0"/>
              <w:jc w:val="center"/>
            </w:pPr>
            <w:r>
              <w:rPr>
                <w:rFonts w:ascii="TimesNewRomanPSMT" w:hAnsi="TimesNewRomanPSMT" w:eastAsia="TimesNewRomanPSMT"/>
                <w:b w:val="0"/>
                <w:i w:val="0"/>
                <w:color w:val="000000"/>
                <w:sz w:val="24"/>
              </w:rPr>
              <w:t>Comprinde?</w:t>
            </w:r>
          </w:p>
        </w:tc>
        <w:tc>
          <w:tcPr>
            <w:tcW w:type="dxa" w:w="1340"/>
            <w:tcMar>
              <w:start w:w="0" w:type="dxa"/>
              <w:end w:w="0" w:type="dxa"/>
            </w:tcMar>
          </w:tcPr>
          <w:p>
            <w:pPr>
              <w:autoSpaceDN w:val="0"/>
              <w:autoSpaceDE w:val="0"/>
              <w:widowControl/>
              <w:spacing w:line="266" w:lineRule="exact" w:before="12" w:after="0"/>
              <w:ind w:left="128" w:right="0" w:firstLine="0"/>
              <w:jc w:val="left"/>
            </w:pPr>
            <w:r>
              <w:rPr>
                <w:rFonts w:ascii="TimesNewRomanPSMT" w:hAnsi="TimesNewRomanPSMT" w:eastAsia="TimesNewRomanPSMT"/>
                <w:b w:val="0"/>
                <w:i w:val="0"/>
                <w:color w:val="000000"/>
                <w:sz w:val="24"/>
              </w:rPr>
              <w:t>Activ</w:t>
            </w:r>
          </w:p>
        </w:tc>
        <w:tc>
          <w:tcPr>
            <w:tcW w:type="dxa" w:w="2060"/>
            <w:gridSpan w:val="2"/>
            <w:tcMar>
              <w:start w:w="0" w:type="dxa"/>
              <w:end w:w="0" w:type="dxa"/>
            </w:tcMar>
            <w:tcMar>
              <w:start w:w="0" w:type="dxa"/>
              <w:end w:w="0" w:type="dxa"/>
            </w:tcMar>
          </w:tcPr>
          <w:p>
            <w:pPr>
              <w:autoSpaceDN w:val="0"/>
              <w:autoSpaceDE w:val="0"/>
              <w:widowControl/>
              <w:spacing w:line="266" w:lineRule="exact" w:before="12" w:after="0"/>
              <w:ind w:left="0" w:right="0" w:firstLine="0"/>
              <w:jc w:val="center"/>
            </w:pPr>
            <w:r>
              <w:rPr>
                <w:rFonts w:ascii="TimesNewRomanPSMT" w:hAnsi="TimesNewRomanPSMT" w:eastAsia="TimesNewRomanPSMT"/>
                <w:b w:val="0"/>
                <w:i w:val="0"/>
                <w:color w:val="000000"/>
                <w:sz w:val="24"/>
              </w:rPr>
              <w:t>acuzitor</w:t>
            </w:r>
          </w:p>
        </w:tc>
        <w:tc>
          <w:tcPr>
            <w:tcW w:type="dxa" w:w="1212"/>
            <w:gridSpan w:val="2"/>
            <w:tcMar>
              <w:start w:w="0" w:type="dxa"/>
              <w:end w:w="0" w:type="dxa"/>
            </w:tcMar>
            <w:tcMar>
              <w:start w:w="0" w:type="dxa"/>
              <w:end w:w="0" w:type="dxa"/>
            </w:tcMar>
          </w:tcPr>
          <w:p>
            <w:pPr>
              <w:autoSpaceDN w:val="0"/>
              <w:autoSpaceDE w:val="0"/>
              <w:widowControl/>
              <w:spacing w:line="266" w:lineRule="exact" w:before="12" w:after="0"/>
              <w:ind w:left="0" w:right="0" w:firstLine="0"/>
              <w:jc w:val="center"/>
            </w:pPr>
            <w:r>
              <w:rPr>
                <w:rFonts w:ascii="TimesNewRomanPSMT" w:hAnsi="TimesNewRomanPSMT" w:eastAsia="TimesNewRomanPSMT"/>
                <w:b w:val="0"/>
                <w:i w:val="0"/>
                <w:color w:val="000000"/>
                <w:sz w:val="24"/>
              </w:rPr>
              <w:t>Proces</w:t>
            </w:r>
          </w:p>
        </w:tc>
        <w:tc>
          <w:tcPr>
            <w:tcW w:type="dxa" w:w="668"/>
            <w:tcMar>
              <w:start w:w="0" w:type="dxa"/>
              <w:end w:w="0" w:type="dxa"/>
            </w:tcMar>
          </w:tcPr>
          <w:p>
            <w:pPr>
              <w:autoSpaceDN w:val="0"/>
              <w:autoSpaceDE w:val="0"/>
              <w:widowControl/>
              <w:spacing w:line="266" w:lineRule="exact" w:before="12" w:after="0"/>
              <w:ind w:left="0" w:right="0" w:firstLine="0"/>
              <w:jc w:val="center"/>
            </w:pPr>
            <w:r>
              <w:rPr>
                <w:rFonts w:ascii="TimesNewRomanPSMT" w:hAnsi="TimesNewRomanPSMT" w:eastAsia="TimesNewRomanPSMT"/>
                <w:b w:val="0"/>
                <w:i w:val="0"/>
                <w:color w:val="000000"/>
                <w:sz w:val="24"/>
              </w:rPr>
              <w:t xml:space="preserve">нет, </w:t>
            </w:r>
          </w:p>
        </w:tc>
        <w:tc>
          <w:tcPr>
            <w:tcW w:type="dxa" w:w="538"/>
            <w:gridSpan w:val="2"/>
            <w:tcMar>
              <w:start w:w="0" w:type="dxa"/>
              <w:end w:w="0" w:type="dxa"/>
            </w:tcMar>
            <w:tcMar>
              <w:start w:w="0" w:type="dxa"/>
              <w:end w:w="0" w:type="dxa"/>
            </w:tcMar>
          </w:tcPr>
          <w:p>
            <w:pPr>
              <w:autoSpaceDN w:val="0"/>
              <w:autoSpaceDE w:val="0"/>
              <w:widowControl/>
              <w:spacing w:line="266" w:lineRule="exact" w:before="12" w:after="0"/>
              <w:ind w:left="0" w:right="0" w:firstLine="0"/>
              <w:jc w:val="center"/>
            </w:pPr>
            <w:r>
              <w:rPr>
                <w:rFonts w:ascii="TimesNewRomanPSMT" w:hAnsi="TimesNewRomanPSMT" w:eastAsia="TimesNewRomanPSMT"/>
                <w:b w:val="0"/>
                <w:i w:val="0"/>
                <w:color w:val="000000"/>
                <w:sz w:val="24"/>
              </w:rPr>
              <w:t xml:space="preserve">но </w:t>
            </w:r>
          </w:p>
        </w:tc>
        <w:tc>
          <w:tcPr>
            <w:tcW w:type="dxa" w:w="1622"/>
            <w:gridSpan w:val="3"/>
            <w:tcMar>
              <w:start w:w="0" w:type="dxa"/>
              <w:end w:w="0" w:type="dxa"/>
            </w:tcMar>
            <w:tcMar>
              <w:start w:w="0" w:type="dxa"/>
              <w:end w:w="0" w:type="dxa"/>
            </w:tcMar>
            <w:tcMar>
              <w:start w:w="0" w:type="dxa"/>
              <w:end w:w="0" w:type="dxa"/>
            </w:tcMar>
          </w:tcPr>
          <w:p>
            <w:pPr>
              <w:autoSpaceDN w:val="0"/>
              <w:autoSpaceDE w:val="0"/>
              <w:widowControl/>
              <w:spacing w:line="266" w:lineRule="exact" w:before="12" w:after="0"/>
              <w:ind w:left="112" w:right="0" w:firstLine="0"/>
              <w:jc w:val="left"/>
            </w:pPr>
            <w:r>
              <w:rPr>
                <w:rFonts w:ascii="TimesNewRomanPSMT" w:hAnsi="TimesNewRomanPSMT" w:eastAsia="TimesNewRomanPSMT"/>
                <w:b w:val="0"/>
                <w:i w:val="0"/>
                <w:color w:val="000000"/>
                <w:sz w:val="24"/>
              </w:rPr>
              <w:t>Conducibilitate</w:t>
            </w:r>
          </w:p>
        </w:tc>
      </w:tr>
      <w:tr>
        <w:trPr>
          <w:trHeight w:hRule="exact" w:val="260"/>
        </w:trPr>
        <w:tc>
          <w:tcPr>
            <w:tcW w:type="dxa" w:w="763"/>
            <w:vMerge/>
            <w:tcBorders/>
          </w:tcPr>
          <w:p/>
        </w:tc>
        <w:tc>
          <w:tcPr>
            <w:tcW w:type="dxa" w:w="2680"/>
            <w:gridSpan w:val="2"/>
            <w:tcMar>
              <w:start w:w="0" w:type="dxa"/>
              <w:end w:w="0" w:type="dxa"/>
            </w:tcMar>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4"/>
              </w:rPr>
              <w:t>Conducibilitate electrică</w:t>
            </w:r>
          </w:p>
        </w:tc>
        <w:tc>
          <w:tcPr>
            <w:tcW w:type="dxa" w:w="820"/>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4"/>
              </w:rPr>
              <w:t>Tehnii</w:t>
            </w:r>
          </w:p>
        </w:tc>
        <w:tc>
          <w:tcPr>
            <w:tcW w:type="dxa" w:w="1240"/>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4"/>
              </w:rPr>
              <w:t>Gall</w:t>
            </w:r>
          </w:p>
        </w:tc>
        <w:tc>
          <w:tcPr>
            <w:tcW w:type="dxa" w:w="1080"/>
            <w:tcMar>
              <w:start w:w="0" w:type="dxa"/>
              <w:end w:w="0" w:type="dxa"/>
            </w:tcMar>
          </w:tcPr>
          <w:p>
            <w:pPr>
              <w:autoSpaceDN w:val="0"/>
              <w:autoSpaceDE w:val="0"/>
              <w:widowControl/>
              <w:spacing w:line="266" w:lineRule="exact" w:before="0" w:after="0"/>
              <w:ind w:left="98" w:right="0" w:firstLine="0"/>
              <w:jc w:val="left"/>
            </w:pPr>
            <w:r>
              <w:rPr>
                <w:rFonts w:ascii="TimesNewRomanPSMT" w:hAnsi="TimesNewRomanPSMT" w:eastAsia="TimesNewRomanPSMT"/>
                <w:b w:val="0"/>
                <w:i w:val="0"/>
                <w:color w:val="000000"/>
                <w:sz w:val="24"/>
              </w:rPr>
              <w:t>Bărbuleț</w:t>
            </w:r>
          </w:p>
        </w:tc>
        <w:tc>
          <w:tcPr>
            <w:tcW w:type="dxa" w:w="1200"/>
            <w:gridSpan w:val="3"/>
            <w:tcMar>
              <w:start w:w="0" w:type="dxa"/>
              <w:end w:w="0" w:type="dxa"/>
            </w:tcMar>
            <w:tcMar>
              <w:start w:w="0" w:type="dxa"/>
              <w:end w:w="0" w:type="dxa"/>
            </w:tcMar>
            <w:tcMar>
              <w:start w:w="0" w:type="dxa"/>
              <w:end w:w="0" w:type="dxa"/>
            </w:tcMar>
          </w:tcPr>
          <w:p>
            <w:pPr>
              <w:autoSpaceDN w:val="0"/>
              <w:autoSpaceDE w:val="0"/>
              <w:widowControl/>
              <w:spacing w:line="266" w:lineRule="exact" w:before="0" w:after="0"/>
              <w:ind w:left="10" w:right="0" w:firstLine="0"/>
              <w:jc w:val="left"/>
            </w:pPr>
            <w:r>
              <w:rPr>
                <w:rFonts w:ascii="TimesNewRomanPSMT" w:hAnsi="TimesNewRomanPSMT" w:eastAsia="TimesNewRomanPSMT"/>
                <w:b w:val="0"/>
                <w:i w:val="0"/>
                <w:color w:val="000000"/>
                <w:sz w:val="24"/>
              </w:rPr>
              <w:t>Redus</w:t>
            </w:r>
          </w:p>
        </w:tc>
        <w:tc>
          <w:tcPr>
            <w:tcW w:type="dxa" w:w="500"/>
            <w:gridSpan w:val="2"/>
            <w:tcMar>
              <w:start w:w="0" w:type="dxa"/>
              <w:end w:w="0" w:type="dxa"/>
            </w:tcMar>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4"/>
              </w:rPr>
              <w:t xml:space="preserve">что </w:t>
            </w:r>
          </w:p>
        </w:tc>
        <w:tc>
          <w:tcPr>
            <w:tcW w:type="dxa" w:w="980"/>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4"/>
              </w:rPr>
              <w:t>Se întâmplă</w:t>
            </w:r>
          </w:p>
        </w:tc>
        <w:tc>
          <w:tcPr>
            <w:tcW w:type="dxa" w:w="280"/>
            <w:tcMar>
              <w:start w:w="0" w:type="dxa"/>
              <w:end w:w="0" w:type="dxa"/>
            </w:tcMar>
          </w:tcPr>
          <w:p>
            <w:pPr>
              <w:autoSpaceDN w:val="0"/>
              <w:autoSpaceDE w:val="0"/>
              <w:widowControl/>
              <w:spacing w:line="266" w:lineRule="exact" w:before="0" w:after="0"/>
              <w:ind w:left="0" w:right="6" w:firstLine="0"/>
              <w:jc w:val="right"/>
            </w:pPr>
            <w:r>
              <w:rPr>
                <w:rFonts w:ascii="TimesNewRomanPSMT" w:hAnsi="TimesNewRomanPSMT" w:eastAsia="TimesNewRomanPSMT"/>
                <w:b w:val="0"/>
                <w:i w:val="0"/>
                <w:color w:val="000000"/>
                <w:sz w:val="24"/>
              </w:rPr>
              <w:t xml:space="preserve">в </w:t>
            </w:r>
          </w:p>
        </w:tc>
      </w:tr>
      <w:tr>
        <w:trPr>
          <w:trHeight w:hRule="exact" w:val="296"/>
        </w:trPr>
        <w:tc>
          <w:tcPr>
            <w:tcW w:type="dxa" w:w="763"/>
            <w:vMerge/>
            <w:tcBorders/>
          </w:tcPr>
          <w:p/>
        </w:tc>
        <w:tc>
          <w:tcPr>
            <w:tcW w:type="dxa" w:w="8780"/>
            <w:gridSpan w:val="12"/>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4" w:after="0"/>
              <w:ind w:left="104" w:right="0" w:firstLine="0"/>
              <w:jc w:val="left"/>
            </w:pPr>
            <w:r>
              <w:rPr>
                <w:rFonts w:ascii="TimesNewRomanPSMT" w:hAnsi="TimesNewRomanPSMT" w:eastAsia="TimesNewRomanPSMT"/>
                <w:b w:val="0"/>
                <w:i w:val="0"/>
                <w:color w:val="000000"/>
                <w:sz w:val="24"/>
              </w:rPr>
              <w:t>În majoritatea cazurilor, la eșarfațiunea peretelui sacului galben se observă:</w:t>
            </w:r>
          </w:p>
        </w:tc>
      </w:tr>
    </w:tbl>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r>
      <w:r>
        <w:rPr>
          <w:b w:val="0"/>
        </w:rPr>
        <w:t>Tipul holesterole și a hipertensiunii intraprotokare.</w:t>
      </w:r>
    </w:p>
    <w:p>
      <w:pPr>
        <w:autoSpaceDN w:val="0"/>
        <w:autoSpaceDE w:val="0"/>
        <w:widowControl/>
        <w:spacing w:line="266" w:lineRule="exact" w:before="296" w:after="222"/>
        <w:ind w:left="232" w:right="0" w:firstLine="0"/>
        <w:jc w:val="left"/>
      </w:pPr>
      <w:r>
        <w:rPr>
          <w:rFonts w:ascii="Times New Roman" w:hAnsi="Times New Roman" w:eastAsia="Times New Roman"/>
          <w:b/>
          <w:i w:val="0"/>
          <w:color w:val="000000"/>
          <w:sz w:val="24"/>
        </w:rPr>
      </w:r>
      <w:r>
        <w:rPr>
          <w:b/>
        </w:rPr>
        <w:t>CARACTERISTICILE ANALIZEI CUANTICE IN CASUL DIVERSORUM BOLETI.</w:t>
      </w:r>
    </w:p>
    <w:tbl>
      <w:tblPr>
        <w:tblW w:type="auto" w:w="0"/>
        <w:tblLayout w:type="fixed"/>
        <w:tblLook w:firstColumn="1" w:firstRow="1" w:lastColumn="0" w:lastRow="0" w:noHBand="0" w:noVBand="1" w:val="04A0"/>
        <w:tblInd w:w="344.00000000000006" w:type="dxa"/>
      </w:tblPr>
      <w:tblGrid>
        <w:gridCol w:w="1417"/>
        <w:gridCol w:w="1417"/>
        <w:gridCol w:w="1417"/>
        <w:gridCol w:w="1417"/>
        <w:gridCol w:w="1417"/>
        <w:gridCol w:w="1417"/>
        <w:gridCol w:w="1417"/>
      </w:tblGrid>
      <w:tr>
        <w:trPr>
          <w:trHeight w:hRule="exact" w:val="332"/>
        </w:trPr>
        <w:tc>
          <w:tcPr>
            <w:tcW w:type="dxa" w:w="1180"/>
            <w:tcMar>
              <w:start w:w="0" w:type="dxa"/>
              <w:end w:w="0" w:type="dxa"/>
            </w:tcMar>
          </w:tcPr>
          <w:p>
            <w:pPr>
              <w:autoSpaceDN w:val="0"/>
              <w:autoSpaceDE w:val="0"/>
              <w:widowControl/>
              <w:spacing w:line="266" w:lineRule="exact" w:before="60" w:after="0"/>
              <w:ind w:left="0" w:right="114" w:firstLine="0"/>
              <w:jc w:val="right"/>
            </w:pPr>
            <w:r>
              <w:rPr>
                <w:rFonts w:ascii="TimesNewRomanPSMT" w:hAnsi="TimesNewRomanPSMT" w:eastAsia="TimesNewRomanPSMT"/>
                <w:b w:val="0"/>
                <w:i w:val="0"/>
                <w:color w:val="000000"/>
                <w:sz w:val="24"/>
              </w:rPr>
              <w:t>În printre</w:t>
            </w:r>
          </w:p>
        </w:tc>
        <w:tc>
          <w:tcPr>
            <w:tcW w:type="dxa" w:w="1400"/>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diverse</w:t>
            </w:r>
          </w:p>
        </w:tc>
        <w:tc>
          <w:tcPr>
            <w:tcW w:type="dxa" w:w="900"/>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Vizualizări</w:t>
            </w:r>
          </w:p>
        </w:tc>
        <w:tc>
          <w:tcPr>
            <w:tcW w:type="dxa" w:w="1460"/>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Înfrângeri</w:t>
            </w:r>
          </w:p>
        </w:tc>
        <w:tc>
          <w:tcPr>
            <w:tcW w:type="dxa" w:w="980"/>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ușor</w:t>
            </w:r>
          </w:p>
        </w:tc>
        <w:tc>
          <w:tcPr>
            <w:tcW w:type="dxa" w:w="1540"/>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4"/>
              </w:rPr>
              <w:t>difuz</w:t>
            </w:r>
          </w:p>
        </w:tc>
        <w:tc>
          <w:tcPr>
            <w:tcW w:type="dxa" w:w="2100"/>
            <w:tcMar>
              <w:start w:w="0" w:type="dxa"/>
              <w:end w:w="0" w:type="dxa"/>
            </w:tcMar>
          </w:tcPr>
          <w:p>
            <w:pPr>
              <w:autoSpaceDN w:val="0"/>
              <w:autoSpaceDE w:val="0"/>
              <w:widowControl/>
              <w:spacing w:line="266" w:lineRule="exact" w:before="60" w:after="0"/>
              <w:ind w:left="126" w:right="0" w:firstLine="0"/>
              <w:jc w:val="left"/>
            </w:pPr>
            <w:r>
              <w:rPr>
                <w:rFonts w:ascii="TimesNewRomanPSMT" w:hAnsi="TimesNewRomanPSMT" w:eastAsia="TimesNewRomanPSMT"/>
                <w:b w:val="0"/>
                <w:i w:val="0"/>
                <w:color w:val="000000"/>
                <w:sz w:val="24"/>
              </w:rPr>
              <w:t>infiltrațional</w:t>
            </w:r>
          </w:p>
        </w:tc>
      </w:tr>
    </w:tbl>
    <w:p>
      <w:pPr>
        <w:autoSpaceDN w:val="0"/>
        <w:autoSpaceDE w:val="0"/>
        <w:widowControl/>
        <w:spacing w:line="272" w:lineRule="exact" w:before="0" w:after="0"/>
        <w:ind w:left="0" w:right="0" w:firstLine="0"/>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Boalelor la plămâni (DIL) li se acordă în ultimul timp o atenție specială, determinată în primul rând de dificultățile în diagnosticarea și tratarea lor la timp.</w:t>
      </w:r>
    </w:p>
    <w:p>
      <w:pPr>
        <w:autoSpaceDN w:val="0"/>
        <w:autoSpaceDE w:val="0"/>
        <w:widowControl/>
        <w:spacing w:line="276" w:lineRule="exact" w:before="0" w:after="0"/>
        <w:ind w:left="0" w:right="0" w:firstLine="708"/>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 xml:space="preserve">Cele mai multe boli pulmonare difuze implică atât țesutul interstițial, căile respiratorii, cât și alveolele în procesul patologic. În acest sens, această clasă de procese patologice este mai bine definită ca boli infiltrative difuze, mai degrabă decât boli interstițiale. În ciuda polimorfismului manifestărilor clinice şi morfologice </w:t>
        <w:t>DISL, cele mai multe dintre ele încep cu alveolită productivă (spre deosebire de exudativă în pneumonie) cu modificări destul de stereotipe în interstițiul pulmonar sub formă de infiltrație inflamatorie de severitate diferită. Ulterior, se formează fibroză, a cărei rată de progresie poate varia. Ultima etapă de dezvoltare este imaginea „plămânului în fagure”. De menționat că bolile infecțioase de etiologie cunoscută (tuberculoză, histoplasmoză etc.) și tumorile maligne (carcinomatoză limfogenă, cancer bronhioloalveolar) nu sunt direct legate de bolile pulmonare interstițiale, dar au manifestări similare cu acestea.</w:t>
      </w:r>
    </w:p>
    <w:p>
      <w:pPr>
        <w:autoSpaceDN w:val="0"/>
        <w:autoSpaceDE w:val="0"/>
        <w:widowControl/>
        <w:spacing w:line="276" w:lineRule="exact" w:before="0" w:after="6"/>
        <w:ind w:left="0" w:right="22"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Evaluarea clinică a pacienților cu suspectare de DIL este o problemă grea și confuză. Simptomele nespecifice și, în unele cazuri, semnele identificate în urma investigației toracice pot corespunde mai multor boli acute și cronice ale plămânilor, care implică țesutul interstițial, căile respiratorii și alveolele. DIL sunt o grupă de boli extrem de eterogenă. S-a descris mai mult de 100 de variante de DIL, dar în practica clinică se întâlnesc frecvent doar aproximativ 10-15 stări, de menționat că sarcoidoza și diverse cazuri de fiboza pulmonară apar în practica clinică în 35-50% dintre toate DIL. De asemenea, procesele pulmonare acute difuze la pacienții cu imunitate slăbită (inclusiv în asociere cu infectarea cu HIV) pot</w:t>
      </w:r>
    </w:p>
    <w:tbl>
      <w:tblPr>
        <w:tblW w:type="auto" w:w="0"/>
        <w:tblLayout w:type="fixed"/>
        <w:tblLook w:firstColumn="1" w:firstRow="1" w:lastColumn="0" w:lastRow="0" w:noHBand="0" w:noVBand="1" w:val="04A0"/>
        <w:tblInd w:w="0.0" w:type="dxa"/>
      </w:tblPr>
      <w:tblGrid>
        <w:gridCol w:w="1417"/>
        <w:gridCol w:w="1417"/>
        <w:gridCol w:w="1417"/>
        <w:gridCol w:w="1417"/>
        <w:gridCol w:w="1417"/>
        <w:gridCol w:w="1417"/>
        <w:gridCol w:w="1417"/>
      </w:tblGrid>
      <w:tr>
        <w:trPr>
          <w:trHeight w:hRule="exact" w:val="274"/>
        </w:trPr>
        <w:tc>
          <w:tcPr>
            <w:tcW w:type="dxa" w:w="764"/>
            <w:tcMar>
              <w:start w:w="0" w:type="dxa"/>
              <w:end w:w="0" w:type="dxa"/>
            </w:tcMar>
          </w:tcPr>
          <w:p>
            <w:pPr>
              <w:autoSpaceDN w:val="0"/>
              <w:autoSpaceDE w:val="0"/>
              <w:widowControl/>
              <w:spacing w:line="266" w:lineRule="exact" w:before="4" w:after="0"/>
              <w:ind w:left="0" w:right="0" w:firstLine="0"/>
              <w:jc w:val="left"/>
            </w:pPr>
            <w:r>
              <w:rPr>
                <w:rFonts w:ascii="TimesNewRomanPSMT" w:hAnsi="TimesNewRomanPSMT" w:eastAsia="TimesNewRomanPSMT"/>
                <w:b w:val="0"/>
                <w:i w:val="0"/>
                <w:color w:val="000000"/>
                <w:sz w:val="24"/>
              </w:rPr>
              <w:t>a avea</w:t>
            </w:r>
          </w:p>
        </w:tc>
        <w:tc>
          <w:tcPr>
            <w:tcW w:type="dxa" w:w="118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mare</w:t>
            </w:r>
          </w:p>
        </w:tc>
        <w:tc>
          <w:tcPr>
            <w:tcW w:type="dxa" w:w="1580"/>
            <w:tcMar>
              <w:start w:w="0" w:type="dxa"/>
              <w:end w:w="0" w:type="dxa"/>
            </w:tcMar>
          </w:tcPr>
          <w:p>
            <w:pPr>
              <w:autoSpaceDN w:val="0"/>
              <w:autoSpaceDE w:val="0"/>
              <w:widowControl/>
              <w:spacing w:line="266" w:lineRule="exact" w:before="4" w:after="0"/>
              <w:ind w:left="116" w:right="0" w:firstLine="0"/>
              <w:jc w:val="left"/>
            </w:pPr>
            <w:r>
              <w:rPr>
                <w:rFonts w:ascii="TimesNewRomanPSMT" w:hAnsi="TimesNewRomanPSMT" w:eastAsia="TimesNewRomanPSMT"/>
                <w:b w:val="0"/>
                <w:i w:val="0"/>
                <w:color w:val="000000"/>
                <w:sz w:val="24"/>
              </w:rPr>
              <w:t>Cantitate</w:t>
            </w:r>
          </w:p>
        </w:tc>
        <w:tc>
          <w:tcPr>
            <w:tcW w:type="dxa" w:w="2000"/>
            <w:tcMar>
              <w:start w:w="0" w:type="dxa"/>
              <w:end w:w="0" w:type="dxa"/>
            </w:tcMar>
          </w:tcPr>
          <w:p>
            <w:pPr>
              <w:autoSpaceDN w:val="0"/>
              <w:autoSpaceDE w:val="0"/>
              <w:widowControl/>
              <w:spacing w:line="266" w:lineRule="exact" w:before="4" w:after="0"/>
              <w:ind w:left="268" w:right="0" w:firstLine="0"/>
              <w:jc w:val="left"/>
            </w:pPr>
            <w:r>
              <w:rPr>
                <w:rFonts w:ascii="TimesNewRomanPSMT" w:hAnsi="TimesNewRomanPSMT" w:eastAsia="TimesNewRomanPSMT"/>
                <w:b w:val="0"/>
                <w:i w:val="0"/>
                <w:color w:val="000000"/>
                <w:sz w:val="24"/>
              </w:rPr>
              <w:t>infecțioase</w:t>
            </w:r>
          </w:p>
        </w:tc>
        <w:tc>
          <w:tcPr>
            <w:tcW w:type="dxa" w:w="40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 xml:space="preserve">и </w:t>
            </w:r>
          </w:p>
        </w:tc>
        <w:tc>
          <w:tcPr>
            <w:tcW w:type="dxa" w:w="2080"/>
            <w:tcMar>
              <w:start w:w="0" w:type="dxa"/>
              <w:end w:w="0" w:type="dxa"/>
            </w:tcMar>
          </w:tcPr>
          <w:p>
            <w:pPr>
              <w:autoSpaceDN w:val="0"/>
              <w:autoSpaceDE w:val="0"/>
              <w:widowControl/>
              <w:spacing w:line="266" w:lineRule="exact" w:before="4" w:after="0"/>
              <w:ind w:left="0" w:right="0" w:firstLine="0"/>
              <w:jc w:val="center"/>
            </w:pPr>
            <w:r>
              <w:rPr>
                <w:rFonts w:ascii="TimesNewRomanPSMT" w:hAnsi="TimesNewRomanPSMT" w:eastAsia="TimesNewRomanPSMT"/>
                <w:b w:val="0"/>
                <w:i w:val="0"/>
                <w:color w:val="000000"/>
                <w:sz w:val="24"/>
              </w:rPr>
              <w:t>neinfectioase</w:t>
            </w:r>
          </w:p>
        </w:tc>
        <w:tc>
          <w:tcPr>
            <w:tcW w:type="dxa" w:w="1900"/>
            <w:tcMar>
              <w:start w:w="0" w:type="dxa"/>
              <w:end w:w="0" w:type="dxa"/>
            </w:tcMar>
          </w:tcPr>
          <w:p>
            <w:pPr>
              <w:autoSpaceDN w:val="0"/>
              <w:autoSpaceDE w:val="0"/>
              <w:widowControl/>
              <w:spacing w:line="266" w:lineRule="exact" w:before="4" w:after="0"/>
              <w:ind w:left="130" w:right="0" w:firstLine="0"/>
              <w:jc w:val="left"/>
            </w:pPr>
            <w:r>
              <w:rPr>
                <w:rFonts w:ascii="TimesNewRomanPSMT" w:hAnsi="TimesNewRomanPSMT" w:eastAsia="TimesNewRomanPSMT"/>
                <w:b w:val="0"/>
                <w:i w:val="0"/>
                <w:color w:val="000000"/>
                <w:sz w:val="24"/>
              </w:rPr>
              <w:t>Tipuri,</w:t>
            </w:r>
          </w:p>
        </w:tc>
      </w:tr>
    </w:tbl>
    <w:p>
      <w:pPr>
        <w:autoSpaceDN w:val="0"/>
        <w:autoSpaceDE w:val="0"/>
        <w:widowControl/>
        <w:spacing w:line="266" w:lineRule="exact" w:before="6" w:after="0"/>
        <w:ind w:left="0" w:right="0" w:firstLine="0"/>
        <w:jc w:val="left"/>
      </w:pPr>
      <w:r>
        <w:rPr>
          <w:rFonts w:ascii="TimesNewRomanPSMT" w:hAnsi="TimesNewRomanPSMT" w:eastAsia="TimesNewRomanPSMT"/>
          <w:b w:val="0"/>
          <w:i w:val="0"/>
          <w:color w:val="000000"/>
          <w:sz w:val="24"/>
        </w:rPr>
      </w:r>
      <w:r>
        <w:rPr>
          <w:b w:val="0"/>
        </w:rPr>
        <w:t>Evaluarea radiologică a acestora este dificilă.</w:t>
      </w:r>
    </w:p>
    <w:p>
      <w:pPr>
        <w:autoSpaceDN w:val="0"/>
        <w:autoSpaceDE w:val="0"/>
        <w:widowControl/>
        <w:spacing w:line="276" w:lineRule="exact" w:before="0" w:after="0"/>
        <w:ind w:left="0" w:right="22"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Cu regret, capacitățile radiografiei tradiționale sunt limitate la pacienții cu suspectare de DIL-sensibilitatea și specificitatea metodei sunt insuficiente. Au fost studiate datele a 458 pacienți cu DIL confirmate histologic. La 10% radiografiile toracice au fost normale. Dintre 86 de bolnavi cu DIL, la 50% dintre pacienții cu bronhoectazii confirmate histologic și la peste 20%</w:t>
      </w:r>
    </w:p>
    <w:p>
      <w:pPr>
        <w:autoSpaceDN w:val="0"/>
        <w:autoSpaceDE w:val="0"/>
        <w:widowControl/>
        <w:spacing w:line="220" w:lineRule="exact" w:before="0" w:after="0"/>
        <w:ind w:left="0" w:right="0"/>
      </w:pPr>
    </w:p>
    <w:p>
      <w:pPr>
        <w:autoSpaceDN w:val="0"/>
        <w:autoSpaceDE w:val="0"/>
        <w:widowControl/>
        <w:spacing w:line="274" w:lineRule="exact" w:before="0" w:after="0"/>
        <w:ind w:left="0" w:right="20" w:firstLine="0"/>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Pacienții cu emfizemă nu au prezentat nicio modificare patologică pe radiografii. De asemenea, radiografia poate produce rezultate false pozitive. S-a constatat că la 10-20% dintre pacienții cu semne radiologice de DIL, biopsia pulmonară nu a detectat nicio modificare.</w:t>
      </w:r>
    </w:p>
    <w:p>
      <w:pPr>
        <w:autoSpaceDN w:val="0"/>
        <w:tabs>
          <w:tab w:pos="708" w:val="left"/>
        </w:tabs>
        <w:autoSpaceDE w:val="0"/>
        <w:widowControl/>
        <w:spacing w:line="276" w:lineRule="exact" w:before="0" w:after="0"/>
        <w:ind w:left="0" w:right="0" w:firstLine="0"/>
        <w:jc w:val="left"/>
      </w:p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Oamenii de știință din domeniul diagnosticării bolilor ale aparatului respirator au identificat un nou domeniu promisiator: analiza cuantică a VAL-EO diagnosticului.</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Analiza cuantică îmbunătățește semnificativ transmiterea elementelor morfologice fine în teiul pulmonar și deschide noi posibilități de recunoaștere a bolilor intersticiale ale sistemului bronhoalveolar. Analiza cuantică are o sensibilitate ridicată în detectarea intersticială a daunilor fine ale parenhimei și a nodulișelor mici.</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Rezultatele cercetărilor demonstrează o sensibilitate mai bună a NLS în detectarea tanto a bolilor acute, cât și cronice ale plămânilor. Sensibilitatea NLS în diagnosticare pentru determinarea bolilor ale plămânilor este de aproximativ 85% în comparație cu 70% în cazul radiografiei toracice.</w:t>
      </w:r>
    </w:p>
    <w:p>
      <w:pPr>
        <w:autoSpaceDN w:val="0"/>
        <w:autoSpaceDE w:val="0"/>
        <w:widowControl/>
        <w:spacing w:line="276" w:lineRule="exact" w:before="0" w:after="0"/>
        <w:ind w:left="0" w:right="0" w:firstLine="708"/>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Este necesar să se observe că sensibilitatea ridicată a analizei cuantice se obține fără reducerea specificității sau a preciziei diagностиce ale metodii. La pacienții cu DILZ, specificitatea analizei cuantice a fost de 86% în comparație cu 76% pentru radiografie. În particular, sensibilitatea ridicată (87-88%) și specificitatea (83-89%) a analizei cuantice au fost demonstrate în diagnosticarea bronhoectaziilor.</w:t>
      </w:r>
    </w:p>
    <w:p>
      <w:pPr>
        <w:autoSpaceDN w:val="0"/>
        <w:tabs>
          <w:tab w:pos="3148" w:val="left"/>
        </w:tabs>
        <w:autoSpaceDE w:val="0"/>
        <w:widowControl/>
        <w:spacing w:line="276" w:lineRule="exact" w:before="280" w:after="0"/>
        <w:ind w:left="1854" w:right="1152" w:firstLine="0"/>
        <w:jc w:val="left"/>
      </w:pPr>
      <w:r>
        <w:rPr>
          <w:rFonts w:ascii="Times New Roman" w:hAnsi="Times New Roman" w:eastAsia="Times New Roman"/>
          <w:b/>
          <w:i w:val="0"/>
          <w:color w:val="000000"/>
          <w:sz w:val="24"/>
        </w:rPr>
      </w:r>
      <w:r>
        <w:rPr>
          <w:rFonts w:ascii="Times New Roman" w:hAnsi="Times New Roman" w:eastAsia="Times New Roman"/>
          <w:b/>
          <w:i w:val="0"/>
          <w:color w:val="000000"/>
          <w:sz w:val="24"/>
        </w:rPr>
      </w:r>
      <w:r>
        <w:rPr>
          <w:b/>
        </w:rPr>
        <w:t>Analiza cuantică în diagnosticarea bolilor ale glandei pituitare</w:t>
      </w:r>
    </w:p>
    <w:p>
      <w:pPr>
        <w:autoSpaceDN w:val="0"/>
        <w:autoSpaceDE w:val="0"/>
        <w:widowControl/>
        <w:spacing w:line="276" w:lineRule="exact" w:before="272"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Semper mai mult numerosul de medici au posibilitatea de a efectua analiza cuantică a bolilor ale glândei prostată și a beșicului. Acest material va ajuta la înțelegerea particularităților modificărilor morfologice care se produc în glânda prostată în cazul patologiei sale în urma analizei cuantice.</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În statele europene, cancerul de prostată constituie 20% din totalul cazurilor de cancer și este al doilea ca cauză de deces după cancerul la plămâni. Conform datelor secționale cu investigații histologice ale glandei prostată, la 12-47% dintre bărbați cu vârstă peste 50 de ani se identifică focare de cancer.</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Raca clinică este diagnosticată mai rar, deoarece o mare părte a acestui număr este formată din "forme mici" de cancer, care au o invazivitate redusă și pentru care pacientul moare din cauza unei alte patologii. Pentru a îmbunătăți calitatea diagnosticării bolilor ale glandei prostată, este important să se cunoască particularitățile anatomiei topografice și zonale ale acestui organ.</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Glandă prostată se află în cavitatea pichii între beșnic și peretele abdominal anterior, peretele anterior al intestinului rectal și diafragma urogenitală. Glanda are forma de castană și înconjoară îngust șehia beșnicului și uretra prostatică. Baza glandei este îngust legată de beșnic. Suprafața anterioară este îndreptată spre simfiza pubiană, în timp ce suprafața posterioară este îndreptată spre ampuța intestinului rectal. Pe suprafața posterioară se află o groapă pronunțată, din cauza căreia glandă este tradițional împărțită în dolie stângă și dreaptă. De asemenea, se distinge o dolie mediană conică, limitată în față de uretra prostatică și în spate de canalele ejaculatorii.</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Potrivit teorii de anatomie zonală a glandei prostate, se identifică patru zone glandulare. Cunoașterea topografiei lor depinde în mare măsură de corectitudinea interpretării datelor NLS. Zona centrală (ZC) corespunde a 20% din țesutul glandular. Zona periferică (ZP) ocupă 75%. Zonelor de tranziție (ZT) aparține 5% din totalul țesutului glandular.</w:t>
      </w:r>
    </w:p>
    <w:p>
      <w:pPr>
        <w:autoSpaceDN w:val="0"/>
        <w:autoSpaceDE w:val="0"/>
        <w:widowControl/>
        <w:spacing w:line="220" w:lineRule="exact" w:before="0" w:after="0"/>
        <w:ind w:left="0" w:right="0"/>
      </w:pPr>
    </w:p>
    <w:p>
      <w:pPr>
        <w:autoSpaceDN w:val="0"/>
        <w:autoSpaceDE w:val="0"/>
        <w:widowControl/>
        <w:spacing w:line="272" w:lineRule="exact" w:before="0" w:after="0"/>
        <w:ind w:left="0" w:right="0" w:firstLine="708"/>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O mic volum de țesut ocupă glandele periuretrale (PUG), dar precisely this part of the gland is very important for explaining the changes in benign hyperplasias.</w:t>
      </w:r>
    </w:p>
    <w:p>
      <w:pPr>
        <w:autoSpaceDN w:val="0"/>
        <w:autoSpaceDE w:val="0"/>
        <w:widowControl/>
        <w:spacing w:line="276" w:lineRule="exact" w:before="0" w:after="0"/>
        <w:ind w:left="0" w:right="0" w:firstLine="0"/>
        <w:jc w:val="left"/>
      </w:pP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b w:val="0"/>
        </w:rPr>
        <w:t>Cu excepția părții ferosă, se disting patru zone fibromuzclulare:</w:t>
        <w:t>1) Stroma fibromuzculară anterioară (SFMA);</w:t>
        <w:t>2) Fibre musculoase netede ale uretrei (FMN);</w:t>
        <w:t>3) Sfincterul preprostatatic (SPP), care este continuarea mușchilor din partea inferioară a uretrei și împiedică ejacularea inversă;</w:t>
        <w:t>4) Sfincterul postprostatatic (SPP), responsabil pentru retinearea urinii în vezica urinară și blocarea evacuării voluntare a urinii.</w:t>
      </w:r>
    </w:p>
    <w:p>
      <w:pPr>
        <w:autoSpaceDN w:val="0"/>
        <w:autoSpaceDE w:val="0"/>
        <w:widowControl/>
        <w:spacing w:line="276" w:lineRule="exact" w:before="0" w:after="0"/>
        <w:ind w:left="0" w:right="4608" w:firstLine="0"/>
        <w:jc w:val="left"/>
      </w:pP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b w:val="0"/>
        </w:rPr>
        <w:t>Fierul se împărțeste condiționat în două părți:</w:t>
        <w:t>- externă, constituită din CZ, PZ, TZ;</w:t>
        <w:t>- internă, inclusiv PFS, PPZ, POPS.</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Partea externă a glandei are aspectul unei structuri cu normală cromogenitate (2–3 puncte pe scala Fleindler), în timp ce partea internă este hipocromogena (1–2 puncte). Partea externă și internă sunt separate de un strat fibromuscular, cunoscut sub denumirea de „capsula chirurgicală”, de-a lungul căruia se face incizarea în timpul intervențiilor chirurgicale și se depune sarea de calciu (incrustarea calcică a glandei). Aceste formații sunt bine vizibile în analiza cuantică ca structuri moderat hipocromogene (3–4 puncte) de diferite dimensiuni.</w:t>
      </w:r>
    </w:p>
    <w:p>
      <w:pPr>
        <w:autoSpaceDN w:val="0"/>
        <w:autoSpaceDE w:val="0"/>
        <w:widowControl/>
        <w:spacing w:line="276" w:lineRule="exact" w:before="0" w:after="0"/>
        <w:ind w:left="0" w:right="0" w:firstLine="708"/>
        <w:jc w:val="left"/>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16"/>
        </w:rPr>
      </w:r>
      <w:r>
        <w:rPr>
          <w:rFonts w:ascii="TimesNewRomanPSMT" w:hAnsi="TimesNewRomanPSMT" w:eastAsia="TimesNewRomanPSMT"/>
          <w:b w:val="0"/>
          <w:i w:val="0"/>
          <w:color w:val="000000"/>
          <w:sz w:val="24"/>
        </w:rPr>
      </w:r>
      <w:r>
        <w:rPr>
          <w:b w:val="0"/>
        </w:rPr>
        <w:t>Analiza imaginii glandei prostate în analiza cuantică a modelului se efectuează în funcție de următoarele caracteristici cantitative și calitative:</w:t>
        <w:t>1. Dimensiuni: anteroposterior – 2-2,5 cm, transversal – 3-4,5 cm, superio-inferior – 2,5-4 cm.</w:t>
        <w:t>2. Volum – până la 20 cm3.</w:t>
      </w:r>
    </w:p>
    <w:p>
      <w:pPr>
        <w:autoSpaceDN w:val="0"/>
        <w:autoSpaceDE w:val="0"/>
        <w:widowControl/>
        <w:spacing w:line="266" w:lineRule="exact" w:before="10" w:after="0"/>
        <w:ind w:left="0" w:right="0" w:firstLine="0"/>
        <w:jc w:val="left"/>
      </w:pPr>
      <w:r>
        <w:rPr>
          <w:rFonts w:ascii="TimesNewRomanPSMT" w:hAnsi="TimesNewRomanPSMT" w:eastAsia="TimesNewRomanPSMT"/>
          <w:b w:val="0"/>
          <w:i w:val="0"/>
          <w:color w:val="000000"/>
          <w:sz w:val="24"/>
        </w:rPr>
      </w:r>
      <w:r>
        <w:rPr>
          <w:b w:val="0"/>
        </w:rPr>
        <w:t>3. Simetrie. Referința este uretra.</w:t>
      </w:r>
    </w:p>
    <w:p>
      <w:pPr>
        <w:autoSpaceDN w:val="0"/>
        <w:autoSpaceDE w:val="0"/>
        <w:widowControl/>
        <w:spacing w:line="276" w:lineRule="exact" w:before="0" w:after="0"/>
        <w:ind w:left="0" w:right="0" w:firstLine="0"/>
        <w:jc w:val="left"/>
      </w:pP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La descoperirea modificărilor patologice pe imagine, se recomandă:</w:t>
        <w:t>- precizarea locului lor;</w:t>
        <w:t>- efectuarea unei histografii a zonei patologice și a zonei de țesut cu structură normală.</w:t>
      </w:r>
    </w:p>
    <w:p>
      <w:pPr>
        <w:autoSpaceDN w:val="0"/>
        <w:autoSpaceDE w:val="0"/>
        <w:widowControl/>
        <w:spacing w:line="266" w:lineRule="exact" w:before="10" w:after="0"/>
        <w:ind w:left="708" w:right="0" w:firstLine="0"/>
        <w:jc w:val="left"/>
      </w:pPr>
      <w:r>
        <w:rPr>
          <w:rFonts w:ascii="TimesNewRomanPSMT" w:hAnsi="TimesNewRomanPSMT" w:eastAsia="TimesNewRomanPSMT"/>
          <w:b w:val="0"/>
          <w:i w:val="0"/>
          <w:color w:val="000000"/>
          <w:sz w:val="24"/>
        </w:rPr>
      </w:r>
      <w:r>
        <w:rPr>
          <w:b w:val="0"/>
        </w:rPr>
        <w:t>Aceasta va fi utilă în timpul observării dinamice ale pacientului.</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 New Roman" w:hAnsi="Times New Roman" w:eastAsia="Times New Roman"/>
          <w:b/>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La hiperplazia benignă, analiza cuantică permite să se identifice direcția de creștere preferențială. În cazul hipertrofiei zonelor de tranziție ale ficatului, creșterea se face în direcția către partea internă. Se formează „zone laterale de umbra” (4-5 puncte pe scala Fleindler). Analiza cuantică (AC) oferă informații cele mai detaliate și precise.</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Lobii laterali măriți comprimă PZ și CZ și duc la atrofia lor. Odată cu creșterea zonelor parauretrale, hiperplazia lor este limitată de un strat fibromuscular gros al PPS, prin urmare, cu acest tip de patologie, fierul crește de-a lungul uretrei cu formarea unei „zone de întunecare mijlocie”, împingând deoparte peretele vezicii urinare. Această patologie este bine vizualizată în secțiuni longitudinale în timpul scanării virtuale. La începutul creșterii, are loc o încălcare a raportului dintre părțile glandulare interne și externe. Pe lângă diferențele în zonele de creștere preferențială, clinica va fi și ea diferită. În varianta cu formarea unei glande sferice (creșterea TZ), glanda este predominant hipercromogenă, iar fenomenele dizurice sunt minime, în timp ce în cazul formării „zonei de mijloc”, glanda este ușor întunecată și disuria este pronunțată. Odată cu decompensarea sfincterelor, se dezvoltă incontinența urinară, dilatarea tractului urinar superior cu atrofie ulterioară a cortexului renal, care se unește treptat cu urinarea frecventă, nicturia, presiunea urinară slăbită și urinarea lentă care apare în stadiile inițiale ale bolii.</w:t>
      </w:r>
    </w:p>
    <w:p>
      <w:pPr>
        <w:autoSpaceDN w:val="0"/>
        <w:autoSpaceDE w:val="0"/>
        <w:widowControl/>
        <w:spacing w:line="276" w:lineRule="exact" w:before="0" w:after="0"/>
        <w:ind w:left="0" w:right="20" w:firstLine="708"/>
        <w:jc w:val="both"/>
      </w:pP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rFonts w:ascii="TimesNewRomanPSMT" w:hAnsi="TimesNewRomanPSMT" w:eastAsia="TimesNewRomanPSMT"/>
          <w:b w:val="0"/>
          <w:i w:val="0"/>
          <w:color w:val="000000"/>
          <w:sz w:val="24"/>
        </w:rPr>
      </w:r>
      <w:r>
        <w:rPr>
          <w:b w:val="0"/>
        </w:rPr>
        <w:t>La comprimarea gâtului vezicii urinare se poate vizualiza pe (CA, analiza cuantică) prezența semnelor de obstrucție infravizicală, care au ca rezultat modificări morfologice și funcționale în căile urinare inferioare și superioare. În</w:t>
      </w:r>
    </w:p>
    <w:sectPr w:rsidR="00FC693F" w:rsidRPr="0006063C" w:rsidSect="00034616">
      <w:pgSz w:w="11900" w:h="16840"/>
      <w:pgMar w:top="398" w:right="708" w:bottom="498" w:left="127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