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Evidencia “DÍA 3 SEMANA 8” del 16/06: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una base de datos y 2 o 3 tablas.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PrimeraBD character set utf8;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PrimeraBD;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primeraTabla(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idTabla int auto_increment,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apellidoP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fechaNacimiento date,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primary key(idTabla)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create Table Cliente(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idcliente int auto_increment,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apellidoP varchar(30),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fechaNacimiento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Direccion varchar(50),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mail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pasword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primary key (idcliente)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create Table producto(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idProducto int auto_increment,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Descripcion varchar(30),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primary key(idProducto)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