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“DÍA 5 SEMANA 9” del 25/06: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Identificar los atributos de las entidades identificadas en el ejercicio 3 del 24/06.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Identificar las relaciones entre las mismas entidades.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TiendaVideos character set utf8;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TiendaVideos;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Sucursal(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idSucursal int auto_increment,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direccion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fono varchar(30),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primary key(idSucursal)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Producto(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idProducto int auto_increment,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idSucursal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Descripcion varchar(30),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valor float,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primary key(idProducto)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create table Cliente(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idCliente int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rut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dv char(1),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nombre varchar(40),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direccion varchar(30),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primary key(idCliente)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);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create table Ventas(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idVta int auto_increment,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fecVta 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idCliente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idProducto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idUsuario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primary key(idVta)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create table Compras(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idCompra int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feccompra date,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idproveedor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idProducto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primary key(idCompra)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create table usuario(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idUsuario int auto_increment,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Rol int,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primary key(idUsuario)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create table proveedor(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idProveedor int auto_increment,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Direccion varchar(30),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primary key(idProveedor)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