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A6782" w14:textId="77777777" w:rsidR="00BE18C6" w:rsidRDefault="00BE18C6" w:rsidP="00BE18C6">
      <w:pPr>
        <w:spacing w:line="480" w:lineRule="auto"/>
        <w:jc w:val="center"/>
        <w:rPr>
          <w:rFonts w:ascii="Times New Roman" w:hAnsi="Times New Roman" w:cs="Times New Roman"/>
          <w:b/>
          <w:bCs/>
          <w:sz w:val="24"/>
          <w:szCs w:val="24"/>
        </w:rPr>
      </w:pPr>
    </w:p>
    <w:p w14:paraId="50F1D57F" w14:textId="77777777" w:rsidR="00BE18C6" w:rsidRDefault="00BE18C6" w:rsidP="00BE18C6">
      <w:pPr>
        <w:spacing w:line="480" w:lineRule="auto"/>
        <w:jc w:val="center"/>
        <w:rPr>
          <w:rFonts w:ascii="Times New Roman" w:hAnsi="Times New Roman" w:cs="Times New Roman"/>
          <w:b/>
          <w:bCs/>
          <w:sz w:val="24"/>
          <w:szCs w:val="24"/>
        </w:rPr>
      </w:pPr>
    </w:p>
    <w:p w14:paraId="689838DC" w14:textId="77777777" w:rsidR="00BE18C6" w:rsidRDefault="00BE18C6" w:rsidP="00BE18C6">
      <w:pPr>
        <w:spacing w:line="480" w:lineRule="auto"/>
        <w:rPr>
          <w:rFonts w:ascii="Times New Roman" w:hAnsi="Times New Roman" w:cs="Times New Roman"/>
          <w:b/>
          <w:bCs/>
          <w:sz w:val="24"/>
          <w:szCs w:val="24"/>
        </w:rPr>
      </w:pPr>
    </w:p>
    <w:p w14:paraId="32CA33F4" w14:textId="77777777" w:rsidR="00BE18C6" w:rsidRDefault="00BE18C6" w:rsidP="00BE18C6">
      <w:pPr>
        <w:spacing w:line="480" w:lineRule="auto"/>
        <w:jc w:val="center"/>
        <w:rPr>
          <w:rFonts w:ascii="Times New Roman" w:hAnsi="Times New Roman" w:cs="Times New Roman"/>
          <w:b/>
          <w:bCs/>
          <w:sz w:val="24"/>
          <w:szCs w:val="24"/>
        </w:rPr>
      </w:pPr>
    </w:p>
    <w:p w14:paraId="1237DDED" w14:textId="77777777" w:rsidR="00BE18C6" w:rsidRDefault="00BE18C6" w:rsidP="00BE18C6">
      <w:pPr>
        <w:spacing w:line="480" w:lineRule="auto"/>
        <w:jc w:val="center"/>
        <w:rPr>
          <w:rFonts w:ascii="Times New Roman" w:hAnsi="Times New Roman" w:cs="Times New Roman"/>
          <w:b/>
          <w:bCs/>
          <w:sz w:val="24"/>
          <w:szCs w:val="24"/>
        </w:rPr>
      </w:pPr>
    </w:p>
    <w:p w14:paraId="04498F1D" w14:textId="77777777" w:rsidR="00BE18C6" w:rsidRDefault="00BE18C6" w:rsidP="00BE18C6">
      <w:pPr>
        <w:spacing w:line="480" w:lineRule="auto"/>
        <w:jc w:val="center"/>
        <w:rPr>
          <w:rFonts w:ascii="Times New Roman" w:hAnsi="Times New Roman" w:cs="Times New Roman"/>
          <w:b/>
          <w:bCs/>
          <w:sz w:val="24"/>
          <w:szCs w:val="24"/>
        </w:rPr>
      </w:pPr>
    </w:p>
    <w:p w14:paraId="1503FFFD" w14:textId="77777777" w:rsidR="00BE18C6" w:rsidRDefault="00000000" w:rsidP="00BE18C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Analysing the Financial Performance and Sustainability of MGCLG: 2023 – 2024 Fiscal Year</w:t>
      </w:r>
    </w:p>
    <w:p w14:paraId="55804614" w14:textId="77777777" w:rsidR="00BE18C6" w:rsidRDefault="00BE18C6" w:rsidP="00BE18C6">
      <w:pPr>
        <w:spacing w:line="480" w:lineRule="auto"/>
        <w:jc w:val="center"/>
        <w:rPr>
          <w:rFonts w:ascii="Times New Roman" w:hAnsi="Times New Roman" w:cs="Times New Roman"/>
          <w:b/>
          <w:bCs/>
          <w:sz w:val="24"/>
          <w:szCs w:val="24"/>
        </w:rPr>
      </w:pPr>
    </w:p>
    <w:p w14:paraId="350D5DCF" w14:textId="77777777" w:rsidR="00BE18C6" w:rsidRPr="00BE18C6" w:rsidRDefault="00000000" w:rsidP="00BE18C6">
      <w:pPr>
        <w:spacing w:line="480" w:lineRule="auto"/>
        <w:jc w:val="center"/>
        <w:rPr>
          <w:rFonts w:ascii="Times New Roman" w:hAnsi="Times New Roman" w:cs="Times New Roman"/>
          <w:sz w:val="24"/>
          <w:szCs w:val="24"/>
        </w:rPr>
      </w:pPr>
      <w:r w:rsidRPr="00BE18C6">
        <w:rPr>
          <w:rFonts w:ascii="Times New Roman" w:hAnsi="Times New Roman" w:cs="Times New Roman"/>
          <w:sz w:val="24"/>
          <w:szCs w:val="24"/>
        </w:rPr>
        <w:t>Student Name</w:t>
      </w:r>
    </w:p>
    <w:p w14:paraId="5CD4A14B" w14:textId="77777777" w:rsidR="00BE18C6" w:rsidRPr="00BE18C6" w:rsidRDefault="00000000" w:rsidP="00BE18C6">
      <w:pPr>
        <w:spacing w:line="480" w:lineRule="auto"/>
        <w:jc w:val="center"/>
        <w:rPr>
          <w:rFonts w:ascii="Times New Roman" w:hAnsi="Times New Roman" w:cs="Times New Roman"/>
          <w:sz w:val="24"/>
          <w:szCs w:val="24"/>
        </w:rPr>
      </w:pPr>
      <w:r w:rsidRPr="00BE18C6">
        <w:rPr>
          <w:rFonts w:ascii="Times New Roman" w:hAnsi="Times New Roman" w:cs="Times New Roman"/>
          <w:sz w:val="24"/>
          <w:szCs w:val="24"/>
        </w:rPr>
        <w:t>Affiliation</w:t>
      </w:r>
    </w:p>
    <w:p w14:paraId="643CA4F1" w14:textId="77777777" w:rsidR="00BE18C6" w:rsidRPr="00BE18C6" w:rsidRDefault="00000000" w:rsidP="00BE18C6">
      <w:pPr>
        <w:spacing w:line="480" w:lineRule="auto"/>
        <w:jc w:val="center"/>
        <w:rPr>
          <w:rFonts w:ascii="Times New Roman" w:hAnsi="Times New Roman" w:cs="Times New Roman"/>
          <w:sz w:val="24"/>
          <w:szCs w:val="24"/>
        </w:rPr>
      </w:pPr>
      <w:r w:rsidRPr="00BE18C6">
        <w:rPr>
          <w:rFonts w:ascii="Times New Roman" w:hAnsi="Times New Roman" w:cs="Times New Roman"/>
          <w:sz w:val="24"/>
          <w:szCs w:val="24"/>
        </w:rPr>
        <w:t>Course Number, Course Name</w:t>
      </w:r>
    </w:p>
    <w:p w14:paraId="0590A492" w14:textId="77777777" w:rsidR="00BE18C6" w:rsidRPr="00BE18C6" w:rsidRDefault="00000000" w:rsidP="00BE18C6">
      <w:pPr>
        <w:spacing w:line="480" w:lineRule="auto"/>
        <w:jc w:val="center"/>
        <w:rPr>
          <w:rFonts w:ascii="Times New Roman" w:hAnsi="Times New Roman" w:cs="Times New Roman"/>
          <w:sz w:val="24"/>
          <w:szCs w:val="24"/>
        </w:rPr>
      </w:pPr>
      <w:r w:rsidRPr="00BE18C6">
        <w:rPr>
          <w:rFonts w:ascii="Times New Roman" w:hAnsi="Times New Roman" w:cs="Times New Roman"/>
          <w:sz w:val="24"/>
          <w:szCs w:val="24"/>
        </w:rPr>
        <w:t>Instructor’s Name</w:t>
      </w:r>
    </w:p>
    <w:p w14:paraId="1906218D" w14:textId="77777777" w:rsidR="00BE18C6" w:rsidRDefault="00000000" w:rsidP="00BE18C6">
      <w:pPr>
        <w:spacing w:line="480" w:lineRule="auto"/>
        <w:jc w:val="center"/>
        <w:rPr>
          <w:rFonts w:ascii="Times New Roman" w:hAnsi="Times New Roman" w:cs="Times New Roman"/>
          <w:b/>
          <w:bCs/>
          <w:sz w:val="24"/>
          <w:szCs w:val="24"/>
        </w:rPr>
      </w:pPr>
      <w:r w:rsidRPr="00BE18C6">
        <w:rPr>
          <w:rFonts w:ascii="Times New Roman" w:hAnsi="Times New Roman" w:cs="Times New Roman"/>
          <w:sz w:val="24"/>
          <w:szCs w:val="24"/>
        </w:rPr>
        <w:t>Due Date</w:t>
      </w:r>
      <w:r>
        <w:rPr>
          <w:rFonts w:ascii="Times New Roman" w:hAnsi="Times New Roman" w:cs="Times New Roman"/>
          <w:b/>
          <w:bCs/>
          <w:sz w:val="24"/>
          <w:szCs w:val="24"/>
        </w:rPr>
        <w:br w:type="page"/>
      </w:r>
    </w:p>
    <w:p w14:paraId="259EDB4B" w14:textId="77777777" w:rsidR="00BE0ACF" w:rsidRDefault="00BE0ACF" w:rsidP="00BE18C6">
      <w:pPr>
        <w:spacing w:line="480" w:lineRule="auto"/>
        <w:jc w:val="center"/>
        <w:rPr>
          <w:rFonts w:ascii="Times New Roman" w:hAnsi="Times New Roman" w:cs="Times New Roman"/>
          <w:b/>
          <w:bCs/>
          <w:sz w:val="24"/>
          <w:szCs w:val="24"/>
        </w:rPr>
      </w:pPr>
      <w:r w:rsidRPr="00BE0ACF">
        <w:rPr>
          <w:rFonts w:ascii="Times New Roman" w:hAnsi="Times New Roman" w:cs="Times New Roman"/>
          <w:b/>
          <w:bCs/>
          <w:sz w:val="24"/>
          <w:szCs w:val="24"/>
        </w:rPr>
        <w:lastRenderedPageBreak/>
        <w:t>Analysing the Financial Performance and Sustainability of MGCLG: 2023 – 2024 Fiscal Year</w:t>
      </w:r>
    </w:p>
    <w:p w14:paraId="467B58AF" w14:textId="1754A732" w:rsidR="008A4254" w:rsidRPr="00221A02" w:rsidRDefault="00000000" w:rsidP="00BE18C6">
      <w:pPr>
        <w:spacing w:line="480" w:lineRule="auto"/>
        <w:jc w:val="center"/>
        <w:rPr>
          <w:rFonts w:ascii="Times New Roman" w:hAnsi="Times New Roman" w:cs="Times New Roman"/>
          <w:b/>
          <w:bCs/>
          <w:sz w:val="24"/>
          <w:szCs w:val="24"/>
        </w:rPr>
      </w:pPr>
      <w:r w:rsidRPr="00221A02">
        <w:rPr>
          <w:rFonts w:ascii="Times New Roman" w:hAnsi="Times New Roman" w:cs="Times New Roman"/>
          <w:b/>
          <w:bCs/>
          <w:sz w:val="24"/>
          <w:szCs w:val="24"/>
        </w:rPr>
        <w:t>Executive Summary</w:t>
      </w:r>
    </w:p>
    <w:p w14:paraId="3280C124" w14:textId="77777777" w:rsidR="00BE0ACF" w:rsidRDefault="00BE0ACF" w:rsidP="00BE0ACF">
      <w:pPr>
        <w:spacing w:line="480" w:lineRule="auto"/>
        <w:ind w:firstLine="720"/>
        <w:rPr>
          <w:rFonts w:ascii="Times New Roman" w:hAnsi="Times New Roman" w:cs="Times New Roman"/>
          <w:sz w:val="24"/>
          <w:szCs w:val="24"/>
        </w:rPr>
      </w:pPr>
      <w:r w:rsidRPr="00BE0ACF">
        <w:rPr>
          <w:rFonts w:ascii="Times New Roman" w:hAnsi="Times New Roman" w:cs="Times New Roman"/>
          <w:sz w:val="24"/>
          <w:szCs w:val="24"/>
        </w:rPr>
        <w:t xml:space="preserve">The analysis in this report maps the Ministry of Housing, Communities &amp; Local Government (MHCLG’s) statutory funding, draws an assessment of its financial performance for the financial year ending 2023–24 to help the board understand fully its fiscal health. The report covers the Income Statement, Balance Sheet, Cash Flow Statement, as well as all the calculations, comparative year on year analysis with supporting insights from the Notes to the Accounts. </w:t>
      </w:r>
    </w:p>
    <w:p w14:paraId="74D767AE" w14:textId="77777777" w:rsidR="00BE0ACF" w:rsidRDefault="00BE0ACF" w:rsidP="00BE0ACF">
      <w:pPr>
        <w:spacing w:line="480" w:lineRule="auto"/>
        <w:ind w:firstLine="720"/>
        <w:rPr>
          <w:rFonts w:ascii="Times New Roman" w:hAnsi="Times New Roman" w:cs="Times New Roman"/>
          <w:sz w:val="24"/>
          <w:szCs w:val="24"/>
        </w:rPr>
      </w:pPr>
      <w:r w:rsidRPr="00BE0ACF">
        <w:rPr>
          <w:rFonts w:ascii="Times New Roman" w:hAnsi="Times New Roman" w:cs="Times New Roman"/>
          <w:sz w:val="24"/>
          <w:szCs w:val="24"/>
        </w:rPr>
        <w:t xml:space="preserve">MHCLG is a public sector body carrying out housing, local government and community development work. Its financial performance reflects its efforts to provide critical services in the face of economic challenges characterized by inflationary pressures, shifting governmental priorities and its desire to do business sustainably. Total net expenditure of the organization in 2023–24 was £40.63 billion, up from £30.87 billion in 2022–23, largely a result of higher operating costs from local government grants and housing schemes. </w:t>
      </w:r>
    </w:p>
    <w:p w14:paraId="1350F281" w14:textId="06B18516" w:rsidR="00BE0ACF" w:rsidRDefault="00BE0ACF" w:rsidP="00BE0ACF">
      <w:pPr>
        <w:spacing w:line="480" w:lineRule="auto"/>
        <w:ind w:firstLine="720"/>
        <w:rPr>
          <w:rFonts w:ascii="Times New Roman" w:hAnsi="Times New Roman" w:cs="Times New Roman"/>
          <w:sz w:val="24"/>
          <w:szCs w:val="24"/>
        </w:rPr>
      </w:pPr>
      <w:r w:rsidRPr="00BE0ACF">
        <w:rPr>
          <w:rFonts w:ascii="Times New Roman" w:hAnsi="Times New Roman" w:cs="Times New Roman"/>
          <w:sz w:val="24"/>
          <w:szCs w:val="24"/>
        </w:rPr>
        <w:t xml:space="preserve">A stable asset base can be seen through the Balance Sheet, totals taxpayers' equity fell from £21.72 billion to £20.47 billion as liabilities, including pension obligations, have increased. Results of cash flow analysis suggest enhanced cash management with net cash inflows from financing activities compensating for operational cash outflows. Liquidity and efficiency metrics provide a valuable pointer to where operational margins can be improved with more efficient asset utilization alongside better cost management. The overall findings, conclusions, and </w:t>
      </w:r>
      <w:r w:rsidRPr="00BE0ACF">
        <w:rPr>
          <w:rFonts w:ascii="Times New Roman" w:hAnsi="Times New Roman" w:cs="Times New Roman"/>
          <w:sz w:val="24"/>
          <w:szCs w:val="24"/>
        </w:rPr>
        <w:lastRenderedPageBreak/>
        <w:t>strategic recommendations are as follows, and include a review of MHCLG’s financial sustainability.</w:t>
      </w:r>
    </w:p>
    <w:p w14:paraId="153E243F" w14:textId="71C4507E" w:rsidR="00AE3CF1" w:rsidRPr="00221A02" w:rsidRDefault="00000000" w:rsidP="00BE18C6">
      <w:pPr>
        <w:spacing w:line="480" w:lineRule="auto"/>
        <w:jc w:val="center"/>
        <w:rPr>
          <w:rFonts w:ascii="Times New Roman" w:hAnsi="Times New Roman" w:cs="Times New Roman"/>
          <w:b/>
          <w:bCs/>
          <w:sz w:val="24"/>
          <w:szCs w:val="24"/>
        </w:rPr>
      </w:pPr>
      <w:r w:rsidRPr="00221A02">
        <w:rPr>
          <w:rFonts w:ascii="Times New Roman" w:hAnsi="Times New Roman" w:cs="Times New Roman"/>
          <w:b/>
          <w:bCs/>
          <w:sz w:val="24"/>
          <w:szCs w:val="24"/>
        </w:rPr>
        <w:t>Introduction</w:t>
      </w:r>
    </w:p>
    <w:p w14:paraId="0C013512" w14:textId="77777777" w:rsidR="008A425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 xml:space="preserve">MHCLG (Ministry of Housing, Communities &amp; Local Government) is a central government department charged with creating sustainable communities, making housing accessible, and supporting local governments in running the communities to serve their citizens. It aims to build prosperous </w:t>
      </w:r>
      <w:r w:rsidR="00BE18C6" w:rsidRPr="00221A02">
        <w:rPr>
          <w:rFonts w:ascii="Times New Roman" w:hAnsi="Times New Roman" w:cs="Times New Roman"/>
          <w:sz w:val="24"/>
          <w:szCs w:val="24"/>
        </w:rPr>
        <w:t>neighbourhoods</w:t>
      </w:r>
      <w:r w:rsidRPr="00221A02">
        <w:rPr>
          <w:rFonts w:ascii="Times New Roman" w:hAnsi="Times New Roman" w:cs="Times New Roman"/>
          <w:sz w:val="24"/>
          <w:szCs w:val="24"/>
        </w:rPr>
        <w:t>, increase the supply of housing reduce inequalities across regions, foster economic growth and promote social cohesion.</w:t>
      </w:r>
    </w:p>
    <w:p w14:paraId="255D9F26" w14:textId="77777777" w:rsidR="008A425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MHCLG is a key player in the public sector offering policy and initiatives to support society's development, working on affordable housing, funding for local government and infrastructure development. However, it is the organization that helps to address housing crises, support urban regeneration and support councils in providing key public services. MHCLG's activity directly impacts citizens' well-being and national economic stability through managing substantial public funds.</w:t>
      </w:r>
    </w:p>
    <w:p w14:paraId="67EB9600" w14:textId="77777777" w:rsidR="00BE0ACF" w:rsidRDefault="00BE0ACF" w:rsidP="00BE18C6">
      <w:pPr>
        <w:spacing w:line="480" w:lineRule="auto"/>
        <w:ind w:firstLine="720"/>
        <w:rPr>
          <w:rFonts w:ascii="Times New Roman" w:hAnsi="Times New Roman" w:cs="Times New Roman"/>
          <w:sz w:val="24"/>
          <w:szCs w:val="24"/>
        </w:rPr>
      </w:pPr>
      <w:r w:rsidRPr="00BE0ACF">
        <w:rPr>
          <w:rFonts w:ascii="Times New Roman" w:hAnsi="Times New Roman" w:cs="Times New Roman"/>
          <w:sz w:val="24"/>
          <w:szCs w:val="24"/>
        </w:rPr>
        <w:t>This report focuses on MHCLG financial performance for the financial year 2023–24, and looks at the Income Statement, Balance Sheet and Cash Flow Statement. Accounts over the last year are compared to provide important trends and changes in financial position in addition to information given in the Notes to the Accounts.</w:t>
      </w:r>
    </w:p>
    <w:p w14:paraId="45C5347F" w14:textId="7A81FD9E" w:rsidR="008A425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 xml:space="preserve">Financial reporting is the basis on which the board makes financial decisions, evaluating fiscal health, directing appropriate resourcefulness, and aligning financial results with the organizational ends. This research aims to identify areas of financial strength, and challenging areas, and recommend ways to boost financial management and operational efficiency. The </w:t>
      </w:r>
      <w:r w:rsidRPr="00221A02">
        <w:rPr>
          <w:rFonts w:ascii="Times New Roman" w:hAnsi="Times New Roman" w:cs="Times New Roman"/>
          <w:sz w:val="24"/>
          <w:szCs w:val="24"/>
        </w:rPr>
        <w:lastRenderedPageBreak/>
        <w:t>report makes available for evaluation, the financial data put forward by the ministry to safeguard transparency and accountability and support the ministry's long-term aims of 'delivering value to the public sector.</w:t>
      </w:r>
    </w:p>
    <w:p w14:paraId="397BB963" w14:textId="77777777" w:rsidR="008A4254" w:rsidRPr="00221A02" w:rsidRDefault="00000000" w:rsidP="00BE18C6">
      <w:pPr>
        <w:spacing w:line="480" w:lineRule="auto"/>
        <w:jc w:val="center"/>
        <w:rPr>
          <w:rFonts w:ascii="Times New Roman" w:hAnsi="Times New Roman" w:cs="Times New Roman"/>
          <w:b/>
          <w:bCs/>
          <w:sz w:val="24"/>
          <w:szCs w:val="24"/>
        </w:rPr>
      </w:pPr>
      <w:r w:rsidRPr="00221A02">
        <w:rPr>
          <w:rFonts w:ascii="Times New Roman" w:hAnsi="Times New Roman" w:cs="Times New Roman"/>
          <w:b/>
          <w:bCs/>
          <w:sz w:val="24"/>
          <w:szCs w:val="24"/>
        </w:rPr>
        <w:t>Sector Context and Organizational Environment</w:t>
      </w:r>
    </w:p>
    <w:p w14:paraId="5A83EF38" w14:textId="77777777" w:rsidR="008A425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MHCLG is a ministry within the public sector dealing with housing, local government and community development. This sector is an essential part of providing solutions to pressing societal needs such as housing supply and affordability, infrastructure development and local governance. Aims to facilitate fair growth, shape sustainable communities and reduce regional disparities across England.</w:t>
      </w:r>
    </w:p>
    <w:p w14:paraId="127D1289" w14:textId="77777777" w:rsidR="008A4254" w:rsidRPr="00221A02" w:rsidRDefault="00000000" w:rsidP="00BE18C6">
      <w:pPr>
        <w:spacing w:line="480" w:lineRule="auto"/>
        <w:rPr>
          <w:rFonts w:ascii="Times New Roman" w:hAnsi="Times New Roman" w:cs="Times New Roman"/>
          <w:b/>
          <w:bCs/>
          <w:sz w:val="24"/>
          <w:szCs w:val="24"/>
        </w:rPr>
      </w:pPr>
      <w:r w:rsidRPr="00221A02">
        <w:rPr>
          <w:rFonts w:ascii="Times New Roman" w:hAnsi="Times New Roman" w:cs="Times New Roman"/>
          <w:b/>
          <w:bCs/>
          <w:sz w:val="24"/>
          <w:szCs w:val="24"/>
        </w:rPr>
        <w:t>The Public Sector Landscape Overview</w:t>
      </w:r>
    </w:p>
    <w:p w14:paraId="633CC76B" w14:textId="77777777" w:rsidR="008A425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The sector houses multifaceted responsibilities, and that is the management of public housing, access to basic services, and what is known as urban regeneration. Key challenges facing this sector include:</w:t>
      </w:r>
    </w:p>
    <w:p w14:paraId="2DBB2FCF" w14:textId="77777777" w:rsidR="008A4254"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Funding Constraints</w:t>
      </w:r>
    </w:p>
    <w:p w14:paraId="0125ED2C" w14:textId="77777777" w:rsidR="008A425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 xml:space="preserve">The demand for efficient allocation of government funding has increased because of limited fiscal resources. </w:t>
      </w:r>
      <w:r w:rsidR="00BE18C6">
        <w:rPr>
          <w:rFonts w:ascii="Times New Roman" w:hAnsi="Times New Roman" w:cs="Times New Roman"/>
          <w:sz w:val="24"/>
          <w:szCs w:val="24"/>
        </w:rPr>
        <w:t>Additionally</w:t>
      </w:r>
      <w:r w:rsidRPr="00221A02">
        <w:rPr>
          <w:rFonts w:ascii="Times New Roman" w:hAnsi="Times New Roman" w:cs="Times New Roman"/>
          <w:sz w:val="24"/>
          <w:szCs w:val="24"/>
        </w:rPr>
        <w:t>, local government's ability to deliver services has been further constrained by public sector austerity measures.</w:t>
      </w:r>
    </w:p>
    <w:p w14:paraId="270863B6" w14:textId="77777777" w:rsidR="008A4254"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Regulatory Changes</w:t>
      </w:r>
    </w:p>
    <w:p w14:paraId="07E615D6" w14:textId="77777777" w:rsidR="008A425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Planning and housing policies that require continual reform present challenges for local councils and developers to deliver housing demand</w:t>
      </w:r>
      <w:r w:rsidR="00BE18C6">
        <w:rPr>
          <w:rFonts w:ascii="Times New Roman" w:hAnsi="Times New Roman" w:cs="Times New Roman"/>
          <w:sz w:val="24"/>
          <w:szCs w:val="24"/>
        </w:rPr>
        <w:t xml:space="preserve"> as stated by the Ministry of Housing, Communities and Local Government (2024)</w:t>
      </w:r>
      <w:r w:rsidRPr="00221A02">
        <w:rPr>
          <w:rFonts w:ascii="Times New Roman" w:hAnsi="Times New Roman" w:cs="Times New Roman"/>
          <w:sz w:val="24"/>
          <w:szCs w:val="24"/>
        </w:rPr>
        <w:t>.</w:t>
      </w:r>
    </w:p>
    <w:p w14:paraId="20E0741F" w14:textId="77777777" w:rsidR="008A4254"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lastRenderedPageBreak/>
        <w:t>Economic Environment</w:t>
      </w:r>
    </w:p>
    <w:p w14:paraId="5DD37C06" w14:textId="77777777" w:rsidR="008A425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The rising interest rates, inflation and residual effects from the COVID-19 pandemic have made the public sector budgetary situation very tight, which has reduced disposable income and increased homelessness.</w:t>
      </w:r>
    </w:p>
    <w:p w14:paraId="1549E190" w14:textId="77777777" w:rsidR="008A4254"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External Factors</w:t>
      </w:r>
    </w:p>
    <w:p w14:paraId="4E5F1858" w14:textId="77777777" w:rsidR="008A425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Investments in housing and infrastructure upgrades have become a ‘must do’ as a consequence of climate change initiatives and Net Zero targets.</w:t>
      </w:r>
    </w:p>
    <w:p w14:paraId="3135C94D" w14:textId="77777777" w:rsidR="00C11231" w:rsidRPr="00221A02" w:rsidRDefault="00000000" w:rsidP="00BE18C6">
      <w:pPr>
        <w:spacing w:line="480" w:lineRule="auto"/>
        <w:rPr>
          <w:rFonts w:ascii="Times New Roman" w:hAnsi="Times New Roman" w:cs="Times New Roman"/>
          <w:b/>
          <w:bCs/>
          <w:sz w:val="24"/>
          <w:szCs w:val="24"/>
        </w:rPr>
      </w:pPr>
      <w:proofErr w:type="gramStart"/>
      <w:r w:rsidRPr="00221A02">
        <w:rPr>
          <w:rFonts w:ascii="Times New Roman" w:hAnsi="Times New Roman" w:cs="Times New Roman"/>
          <w:b/>
          <w:bCs/>
          <w:sz w:val="24"/>
          <w:szCs w:val="24"/>
        </w:rPr>
        <w:t>Organizations</w:t>
      </w:r>
      <w:proofErr w:type="gramEnd"/>
      <w:r w:rsidRPr="00221A02">
        <w:rPr>
          <w:rFonts w:ascii="Times New Roman" w:hAnsi="Times New Roman" w:cs="Times New Roman"/>
          <w:b/>
          <w:bCs/>
          <w:sz w:val="24"/>
          <w:szCs w:val="24"/>
        </w:rPr>
        <w:t xml:space="preserve"> role within the sector</w:t>
      </w:r>
    </w:p>
    <w:p w14:paraId="777866EF" w14:textId="77777777" w:rsidR="00C11231"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As a strategic enabler, MHCLG funds, overviews, and sets policy for changes in housing and community development on a local level. Its key functions include:</w:t>
      </w:r>
    </w:p>
    <w:p w14:paraId="6111E877" w14:textId="77777777" w:rsidR="00C11231"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Policy Formulation</w:t>
      </w:r>
    </w:p>
    <w:p w14:paraId="07101100" w14:textId="77777777" w:rsidR="00C11231"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Policies in housing supply, urban regeneration, and infrastructure investment design and implementation.</w:t>
      </w:r>
    </w:p>
    <w:p w14:paraId="0E68D278" w14:textId="77777777" w:rsidR="00C11231"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Grant Administration</w:t>
      </w:r>
    </w:p>
    <w:p w14:paraId="665EF22D" w14:textId="77777777" w:rsidR="00C11231"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The allocation of funds to local councils to carry out fund supply, develop housing and disaster response.</w:t>
      </w:r>
    </w:p>
    <w:p w14:paraId="637D851B" w14:textId="77777777" w:rsidR="00C11231"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Housing Initiatives</w:t>
      </w:r>
    </w:p>
    <w:p w14:paraId="61685810" w14:textId="77777777" w:rsidR="00C11231"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Tackling homelessness through Affordable Homes Programme schemes and raising housing supply through planning reforms.</w:t>
      </w:r>
    </w:p>
    <w:p w14:paraId="7B07564B" w14:textId="77777777" w:rsidR="00C11231"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Community Support</w:t>
      </w:r>
    </w:p>
    <w:p w14:paraId="63867E72" w14:textId="77777777" w:rsidR="00C11231"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lastRenderedPageBreak/>
        <w:t>To empower local governments to improve social cohesion, economic growth, and increase public welfare.</w:t>
      </w:r>
    </w:p>
    <w:p w14:paraId="39ADB75A" w14:textId="77777777" w:rsidR="00C11231"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Stakeholder Expectations and Funding Sources</w:t>
      </w:r>
    </w:p>
    <w:p w14:paraId="585FCCAA" w14:textId="77777777" w:rsidR="00C11231" w:rsidRPr="00221A02" w:rsidRDefault="00000000" w:rsidP="00BE18C6">
      <w:pPr>
        <w:spacing w:line="480" w:lineRule="auto"/>
        <w:ind w:firstLine="360"/>
        <w:rPr>
          <w:rFonts w:ascii="Times New Roman" w:hAnsi="Times New Roman" w:cs="Times New Roman"/>
          <w:sz w:val="24"/>
          <w:szCs w:val="24"/>
        </w:rPr>
      </w:pPr>
      <w:r w:rsidRPr="00221A02">
        <w:rPr>
          <w:rFonts w:ascii="Times New Roman" w:hAnsi="Times New Roman" w:cs="Times New Roman"/>
          <w:sz w:val="24"/>
          <w:szCs w:val="24"/>
        </w:rPr>
        <w:t>MHCLG’s primary stakeholders include:</w:t>
      </w:r>
    </w:p>
    <w:p w14:paraId="6E3B6ED8" w14:textId="77777777" w:rsidR="00C11231" w:rsidRPr="00221A02" w:rsidRDefault="00000000" w:rsidP="00BE18C6">
      <w:pPr>
        <w:pStyle w:val="ListParagraph"/>
        <w:numPr>
          <w:ilvl w:val="0"/>
          <w:numId w:val="2"/>
        </w:numPr>
        <w:spacing w:line="480" w:lineRule="auto"/>
        <w:rPr>
          <w:rFonts w:ascii="Times New Roman" w:hAnsi="Times New Roman" w:cs="Times New Roman"/>
          <w:sz w:val="24"/>
          <w:szCs w:val="24"/>
        </w:rPr>
      </w:pPr>
      <w:r w:rsidRPr="00221A02">
        <w:rPr>
          <w:rFonts w:ascii="Times New Roman" w:hAnsi="Times New Roman" w:cs="Times New Roman"/>
          <w:b/>
          <w:bCs/>
          <w:sz w:val="24"/>
          <w:szCs w:val="24"/>
        </w:rPr>
        <w:t>Central Government</w:t>
      </w:r>
      <w:r w:rsidRPr="00221A02">
        <w:rPr>
          <w:rFonts w:ascii="Times New Roman" w:hAnsi="Times New Roman" w:cs="Times New Roman"/>
          <w:sz w:val="24"/>
          <w:szCs w:val="24"/>
        </w:rPr>
        <w:t>: The accomplishment of national objectives and fiscal prudence.</w:t>
      </w:r>
    </w:p>
    <w:p w14:paraId="7918538B" w14:textId="77777777" w:rsidR="00C11231" w:rsidRPr="00221A02" w:rsidRDefault="00000000" w:rsidP="00BE18C6">
      <w:pPr>
        <w:pStyle w:val="ListParagraph"/>
        <w:numPr>
          <w:ilvl w:val="0"/>
          <w:numId w:val="2"/>
        </w:numPr>
        <w:spacing w:line="480" w:lineRule="auto"/>
        <w:rPr>
          <w:rFonts w:ascii="Times New Roman" w:hAnsi="Times New Roman" w:cs="Times New Roman"/>
          <w:sz w:val="24"/>
          <w:szCs w:val="24"/>
        </w:rPr>
      </w:pPr>
      <w:r w:rsidRPr="00221A02">
        <w:rPr>
          <w:rFonts w:ascii="Times New Roman" w:hAnsi="Times New Roman" w:cs="Times New Roman"/>
          <w:b/>
          <w:bCs/>
          <w:sz w:val="24"/>
          <w:szCs w:val="24"/>
        </w:rPr>
        <w:t>Local Councils</w:t>
      </w:r>
      <w:r w:rsidRPr="00221A02">
        <w:rPr>
          <w:rFonts w:ascii="Times New Roman" w:hAnsi="Times New Roman" w:cs="Times New Roman"/>
          <w:sz w:val="24"/>
          <w:szCs w:val="24"/>
        </w:rPr>
        <w:t>: Provide support financially and operationally to fulfil statutory duties.</w:t>
      </w:r>
    </w:p>
    <w:p w14:paraId="3549FE19" w14:textId="77777777" w:rsidR="00C11231" w:rsidRPr="00221A02" w:rsidRDefault="00000000" w:rsidP="00BE18C6">
      <w:pPr>
        <w:pStyle w:val="ListParagraph"/>
        <w:numPr>
          <w:ilvl w:val="0"/>
          <w:numId w:val="2"/>
        </w:numPr>
        <w:spacing w:line="480" w:lineRule="auto"/>
        <w:rPr>
          <w:rFonts w:ascii="Times New Roman" w:hAnsi="Times New Roman" w:cs="Times New Roman"/>
          <w:sz w:val="24"/>
          <w:szCs w:val="24"/>
        </w:rPr>
      </w:pPr>
      <w:r w:rsidRPr="00221A02">
        <w:rPr>
          <w:rFonts w:ascii="Times New Roman" w:hAnsi="Times New Roman" w:cs="Times New Roman"/>
          <w:b/>
          <w:bCs/>
          <w:sz w:val="24"/>
          <w:szCs w:val="24"/>
        </w:rPr>
        <w:t>Public and Private Sector Partners</w:t>
      </w:r>
      <w:r w:rsidRPr="00221A02">
        <w:rPr>
          <w:rFonts w:ascii="Times New Roman" w:hAnsi="Times New Roman" w:cs="Times New Roman"/>
          <w:sz w:val="24"/>
          <w:szCs w:val="24"/>
        </w:rPr>
        <w:t>: Working together on housing projects and carrying out infrastructure development.</w:t>
      </w:r>
    </w:p>
    <w:p w14:paraId="72A5CFA2" w14:textId="77777777" w:rsidR="00C11231" w:rsidRPr="00221A02" w:rsidRDefault="00000000" w:rsidP="00BE18C6">
      <w:pPr>
        <w:pStyle w:val="ListParagraph"/>
        <w:numPr>
          <w:ilvl w:val="0"/>
          <w:numId w:val="2"/>
        </w:numPr>
        <w:spacing w:line="480" w:lineRule="auto"/>
        <w:rPr>
          <w:rFonts w:ascii="Times New Roman" w:hAnsi="Times New Roman" w:cs="Times New Roman"/>
          <w:sz w:val="24"/>
          <w:szCs w:val="24"/>
        </w:rPr>
      </w:pPr>
      <w:r w:rsidRPr="00221A02">
        <w:rPr>
          <w:rFonts w:ascii="Times New Roman" w:hAnsi="Times New Roman" w:cs="Times New Roman"/>
          <w:b/>
          <w:bCs/>
          <w:sz w:val="24"/>
          <w:szCs w:val="24"/>
        </w:rPr>
        <w:t>Citizens:</w:t>
      </w:r>
      <w:r w:rsidRPr="00221A02">
        <w:rPr>
          <w:rFonts w:ascii="Times New Roman" w:hAnsi="Times New Roman" w:cs="Times New Roman"/>
          <w:sz w:val="24"/>
          <w:szCs w:val="24"/>
        </w:rPr>
        <w:t xml:space="preserve"> Accessible and affordable housing and better living standards.</w:t>
      </w:r>
    </w:p>
    <w:p w14:paraId="5E1B6FCA" w14:textId="77777777" w:rsidR="00C11231" w:rsidRPr="00221A02" w:rsidRDefault="00000000" w:rsidP="00BE18C6">
      <w:pPr>
        <w:spacing w:line="480" w:lineRule="auto"/>
        <w:rPr>
          <w:rFonts w:ascii="Times New Roman" w:hAnsi="Times New Roman" w:cs="Times New Roman"/>
          <w:sz w:val="24"/>
          <w:szCs w:val="24"/>
        </w:rPr>
      </w:pPr>
      <w:r w:rsidRPr="00221A02">
        <w:rPr>
          <w:rFonts w:ascii="Times New Roman" w:hAnsi="Times New Roman" w:cs="Times New Roman"/>
          <w:sz w:val="24"/>
          <w:szCs w:val="24"/>
        </w:rPr>
        <w:t>Allocations from the Consolidated Fund, housing related grants, in partnership with private investors, are funding sources.</w:t>
      </w:r>
    </w:p>
    <w:p w14:paraId="5D9C6EA0" w14:textId="77777777" w:rsidR="00C11231" w:rsidRPr="00221A02" w:rsidRDefault="00000000" w:rsidP="00BE18C6">
      <w:pPr>
        <w:spacing w:line="480" w:lineRule="auto"/>
        <w:jc w:val="center"/>
        <w:rPr>
          <w:rFonts w:ascii="Times New Roman" w:hAnsi="Times New Roman" w:cs="Times New Roman"/>
          <w:b/>
          <w:bCs/>
          <w:sz w:val="24"/>
          <w:szCs w:val="24"/>
        </w:rPr>
      </w:pPr>
      <w:r w:rsidRPr="00221A02">
        <w:rPr>
          <w:rFonts w:ascii="Times New Roman" w:hAnsi="Times New Roman" w:cs="Times New Roman"/>
          <w:b/>
          <w:bCs/>
          <w:sz w:val="24"/>
          <w:szCs w:val="24"/>
        </w:rPr>
        <w:t>Financial Performance Analysis</w:t>
      </w:r>
    </w:p>
    <w:p w14:paraId="554CCC96" w14:textId="77777777" w:rsidR="00C11231" w:rsidRPr="00221A02" w:rsidRDefault="00000000" w:rsidP="00BE18C6">
      <w:pPr>
        <w:spacing w:line="480" w:lineRule="auto"/>
        <w:rPr>
          <w:rFonts w:ascii="Times New Roman" w:hAnsi="Times New Roman" w:cs="Times New Roman"/>
          <w:b/>
          <w:bCs/>
          <w:sz w:val="24"/>
          <w:szCs w:val="24"/>
        </w:rPr>
      </w:pPr>
      <w:r w:rsidRPr="00221A02">
        <w:rPr>
          <w:rFonts w:ascii="Times New Roman" w:hAnsi="Times New Roman" w:cs="Times New Roman"/>
          <w:b/>
          <w:bCs/>
          <w:sz w:val="24"/>
          <w:szCs w:val="24"/>
        </w:rPr>
        <w:t>Overview of Income and Expenditures</w:t>
      </w:r>
    </w:p>
    <w:p w14:paraId="70AB6DD2" w14:textId="77777777" w:rsidR="007400E3" w:rsidRDefault="007400E3" w:rsidP="007400E3">
      <w:pPr>
        <w:spacing w:line="480" w:lineRule="auto"/>
        <w:ind w:firstLine="720"/>
        <w:rPr>
          <w:rFonts w:ascii="Times New Roman" w:hAnsi="Times New Roman" w:cs="Times New Roman"/>
          <w:sz w:val="24"/>
          <w:szCs w:val="24"/>
        </w:rPr>
      </w:pPr>
      <w:bookmarkStart w:id="0" w:name="_Hlk184216124"/>
      <w:r w:rsidRPr="007400E3">
        <w:rPr>
          <w:rFonts w:ascii="Times New Roman" w:hAnsi="Times New Roman" w:cs="Times New Roman"/>
          <w:sz w:val="24"/>
          <w:szCs w:val="24"/>
        </w:rPr>
        <w:t>The Ministry of housing, communities &amp; local government activities are fully indicated by the income statement of the Ministry of Housing, communities &amp; local government of the year 2023-24. Total net operating expenditure grew massively from £30.87 billion to £40.63 billion in 2022–23 to 2023–24. This is the nascent rise, according to the Ministry of housing, communities and local government (2024), reflecting growing financial investments into key public services in response to economic and social pressures.</w:t>
      </w:r>
    </w:p>
    <w:p w14:paraId="1623F4FC" w14:textId="68787849" w:rsidR="00C11231"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Major Revenue Sources</w:t>
      </w:r>
    </w:p>
    <w:p w14:paraId="7009C937" w14:textId="77777777" w:rsidR="00EF2074" w:rsidRPr="00EF2074" w:rsidRDefault="00EF2074" w:rsidP="00EF2074">
      <w:pPr>
        <w:spacing w:line="480" w:lineRule="auto"/>
        <w:rPr>
          <w:rFonts w:ascii="Times New Roman" w:hAnsi="Times New Roman" w:cs="Times New Roman"/>
          <w:sz w:val="24"/>
          <w:szCs w:val="24"/>
        </w:rPr>
      </w:pPr>
      <w:r w:rsidRPr="00EF2074">
        <w:rPr>
          <w:rFonts w:ascii="Times New Roman" w:hAnsi="Times New Roman" w:cs="Times New Roman"/>
          <w:sz w:val="24"/>
          <w:szCs w:val="24"/>
        </w:rPr>
        <w:lastRenderedPageBreak/>
        <w:t>Operating income decreased to £6.23 billion in 2023–24 from £8.55 billion in 2022–23, primarily driven by reduced revenue from grants and services:</w:t>
      </w:r>
    </w:p>
    <w:p w14:paraId="158DBD72" w14:textId="77777777" w:rsidR="00EF2074" w:rsidRDefault="00EF2074" w:rsidP="00BE18C6">
      <w:pPr>
        <w:pStyle w:val="ListParagraph"/>
        <w:numPr>
          <w:ilvl w:val="0"/>
          <w:numId w:val="3"/>
        </w:numPr>
        <w:spacing w:line="480" w:lineRule="auto"/>
        <w:rPr>
          <w:rFonts w:ascii="Times New Roman" w:hAnsi="Times New Roman" w:cs="Times New Roman"/>
          <w:sz w:val="24"/>
          <w:szCs w:val="24"/>
        </w:rPr>
      </w:pPr>
      <w:r w:rsidRPr="00EF2074">
        <w:rPr>
          <w:rFonts w:ascii="Times New Roman" w:hAnsi="Times New Roman" w:cs="Times New Roman"/>
          <w:sz w:val="24"/>
          <w:szCs w:val="24"/>
        </w:rPr>
        <w:t>Gross revenue from Business Rates Retention amounting to £25.82 billion of gross revenue before deduction of the local share of £14.73 billion gave rise to £11.09 billion net (Ministry of Housing, Communities and Local Government, 2024).</w:t>
      </w:r>
    </w:p>
    <w:p w14:paraId="7478A61B" w14:textId="77777777" w:rsidR="00EF2074" w:rsidRPr="00221A02" w:rsidRDefault="00EF2074" w:rsidP="00EF2074">
      <w:pPr>
        <w:pStyle w:val="ListParagraph"/>
        <w:numPr>
          <w:ilvl w:val="0"/>
          <w:numId w:val="3"/>
        </w:numPr>
        <w:spacing w:line="480" w:lineRule="auto"/>
        <w:rPr>
          <w:rFonts w:ascii="Times New Roman" w:hAnsi="Times New Roman" w:cs="Times New Roman"/>
          <w:sz w:val="24"/>
          <w:szCs w:val="24"/>
        </w:rPr>
      </w:pPr>
      <w:r w:rsidRPr="00221A02">
        <w:rPr>
          <w:rFonts w:ascii="Times New Roman" w:hAnsi="Times New Roman" w:cs="Times New Roman"/>
          <w:sz w:val="24"/>
          <w:szCs w:val="24"/>
        </w:rPr>
        <w:t>Year over year, Other Revenue Sources including fees, charges and smaller grants declined.</w:t>
      </w:r>
    </w:p>
    <w:p w14:paraId="799A7696" w14:textId="77777777" w:rsidR="00C11231"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Key Expense Components</w:t>
      </w:r>
    </w:p>
    <w:p w14:paraId="35C44FA1" w14:textId="3EBDE648" w:rsidR="00C11231" w:rsidRPr="00221A02" w:rsidRDefault="00C93D35" w:rsidP="00BE18C6">
      <w:pPr>
        <w:spacing w:line="480" w:lineRule="auto"/>
        <w:ind w:firstLine="360"/>
        <w:rPr>
          <w:rFonts w:ascii="Times New Roman" w:hAnsi="Times New Roman" w:cs="Times New Roman"/>
          <w:sz w:val="24"/>
          <w:szCs w:val="24"/>
        </w:rPr>
      </w:pPr>
      <w:r>
        <w:rPr>
          <w:rFonts w:ascii="Times New Roman" w:hAnsi="Times New Roman" w:cs="Times New Roman"/>
          <w:sz w:val="24"/>
          <w:szCs w:val="24"/>
        </w:rPr>
        <w:t>Ministry of Housing, Communities and Local Government (2024) indicate that o</w:t>
      </w:r>
      <w:r w:rsidRPr="00221A02">
        <w:rPr>
          <w:rFonts w:ascii="Times New Roman" w:hAnsi="Times New Roman" w:cs="Times New Roman"/>
          <w:sz w:val="24"/>
          <w:szCs w:val="24"/>
        </w:rPr>
        <w:t>perating expenditure rose to £46.40 billion in 2023–24, from £38.98 billion in 2022–23:</w:t>
      </w:r>
    </w:p>
    <w:p w14:paraId="6F714891" w14:textId="16D10890" w:rsidR="00EF2074" w:rsidRDefault="00EF2074" w:rsidP="00BE18C6">
      <w:pPr>
        <w:pStyle w:val="ListParagraph"/>
        <w:numPr>
          <w:ilvl w:val="0"/>
          <w:numId w:val="4"/>
        </w:numPr>
        <w:spacing w:line="480" w:lineRule="auto"/>
        <w:rPr>
          <w:rFonts w:ascii="Times New Roman" w:hAnsi="Times New Roman" w:cs="Times New Roman"/>
          <w:sz w:val="24"/>
          <w:szCs w:val="24"/>
        </w:rPr>
      </w:pPr>
      <w:r w:rsidRPr="00EF2074">
        <w:rPr>
          <w:rFonts w:ascii="Times New Roman" w:hAnsi="Times New Roman" w:cs="Times New Roman"/>
          <w:sz w:val="24"/>
          <w:szCs w:val="24"/>
        </w:rPr>
        <w:t>To support implementation costs</w:t>
      </w:r>
      <w:r>
        <w:rPr>
          <w:rFonts w:ascii="Times New Roman" w:hAnsi="Times New Roman" w:cs="Times New Roman"/>
          <w:sz w:val="24"/>
          <w:szCs w:val="24"/>
        </w:rPr>
        <w:t xml:space="preserve"> of the policy</w:t>
      </w:r>
      <w:r w:rsidRPr="00EF2074">
        <w:rPr>
          <w:rFonts w:ascii="Times New Roman" w:hAnsi="Times New Roman" w:cs="Times New Roman"/>
          <w:sz w:val="24"/>
          <w:szCs w:val="24"/>
        </w:rPr>
        <w:t xml:space="preserve">, staff </w:t>
      </w:r>
      <w:r>
        <w:rPr>
          <w:rFonts w:ascii="Times New Roman" w:hAnsi="Times New Roman" w:cs="Times New Roman"/>
          <w:sz w:val="24"/>
          <w:szCs w:val="24"/>
        </w:rPr>
        <w:t xml:space="preserve">cost </w:t>
      </w:r>
      <w:r w:rsidRPr="00EF2074">
        <w:rPr>
          <w:rFonts w:ascii="Times New Roman" w:hAnsi="Times New Roman" w:cs="Times New Roman"/>
          <w:sz w:val="24"/>
          <w:szCs w:val="24"/>
        </w:rPr>
        <w:t>increased to £461.28 million.</w:t>
      </w:r>
    </w:p>
    <w:p w14:paraId="0A054D9B" w14:textId="7908BD7A" w:rsidR="00C11231" w:rsidRPr="00221A02" w:rsidRDefault="00000000" w:rsidP="00BE18C6">
      <w:pPr>
        <w:pStyle w:val="ListParagraph"/>
        <w:numPr>
          <w:ilvl w:val="0"/>
          <w:numId w:val="4"/>
        </w:numPr>
        <w:spacing w:line="480" w:lineRule="auto"/>
        <w:rPr>
          <w:rFonts w:ascii="Times New Roman" w:hAnsi="Times New Roman" w:cs="Times New Roman"/>
          <w:sz w:val="24"/>
          <w:szCs w:val="24"/>
        </w:rPr>
      </w:pPr>
      <w:r w:rsidRPr="00221A02">
        <w:rPr>
          <w:rFonts w:ascii="Times New Roman" w:hAnsi="Times New Roman" w:cs="Times New Roman"/>
          <w:sz w:val="24"/>
          <w:szCs w:val="24"/>
        </w:rPr>
        <w:t xml:space="preserve">Grant </w:t>
      </w:r>
      <w:r w:rsidR="00A9119F" w:rsidRPr="00221A02">
        <w:rPr>
          <w:rFonts w:ascii="Times New Roman" w:hAnsi="Times New Roman" w:cs="Times New Roman"/>
          <w:sz w:val="24"/>
          <w:szCs w:val="24"/>
        </w:rPr>
        <w:t>a</w:t>
      </w:r>
      <w:r w:rsidRPr="00221A02">
        <w:rPr>
          <w:rFonts w:ascii="Times New Roman" w:hAnsi="Times New Roman" w:cs="Times New Roman"/>
          <w:sz w:val="24"/>
          <w:szCs w:val="24"/>
        </w:rPr>
        <w:t>llocations</w:t>
      </w:r>
      <w:r w:rsidR="00A9119F" w:rsidRPr="00221A02">
        <w:rPr>
          <w:rFonts w:ascii="Times New Roman" w:hAnsi="Times New Roman" w:cs="Times New Roman"/>
          <w:sz w:val="24"/>
          <w:szCs w:val="24"/>
        </w:rPr>
        <w:t>, t</w:t>
      </w:r>
      <w:r w:rsidRPr="00221A02">
        <w:rPr>
          <w:rFonts w:ascii="Times New Roman" w:hAnsi="Times New Roman" w:cs="Times New Roman"/>
          <w:sz w:val="24"/>
          <w:szCs w:val="24"/>
        </w:rPr>
        <w:t>he largest expense category were still allocations to local councils and housing initiatives.</w:t>
      </w:r>
    </w:p>
    <w:p w14:paraId="087EF254" w14:textId="77777777" w:rsidR="00A9119F" w:rsidRPr="00221A02" w:rsidRDefault="00000000" w:rsidP="00BE18C6">
      <w:pPr>
        <w:pStyle w:val="ListParagraph"/>
        <w:numPr>
          <w:ilvl w:val="0"/>
          <w:numId w:val="4"/>
        </w:numPr>
        <w:spacing w:line="480" w:lineRule="auto"/>
        <w:rPr>
          <w:rFonts w:ascii="Times New Roman" w:hAnsi="Times New Roman" w:cs="Times New Roman"/>
          <w:sz w:val="24"/>
          <w:szCs w:val="24"/>
        </w:rPr>
      </w:pPr>
      <w:r w:rsidRPr="00221A02">
        <w:rPr>
          <w:rFonts w:ascii="Times New Roman" w:hAnsi="Times New Roman" w:cs="Times New Roman"/>
          <w:sz w:val="24"/>
          <w:szCs w:val="24"/>
        </w:rPr>
        <w:t xml:space="preserve">Non-Cash Costs: </w:t>
      </w:r>
    </w:p>
    <w:p w14:paraId="09232AC7" w14:textId="77777777" w:rsidR="00A9119F" w:rsidRPr="00221A02" w:rsidRDefault="00000000" w:rsidP="00BE18C6">
      <w:pPr>
        <w:pStyle w:val="ListParagraph"/>
        <w:numPr>
          <w:ilvl w:val="0"/>
          <w:numId w:val="5"/>
        </w:numPr>
        <w:spacing w:line="480" w:lineRule="auto"/>
        <w:rPr>
          <w:rFonts w:ascii="Times New Roman" w:hAnsi="Times New Roman" w:cs="Times New Roman"/>
          <w:sz w:val="24"/>
          <w:szCs w:val="24"/>
        </w:rPr>
      </w:pPr>
      <w:r w:rsidRPr="00221A02">
        <w:rPr>
          <w:rFonts w:ascii="Times New Roman" w:hAnsi="Times New Roman" w:cs="Times New Roman"/>
          <w:sz w:val="24"/>
          <w:szCs w:val="24"/>
        </w:rPr>
        <w:t>Depreciation and amortization: £32.79 million.</w:t>
      </w:r>
    </w:p>
    <w:p w14:paraId="252CD8DB" w14:textId="77777777" w:rsidR="00A9119F" w:rsidRPr="00221A02" w:rsidRDefault="00000000" w:rsidP="00BE18C6">
      <w:pPr>
        <w:pStyle w:val="ListParagraph"/>
        <w:numPr>
          <w:ilvl w:val="0"/>
          <w:numId w:val="5"/>
        </w:numPr>
        <w:spacing w:line="480" w:lineRule="auto"/>
        <w:rPr>
          <w:rFonts w:ascii="Times New Roman" w:hAnsi="Times New Roman" w:cs="Times New Roman"/>
          <w:sz w:val="24"/>
          <w:szCs w:val="24"/>
        </w:rPr>
      </w:pPr>
      <w:r w:rsidRPr="00221A02">
        <w:rPr>
          <w:rFonts w:ascii="Times New Roman" w:hAnsi="Times New Roman" w:cs="Times New Roman"/>
          <w:sz w:val="24"/>
          <w:szCs w:val="24"/>
        </w:rPr>
        <w:t>Impairments of non-current assets: Down from £284.49 million the previous year to £219.51 million</w:t>
      </w:r>
    </w:p>
    <w:bookmarkEnd w:id="0"/>
    <w:p w14:paraId="448804C1" w14:textId="77777777" w:rsidR="00A9119F"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Insights from Notes to the Accounts</w:t>
      </w:r>
    </w:p>
    <w:p w14:paraId="312B269F" w14:textId="77777777" w:rsidR="00A9119F" w:rsidRPr="00221A02" w:rsidRDefault="00000000" w:rsidP="00BE18C6">
      <w:pPr>
        <w:spacing w:line="480" w:lineRule="auto"/>
        <w:ind w:firstLine="720"/>
        <w:rPr>
          <w:rFonts w:ascii="Times New Roman" w:hAnsi="Times New Roman" w:cs="Times New Roman"/>
          <w:b/>
          <w:bCs/>
          <w:i/>
          <w:iCs/>
          <w:sz w:val="24"/>
          <w:szCs w:val="24"/>
        </w:rPr>
      </w:pPr>
      <w:r w:rsidRPr="00221A02">
        <w:rPr>
          <w:rFonts w:ascii="Times New Roman" w:hAnsi="Times New Roman" w:cs="Times New Roman"/>
          <w:b/>
          <w:bCs/>
          <w:i/>
          <w:iCs/>
          <w:sz w:val="24"/>
          <w:szCs w:val="24"/>
        </w:rPr>
        <w:t>Provisions and Adjustments</w:t>
      </w:r>
    </w:p>
    <w:p w14:paraId="5F7578AD" w14:textId="77777777" w:rsidR="00A9119F"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 xml:space="preserve">Provisions for legal liabilities and guarantees </w:t>
      </w:r>
      <w:r w:rsidR="00BE18C6" w:rsidRPr="00221A02">
        <w:rPr>
          <w:rFonts w:ascii="Times New Roman" w:hAnsi="Times New Roman" w:cs="Times New Roman"/>
          <w:sz w:val="24"/>
          <w:szCs w:val="24"/>
        </w:rPr>
        <w:t>totalled</w:t>
      </w:r>
      <w:r w:rsidRPr="00221A02">
        <w:rPr>
          <w:rFonts w:ascii="Times New Roman" w:hAnsi="Times New Roman" w:cs="Times New Roman"/>
          <w:sz w:val="24"/>
          <w:szCs w:val="24"/>
        </w:rPr>
        <w:t xml:space="preserve"> £65.44 million </w:t>
      </w:r>
      <w:r w:rsidR="00BE18C6" w:rsidRPr="00221A02">
        <w:rPr>
          <w:rFonts w:ascii="Times New Roman" w:hAnsi="Times New Roman" w:cs="Times New Roman"/>
          <w:sz w:val="24"/>
          <w:szCs w:val="24"/>
        </w:rPr>
        <w:t>increase</w:t>
      </w:r>
      <w:r w:rsidRPr="00221A02">
        <w:rPr>
          <w:rFonts w:ascii="Times New Roman" w:hAnsi="Times New Roman" w:cs="Times New Roman"/>
          <w:sz w:val="24"/>
          <w:szCs w:val="24"/>
        </w:rPr>
        <w:t>. It was attributed to contingent liabilities and program expansions.</w:t>
      </w:r>
    </w:p>
    <w:p w14:paraId="38A379A9" w14:textId="77777777" w:rsidR="00A9119F" w:rsidRPr="00221A02" w:rsidRDefault="00000000" w:rsidP="00BE18C6">
      <w:pPr>
        <w:spacing w:line="480" w:lineRule="auto"/>
        <w:ind w:firstLine="720"/>
        <w:rPr>
          <w:rFonts w:ascii="Times New Roman" w:hAnsi="Times New Roman" w:cs="Times New Roman"/>
          <w:b/>
          <w:bCs/>
          <w:i/>
          <w:iCs/>
          <w:sz w:val="24"/>
          <w:szCs w:val="24"/>
        </w:rPr>
      </w:pPr>
      <w:r w:rsidRPr="00221A02">
        <w:rPr>
          <w:rFonts w:ascii="Times New Roman" w:hAnsi="Times New Roman" w:cs="Times New Roman"/>
          <w:b/>
          <w:bCs/>
          <w:i/>
          <w:iCs/>
          <w:sz w:val="24"/>
          <w:szCs w:val="24"/>
        </w:rPr>
        <w:lastRenderedPageBreak/>
        <w:t>Impairments</w:t>
      </w:r>
    </w:p>
    <w:p w14:paraId="727F290D" w14:textId="77777777" w:rsidR="00A9119F"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Adjustments to impairments of financial assets and property of £219.51 million were made, reflecting new housing asset revaluations.</w:t>
      </w:r>
    </w:p>
    <w:p w14:paraId="1356BDB4" w14:textId="77777777" w:rsidR="00A9119F" w:rsidRPr="00221A02" w:rsidRDefault="00000000" w:rsidP="00BE18C6">
      <w:pPr>
        <w:spacing w:line="480" w:lineRule="auto"/>
        <w:ind w:firstLine="720"/>
        <w:rPr>
          <w:rFonts w:ascii="Times New Roman" w:hAnsi="Times New Roman" w:cs="Times New Roman"/>
          <w:b/>
          <w:bCs/>
          <w:i/>
          <w:iCs/>
          <w:sz w:val="24"/>
          <w:szCs w:val="24"/>
        </w:rPr>
      </w:pPr>
      <w:r w:rsidRPr="00221A02">
        <w:rPr>
          <w:rFonts w:ascii="Times New Roman" w:hAnsi="Times New Roman" w:cs="Times New Roman"/>
          <w:b/>
          <w:bCs/>
          <w:i/>
          <w:iCs/>
          <w:sz w:val="24"/>
          <w:szCs w:val="24"/>
        </w:rPr>
        <w:t>Pension Costs</w:t>
      </w:r>
    </w:p>
    <w:p w14:paraId="01B85E1D" w14:textId="77777777" w:rsidR="00A9119F"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Actuarial adjustments recorded a gain of £107.94 million, mitigating some operating expenditure impacts.</w:t>
      </w:r>
    </w:p>
    <w:p w14:paraId="18FF2919" w14:textId="77777777" w:rsidR="00A9119F" w:rsidRPr="00221A02" w:rsidRDefault="00000000" w:rsidP="00BE18C6">
      <w:pPr>
        <w:spacing w:line="480" w:lineRule="auto"/>
        <w:ind w:firstLine="720"/>
        <w:rPr>
          <w:rFonts w:ascii="Times New Roman" w:hAnsi="Times New Roman" w:cs="Times New Roman"/>
          <w:b/>
          <w:bCs/>
          <w:i/>
          <w:iCs/>
          <w:sz w:val="24"/>
          <w:szCs w:val="24"/>
        </w:rPr>
      </w:pPr>
      <w:r w:rsidRPr="00221A02">
        <w:rPr>
          <w:rFonts w:ascii="Times New Roman" w:hAnsi="Times New Roman" w:cs="Times New Roman"/>
          <w:b/>
          <w:bCs/>
          <w:i/>
          <w:iCs/>
          <w:sz w:val="24"/>
          <w:szCs w:val="24"/>
        </w:rPr>
        <w:t>Grant Program Contributions</w:t>
      </w:r>
    </w:p>
    <w:p w14:paraId="0FD85E28" w14:textId="0DD0FE9C" w:rsidR="005D758C"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MHCLG invested large amounts in critical programs, and £3.85B has been afforded to Social Care Support to help support vulnerable populations with care services. £2.04 billion was provided to the Better Care Fund, to enable integrated care systems to work better together, between local authorities and healthcare providers</w:t>
      </w:r>
      <w:r w:rsidR="00C93D35">
        <w:rPr>
          <w:rFonts w:ascii="Times New Roman" w:hAnsi="Times New Roman" w:cs="Times New Roman"/>
          <w:sz w:val="24"/>
          <w:szCs w:val="24"/>
        </w:rPr>
        <w:t xml:space="preserve"> (Ministry of Housing, Communities and Local Government, 2024)</w:t>
      </w:r>
      <w:r w:rsidRPr="00221A02">
        <w:rPr>
          <w:rFonts w:ascii="Times New Roman" w:hAnsi="Times New Roman" w:cs="Times New Roman"/>
          <w:sz w:val="24"/>
          <w:szCs w:val="24"/>
        </w:rPr>
        <w:t>. Homelessness Prevention also received £432.18 million, to help reduce homelessness and support people at risk through emergency housing and support services tailored to their needs.</w:t>
      </w:r>
    </w:p>
    <w:p w14:paraId="7AA0E63D" w14:textId="77777777" w:rsidR="00A9119F"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Year-over-Year Comparison</w:t>
      </w:r>
    </w:p>
    <w:p w14:paraId="09ADBDD5" w14:textId="77777777" w:rsidR="005D758C"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Revenue, however, fell precipitously with a 27% drop in operating income driven almost entirely by lower grant allocations</w:t>
      </w:r>
      <w:r w:rsidR="00BE18C6">
        <w:rPr>
          <w:rFonts w:ascii="Times New Roman" w:hAnsi="Times New Roman" w:cs="Times New Roman"/>
          <w:sz w:val="24"/>
          <w:szCs w:val="24"/>
        </w:rPr>
        <w:t xml:space="preserve"> as stated by the Ministry of Housing, Communities and Local Government (2024)</w:t>
      </w:r>
      <w:r w:rsidRPr="00221A02">
        <w:rPr>
          <w:rFonts w:ascii="Times New Roman" w:hAnsi="Times New Roman" w:cs="Times New Roman"/>
          <w:sz w:val="24"/>
          <w:szCs w:val="24"/>
        </w:rPr>
        <w:t xml:space="preserve">. The decrease in this reflects reduced funding levels for certain initiatives and programs as part of the financial inflow. On the other hand, operating expenses increased by 19 per cent on the back of expansion of programs addressing housing and community needs, as well as inflationary pressures that pushed up costs in several spending categories. Net operating </w:t>
      </w:r>
      <w:r w:rsidRPr="00221A02">
        <w:rPr>
          <w:rFonts w:ascii="Times New Roman" w:hAnsi="Times New Roman" w:cs="Times New Roman"/>
          <w:sz w:val="24"/>
          <w:szCs w:val="24"/>
        </w:rPr>
        <w:lastRenderedPageBreak/>
        <w:t>expenditure therefore increased by 31 per cent reflecting the increasing financial requirements inherent in delivering key public services and funding policy goals.</w:t>
      </w:r>
    </w:p>
    <w:p w14:paraId="695837AB" w14:textId="77777777" w:rsidR="005D758C" w:rsidRPr="00221A02" w:rsidRDefault="00000000" w:rsidP="00BE18C6">
      <w:pPr>
        <w:spacing w:line="480" w:lineRule="auto"/>
        <w:rPr>
          <w:rFonts w:ascii="Times New Roman" w:hAnsi="Times New Roman" w:cs="Times New Roman"/>
          <w:i/>
          <w:iCs/>
          <w:sz w:val="24"/>
          <w:szCs w:val="24"/>
        </w:rPr>
      </w:pPr>
      <w:r w:rsidRPr="00221A02">
        <w:rPr>
          <w:rFonts w:ascii="Times New Roman" w:hAnsi="Times New Roman" w:cs="Times New Roman"/>
          <w:b/>
          <w:bCs/>
          <w:i/>
          <w:iCs/>
          <w:sz w:val="24"/>
          <w:szCs w:val="24"/>
        </w:rPr>
        <w:t>Implications for Financial Sustainability</w:t>
      </w:r>
    </w:p>
    <w:p w14:paraId="785C8A29" w14:textId="64160498" w:rsidR="00A9119F" w:rsidRPr="00221A02" w:rsidRDefault="00F574B4" w:rsidP="00BE18C6">
      <w:pPr>
        <w:spacing w:line="480" w:lineRule="auto"/>
        <w:ind w:firstLine="720"/>
        <w:rPr>
          <w:rFonts w:ascii="Times New Roman" w:hAnsi="Times New Roman" w:cs="Times New Roman"/>
          <w:sz w:val="24"/>
          <w:szCs w:val="24"/>
        </w:rPr>
      </w:pPr>
      <w:r w:rsidRPr="00F574B4">
        <w:rPr>
          <w:rFonts w:ascii="Times New Roman" w:hAnsi="Times New Roman" w:cs="Times New Roman"/>
          <w:sz w:val="24"/>
          <w:szCs w:val="24"/>
        </w:rPr>
        <w:t xml:space="preserve">Decline in operating income poses serious challenges to the </w:t>
      </w:r>
      <w:r w:rsidRPr="00F574B4">
        <w:rPr>
          <w:rFonts w:ascii="Times New Roman" w:hAnsi="Times New Roman" w:cs="Times New Roman"/>
          <w:sz w:val="24"/>
          <w:szCs w:val="24"/>
        </w:rPr>
        <w:t>long-term</w:t>
      </w:r>
      <w:r w:rsidRPr="00F574B4">
        <w:rPr>
          <w:rFonts w:ascii="Times New Roman" w:hAnsi="Times New Roman" w:cs="Times New Roman"/>
          <w:sz w:val="24"/>
          <w:szCs w:val="24"/>
        </w:rPr>
        <w:t xml:space="preserve"> financial sustainability of MHCLG. Emphasis on reduction in revenue inflows as a potential challenge to funding highlights the need to innovate to develop alternative sources of funding thereby avoiding reduced service delivery</w:t>
      </w:r>
      <w:r w:rsidR="00000000" w:rsidRPr="00221A02">
        <w:rPr>
          <w:rFonts w:ascii="Times New Roman" w:hAnsi="Times New Roman" w:cs="Times New Roman"/>
          <w:sz w:val="24"/>
          <w:szCs w:val="24"/>
        </w:rPr>
        <w:t>. At the same time, there is also rising expenditure, principally in grants and provisions, and the expense of MHCLG's initiatives reflects the scale of activity that is involved and also indicates the need for cost control and efficiency measures</w:t>
      </w:r>
      <w:r w:rsidR="00E84BC8">
        <w:rPr>
          <w:rFonts w:ascii="Times New Roman" w:hAnsi="Times New Roman" w:cs="Times New Roman"/>
          <w:sz w:val="24"/>
          <w:szCs w:val="24"/>
        </w:rPr>
        <w:t xml:space="preserve"> (Ministry of Housing, Communities and Local Government, 2024)</w:t>
      </w:r>
      <w:r w:rsidR="00000000" w:rsidRPr="00221A02">
        <w:rPr>
          <w:rFonts w:ascii="Times New Roman" w:hAnsi="Times New Roman" w:cs="Times New Roman"/>
          <w:sz w:val="24"/>
          <w:szCs w:val="24"/>
        </w:rPr>
        <w:t>. Short-term financial relief from the actuarial gains recorded for pension liabilities is provided, however, long-term pension liabilities remain a critical area of concern that has to be carefully managed to maintain fiscal health.</w:t>
      </w:r>
    </w:p>
    <w:p w14:paraId="2357C656" w14:textId="77777777" w:rsidR="00F574B4" w:rsidRPr="00F574B4" w:rsidRDefault="00F574B4" w:rsidP="00F574B4">
      <w:pPr>
        <w:spacing w:line="480" w:lineRule="auto"/>
        <w:rPr>
          <w:rFonts w:ascii="Times New Roman" w:hAnsi="Times New Roman" w:cs="Times New Roman"/>
          <w:b/>
          <w:bCs/>
          <w:sz w:val="24"/>
          <w:szCs w:val="24"/>
        </w:rPr>
      </w:pPr>
      <w:r w:rsidRPr="00F574B4">
        <w:rPr>
          <w:rFonts w:ascii="Times New Roman" w:hAnsi="Times New Roman" w:cs="Times New Roman"/>
          <w:b/>
          <w:bCs/>
          <w:sz w:val="24"/>
          <w:szCs w:val="24"/>
        </w:rPr>
        <w:t>Financial Position Statement Analysis</w:t>
      </w:r>
    </w:p>
    <w:p w14:paraId="208D1495" w14:textId="4CBDE77D" w:rsidR="00F574B4" w:rsidRPr="00F574B4" w:rsidRDefault="00F574B4" w:rsidP="00F574B4">
      <w:pPr>
        <w:spacing w:line="480" w:lineRule="auto"/>
        <w:ind w:firstLine="720"/>
        <w:rPr>
          <w:rFonts w:ascii="Times New Roman" w:hAnsi="Times New Roman" w:cs="Times New Roman"/>
          <w:sz w:val="24"/>
          <w:szCs w:val="24"/>
        </w:rPr>
      </w:pPr>
      <w:r w:rsidRPr="00F574B4">
        <w:rPr>
          <w:rFonts w:ascii="Times New Roman" w:hAnsi="Times New Roman" w:cs="Times New Roman"/>
          <w:sz w:val="24"/>
          <w:szCs w:val="24"/>
        </w:rPr>
        <w:t xml:space="preserve">The Statement of Financial Position shows movements in key assets, liabilities and equity for the Ministry of Housing, Communities &amp; Local Government (MHCLG) as </w:t>
      </w:r>
      <w:proofErr w:type="gramStart"/>
      <w:r w:rsidRPr="00F574B4">
        <w:rPr>
          <w:rFonts w:ascii="Times New Roman" w:hAnsi="Times New Roman" w:cs="Times New Roman"/>
          <w:sz w:val="24"/>
          <w:szCs w:val="24"/>
        </w:rPr>
        <w:t>at</w:t>
      </w:r>
      <w:proofErr w:type="gramEnd"/>
      <w:r w:rsidRPr="00F574B4">
        <w:rPr>
          <w:rFonts w:ascii="Times New Roman" w:hAnsi="Times New Roman" w:cs="Times New Roman"/>
          <w:sz w:val="24"/>
          <w:szCs w:val="24"/>
        </w:rPr>
        <w:t xml:space="preserve"> 31 March 2024. Although the department’s total assets decreased to £24.93 billion from £26.51 billion in 2022–23 the changes included between asset categories were within </w:t>
      </w:r>
      <w:r w:rsidRPr="00F574B4">
        <w:rPr>
          <w:rFonts w:ascii="Times New Roman" w:hAnsi="Times New Roman" w:cs="Times New Roman"/>
          <w:sz w:val="24"/>
          <w:szCs w:val="24"/>
        </w:rPr>
        <w:t>non-current</w:t>
      </w:r>
      <w:r w:rsidRPr="00F574B4">
        <w:rPr>
          <w:rFonts w:ascii="Times New Roman" w:hAnsi="Times New Roman" w:cs="Times New Roman"/>
          <w:sz w:val="24"/>
          <w:szCs w:val="24"/>
        </w:rPr>
        <w:t xml:space="preserve"> and current asset categories.</w:t>
      </w:r>
    </w:p>
    <w:p w14:paraId="7F7D3DA8" w14:textId="0BD25ED7" w:rsidR="0044429A" w:rsidRPr="00221A02" w:rsidRDefault="00000000" w:rsidP="00F574B4">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Key Assets</w:t>
      </w:r>
    </w:p>
    <w:p w14:paraId="02B344DB" w14:textId="77777777" w:rsidR="0044429A" w:rsidRPr="00221A02" w:rsidRDefault="00000000" w:rsidP="00BE18C6">
      <w:pPr>
        <w:spacing w:line="480" w:lineRule="auto"/>
        <w:ind w:firstLine="720"/>
        <w:rPr>
          <w:rFonts w:ascii="Times New Roman" w:hAnsi="Times New Roman" w:cs="Times New Roman"/>
          <w:b/>
          <w:bCs/>
          <w:i/>
          <w:iCs/>
          <w:sz w:val="24"/>
          <w:szCs w:val="24"/>
        </w:rPr>
      </w:pPr>
      <w:r w:rsidRPr="00221A02">
        <w:rPr>
          <w:rFonts w:ascii="Times New Roman" w:hAnsi="Times New Roman" w:cs="Times New Roman"/>
          <w:b/>
          <w:bCs/>
          <w:i/>
          <w:iCs/>
          <w:sz w:val="24"/>
          <w:szCs w:val="24"/>
        </w:rPr>
        <w:t>Non-current Assets</w:t>
      </w:r>
    </w:p>
    <w:p w14:paraId="32652B8C" w14:textId="77777777" w:rsidR="0044429A"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lastRenderedPageBreak/>
        <w:t>These amounted to £19.94 billion in 2023–24 compared with £21.53 billion in the previous year</w:t>
      </w:r>
      <w:r w:rsidR="00BE18C6">
        <w:rPr>
          <w:rFonts w:ascii="Times New Roman" w:hAnsi="Times New Roman" w:cs="Times New Roman"/>
          <w:sz w:val="24"/>
          <w:szCs w:val="24"/>
        </w:rPr>
        <w:t xml:space="preserve"> as described by the Ministry of Housing, Communities and Local Government (2024)</w:t>
      </w:r>
      <w:r w:rsidRPr="00221A02">
        <w:rPr>
          <w:rFonts w:ascii="Times New Roman" w:hAnsi="Times New Roman" w:cs="Times New Roman"/>
          <w:sz w:val="24"/>
          <w:szCs w:val="24"/>
        </w:rPr>
        <w:t>. The drive for this reduction is mainly due to an adjustment of the fair value of financial assets and impairment of property, plant and equipment. A large part of the drop can be explained by disposals and investment impairments.</w:t>
      </w:r>
    </w:p>
    <w:p w14:paraId="6E447738" w14:textId="77777777" w:rsidR="0044429A" w:rsidRPr="00221A02" w:rsidRDefault="00000000" w:rsidP="00BE18C6">
      <w:pPr>
        <w:spacing w:line="480" w:lineRule="auto"/>
        <w:ind w:firstLine="720"/>
        <w:rPr>
          <w:rFonts w:ascii="Times New Roman" w:hAnsi="Times New Roman" w:cs="Times New Roman"/>
          <w:b/>
          <w:bCs/>
          <w:i/>
          <w:iCs/>
          <w:sz w:val="24"/>
          <w:szCs w:val="24"/>
        </w:rPr>
      </w:pPr>
      <w:r w:rsidRPr="00221A02">
        <w:rPr>
          <w:rFonts w:ascii="Times New Roman" w:hAnsi="Times New Roman" w:cs="Times New Roman"/>
          <w:b/>
          <w:bCs/>
          <w:i/>
          <w:iCs/>
          <w:sz w:val="24"/>
          <w:szCs w:val="24"/>
        </w:rPr>
        <w:t xml:space="preserve">Current Assets </w:t>
      </w:r>
    </w:p>
    <w:p w14:paraId="539E9C9F" w14:textId="77777777" w:rsidR="0044429A"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In 2023–24, the department reported total current assets of £4.99 billion, virtually unchanged from the previous year. The main driver of this stability was movements in trade receivables and cash balances, with declines in inventories and financial assets.</w:t>
      </w:r>
    </w:p>
    <w:p w14:paraId="06EB7494" w14:textId="77777777" w:rsidR="0044429A"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Liabilities</w:t>
      </w:r>
    </w:p>
    <w:p w14:paraId="11E40C10" w14:textId="77777777" w:rsidR="0044429A" w:rsidRPr="00221A02" w:rsidRDefault="00000000" w:rsidP="00BE18C6">
      <w:pPr>
        <w:spacing w:line="480" w:lineRule="auto"/>
        <w:ind w:firstLine="720"/>
        <w:rPr>
          <w:rFonts w:ascii="Times New Roman" w:hAnsi="Times New Roman" w:cs="Times New Roman"/>
          <w:b/>
          <w:bCs/>
          <w:i/>
          <w:iCs/>
          <w:sz w:val="24"/>
          <w:szCs w:val="24"/>
        </w:rPr>
      </w:pPr>
      <w:r w:rsidRPr="00221A02">
        <w:rPr>
          <w:rFonts w:ascii="Times New Roman" w:hAnsi="Times New Roman" w:cs="Times New Roman"/>
          <w:b/>
          <w:bCs/>
          <w:i/>
          <w:iCs/>
          <w:sz w:val="24"/>
          <w:szCs w:val="24"/>
        </w:rPr>
        <w:t>Current Liabilities</w:t>
      </w:r>
    </w:p>
    <w:p w14:paraId="74AF816C" w14:textId="77777777" w:rsidR="0044429A"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In 2023–24 these reached £4.21 billion, up a little from £4.35 billion in 2022–23. Most of this increase can be explained by increases in higher trade and other payables, which are liabilities related to payment to local authorities in connection with the Business Rates Retention system.</w:t>
      </w:r>
    </w:p>
    <w:p w14:paraId="0C05149B" w14:textId="77777777" w:rsidR="0044429A" w:rsidRPr="00221A02" w:rsidRDefault="00000000" w:rsidP="00BE18C6">
      <w:pPr>
        <w:spacing w:line="480" w:lineRule="auto"/>
        <w:ind w:firstLine="720"/>
        <w:rPr>
          <w:rFonts w:ascii="Times New Roman" w:hAnsi="Times New Roman" w:cs="Times New Roman"/>
          <w:b/>
          <w:bCs/>
          <w:i/>
          <w:iCs/>
          <w:sz w:val="24"/>
          <w:szCs w:val="24"/>
        </w:rPr>
      </w:pPr>
      <w:r w:rsidRPr="00221A02">
        <w:rPr>
          <w:rFonts w:ascii="Times New Roman" w:hAnsi="Times New Roman" w:cs="Times New Roman"/>
          <w:b/>
          <w:bCs/>
          <w:i/>
          <w:iCs/>
          <w:sz w:val="24"/>
          <w:szCs w:val="24"/>
        </w:rPr>
        <w:t>Non-current Liabilities</w:t>
      </w:r>
    </w:p>
    <w:p w14:paraId="39F44843" w14:textId="77777777" w:rsidR="0044429A"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Non-current liabilities fell to £254.59 million from £447.55 million in the previous year. The main reason behind this decline was the effect of favourable actuarial adjustments on pension liabilities.</w:t>
      </w:r>
    </w:p>
    <w:p w14:paraId="6B8516E4" w14:textId="77777777" w:rsidR="0044429A"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Equity and Net Assets</w:t>
      </w:r>
    </w:p>
    <w:p w14:paraId="6BCC1FE3" w14:textId="77777777" w:rsidR="0044429A" w:rsidRPr="00221A02" w:rsidRDefault="00000000" w:rsidP="00BE18C6">
      <w:pPr>
        <w:spacing w:line="480" w:lineRule="auto"/>
        <w:ind w:firstLine="720"/>
        <w:rPr>
          <w:rFonts w:ascii="Times New Roman" w:hAnsi="Times New Roman" w:cs="Times New Roman"/>
          <w:b/>
          <w:bCs/>
          <w:i/>
          <w:iCs/>
          <w:sz w:val="24"/>
          <w:szCs w:val="24"/>
        </w:rPr>
      </w:pPr>
      <w:r w:rsidRPr="00221A02">
        <w:rPr>
          <w:rFonts w:ascii="Times New Roman" w:hAnsi="Times New Roman" w:cs="Times New Roman"/>
          <w:b/>
          <w:bCs/>
          <w:i/>
          <w:iCs/>
          <w:sz w:val="24"/>
          <w:szCs w:val="24"/>
        </w:rPr>
        <w:t>Taxpayers' Equity</w:t>
      </w:r>
    </w:p>
    <w:p w14:paraId="10F0396F" w14:textId="77777777" w:rsidR="0044429A"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lastRenderedPageBreak/>
        <w:t>Total taxpayers’ equity fell to £20.47 billion from £21.72 million in 2022–23</w:t>
      </w:r>
      <w:r w:rsidR="00BE18C6">
        <w:rPr>
          <w:rFonts w:ascii="Times New Roman" w:hAnsi="Times New Roman" w:cs="Times New Roman"/>
          <w:sz w:val="24"/>
          <w:szCs w:val="24"/>
        </w:rPr>
        <w:t xml:space="preserve"> as stated by the Ministry of Housing, Communities and Local Government (2024)</w:t>
      </w:r>
      <w:r w:rsidRPr="00221A02">
        <w:rPr>
          <w:rFonts w:ascii="Times New Roman" w:hAnsi="Times New Roman" w:cs="Times New Roman"/>
          <w:sz w:val="24"/>
          <w:szCs w:val="24"/>
        </w:rPr>
        <w:t>. The reduction in this measure is in line with the increase in net liabilities primarily driven by the department’s comprehensive net expenditure for the year and adjustments to the pension reserve. Declining General Fund shown because liabilities increased, and favourable actuarial valuation of pension obligations increased Pension Reserve.</w:t>
      </w:r>
    </w:p>
    <w:p w14:paraId="6AD81570" w14:textId="77777777" w:rsidR="0044429A"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b/>
          <w:bCs/>
          <w:i/>
          <w:iCs/>
          <w:sz w:val="24"/>
          <w:szCs w:val="24"/>
        </w:rPr>
        <w:t>Year-over-Year Comparison and Key Changes</w:t>
      </w:r>
    </w:p>
    <w:p w14:paraId="7EBB59C7" w14:textId="77777777" w:rsidR="0044429A"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Important changes include a decline in non-current assets through impairments and disposals and a decrease in non-current liabilities, for the most part, due to favourable adjustments to pension items. Growing obligations, especially from the Business Rates Retention system, a main funding stream for local authorities, are reflected in the rising current liabilities. Although taxpayers' equity declined, the rise seems to indicate greater financial pressure, with a greater amount of liabilities than assets.</w:t>
      </w:r>
    </w:p>
    <w:p w14:paraId="74701D4D" w14:textId="77777777" w:rsidR="0044429A"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Implications for Financial Health and Operational Capacity</w:t>
      </w:r>
    </w:p>
    <w:p w14:paraId="0C21167A" w14:textId="77777777" w:rsidR="0044429A"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Declining taxpayers' equity is a matter of concern as it shows signs of financial pressure. A decrease in non-current assets and an increase in liabilities pose risks to the department's long-term sustainability, particularly the housing-related assets exposed to market fluctuations. However, there is some short-term fiscal relief from the reduction in non-current liabilities especially pension obligations.</w:t>
      </w:r>
    </w:p>
    <w:p w14:paraId="6C67F167" w14:textId="77777777" w:rsidR="005D758C"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 xml:space="preserve">In order for MHCLG to maintain its operational capacity and deliver on its long-term objectives, it needs to concentrate on the management of its liabilities in particular those that stem from the Business Rates Retention system. Strategies to stabilize its asset base and trade </w:t>
      </w:r>
      <w:r w:rsidRPr="00221A02">
        <w:rPr>
          <w:rFonts w:ascii="Times New Roman" w:hAnsi="Times New Roman" w:cs="Times New Roman"/>
          <w:sz w:val="24"/>
          <w:szCs w:val="24"/>
        </w:rPr>
        <w:lastRenderedPageBreak/>
        <w:t>receivables management will be also crucial. Pension-related liabilities will also have to be continued monitored and managed in a long-term perspective for the financial health.</w:t>
      </w:r>
    </w:p>
    <w:p w14:paraId="6AA4E743" w14:textId="77777777" w:rsidR="0044429A" w:rsidRPr="00221A02" w:rsidRDefault="00000000" w:rsidP="00BE18C6">
      <w:pPr>
        <w:spacing w:line="480" w:lineRule="auto"/>
        <w:rPr>
          <w:rFonts w:ascii="Times New Roman" w:hAnsi="Times New Roman" w:cs="Times New Roman"/>
          <w:b/>
          <w:bCs/>
          <w:sz w:val="24"/>
          <w:szCs w:val="24"/>
        </w:rPr>
      </w:pPr>
      <w:r w:rsidRPr="00221A02">
        <w:rPr>
          <w:rFonts w:ascii="Times New Roman" w:hAnsi="Times New Roman" w:cs="Times New Roman"/>
          <w:b/>
          <w:bCs/>
          <w:sz w:val="24"/>
          <w:szCs w:val="24"/>
        </w:rPr>
        <w:t>Cash Flow Statement Analysis</w:t>
      </w:r>
    </w:p>
    <w:p w14:paraId="5348F671" w14:textId="77777777" w:rsidR="0044429A"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Operating Cash Flows</w:t>
      </w:r>
    </w:p>
    <w:p w14:paraId="039361C1" w14:textId="036396E0" w:rsidR="00230104" w:rsidRPr="00221A02" w:rsidRDefault="00000000" w:rsidP="00EC0B0D">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Net cash outflow from operating activities totalled £26.32 billion, principally due to increased spending on housing programs, local government grants and personnel costs</w:t>
      </w:r>
      <w:r w:rsidR="00BE18C6">
        <w:rPr>
          <w:rFonts w:ascii="Times New Roman" w:hAnsi="Times New Roman" w:cs="Times New Roman"/>
          <w:sz w:val="24"/>
          <w:szCs w:val="24"/>
        </w:rPr>
        <w:t xml:space="preserve"> as explained by the Ministry of Housing, Communities and Local Government (2024)</w:t>
      </w:r>
      <w:r w:rsidRPr="00221A02">
        <w:rPr>
          <w:rFonts w:ascii="Times New Roman" w:hAnsi="Times New Roman" w:cs="Times New Roman"/>
          <w:sz w:val="24"/>
          <w:szCs w:val="24"/>
        </w:rPr>
        <w:t>. While business rates retention and other government revenues poured in, these were outweighed by substantial outflows including payments to local authorities, social care programmes and pension liabilities. The fact that this significant outflow is almost entirely reliant on external funding to meet its operational costs indicates just how large of an operational scale MHCLG has.</w:t>
      </w:r>
    </w:p>
    <w:p w14:paraId="4819CA9B" w14:textId="77777777" w:rsidR="00230104"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Investing Cash Flows</w:t>
      </w:r>
    </w:p>
    <w:p w14:paraId="207E7D91" w14:textId="77777777" w:rsidR="0044429A"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 xml:space="preserve">Net cash inflow from investing activities was £1.61 billion. Disposal of financial assets contributed £1.36 billion and repayment of financial assets £572.06 million for the main sources of inflow. Cash outflows for the purchase of property, plant and intangible assets, necessary to maintain and expand MHCLG's infrastructure and housing programs, and to some extent, countered these inflows. While these investing inflows were a </w:t>
      </w:r>
      <w:proofErr w:type="gramStart"/>
      <w:r w:rsidRPr="00221A02">
        <w:rPr>
          <w:rFonts w:ascii="Times New Roman" w:hAnsi="Times New Roman" w:cs="Times New Roman"/>
          <w:sz w:val="24"/>
          <w:szCs w:val="24"/>
        </w:rPr>
        <w:t>relief</w:t>
      </w:r>
      <w:proofErr w:type="gramEnd"/>
      <w:r w:rsidRPr="00221A02">
        <w:rPr>
          <w:rFonts w:ascii="Times New Roman" w:hAnsi="Times New Roman" w:cs="Times New Roman"/>
          <w:sz w:val="24"/>
          <w:szCs w:val="24"/>
        </w:rPr>
        <w:t xml:space="preserve"> they were not enough to fund the bigger outflows associated with operating.</w:t>
      </w:r>
    </w:p>
    <w:p w14:paraId="2FA3F4AD" w14:textId="77777777" w:rsidR="0044429A"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Financing Cash Flows</w:t>
      </w:r>
    </w:p>
    <w:p w14:paraId="3FEE51E3" w14:textId="77777777" w:rsidR="0044429A"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 xml:space="preserve">The net cash inflow from financing activities amounted to £25.61 billion, mostly derived from £25.56 billion raised from the government in the supply funding. It was important in </w:t>
      </w:r>
      <w:r w:rsidRPr="00221A02">
        <w:rPr>
          <w:rFonts w:ascii="Times New Roman" w:hAnsi="Times New Roman" w:cs="Times New Roman"/>
          <w:sz w:val="24"/>
          <w:szCs w:val="24"/>
        </w:rPr>
        <w:lastRenderedPageBreak/>
        <w:t>helping support MHCLG's housing and community development priorities. Payments for finance leases, and adjustments for foreign exchange movements, partly offset the inflow</w:t>
      </w:r>
      <w:r w:rsidR="00BE18C6">
        <w:rPr>
          <w:rFonts w:ascii="Times New Roman" w:hAnsi="Times New Roman" w:cs="Times New Roman"/>
          <w:sz w:val="24"/>
          <w:szCs w:val="24"/>
        </w:rPr>
        <w:t xml:space="preserve"> according to the Ministry of Housing, Communities and Local Government (2024).</w:t>
      </w:r>
    </w:p>
    <w:p w14:paraId="34C83E6B" w14:textId="77777777" w:rsidR="0044429A" w:rsidRPr="00221A02" w:rsidRDefault="00000000" w:rsidP="00BE18C6">
      <w:pPr>
        <w:spacing w:line="480" w:lineRule="auto"/>
        <w:rPr>
          <w:rFonts w:ascii="Times New Roman" w:hAnsi="Times New Roman" w:cs="Times New Roman"/>
          <w:b/>
          <w:bCs/>
          <w:i/>
          <w:iCs/>
          <w:sz w:val="24"/>
          <w:szCs w:val="24"/>
        </w:rPr>
      </w:pPr>
      <w:r w:rsidRPr="00221A02">
        <w:rPr>
          <w:rFonts w:ascii="Times New Roman" w:hAnsi="Times New Roman" w:cs="Times New Roman"/>
          <w:b/>
          <w:bCs/>
          <w:i/>
          <w:iCs/>
          <w:sz w:val="24"/>
          <w:szCs w:val="24"/>
        </w:rPr>
        <w:t>Reconciliation of Cash Balances</w:t>
      </w:r>
    </w:p>
    <w:p w14:paraId="010F5742" w14:textId="3A170ABE" w:rsidR="0044429A"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 xml:space="preserve">During </w:t>
      </w:r>
      <w:r w:rsidR="006F2AAA">
        <w:rPr>
          <w:rFonts w:ascii="Times New Roman" w:hAnsi="Times New Roman" w:cs="Times New Roman"/>
          <w:sz w:val="24"/>
          <w:szCs w:val="24"/>
        </w:rPr>
        <w:t>the period</w:t>
      </w:r>
      <w:r w:rsidRPr="00221A02">
        <w:rPr>
          <w:rFonts w:ascii="Times New Roman" w:hAnsi="Times New Roman" w:cs="Times New Roman"/>
          <w:sz w:val="24"/>
          <w:szCs w:val="24"/>
        </w:rPr>
        <w:t>, cash balances were £1.68 billion at the beginning. During this period, since operating, investing and financing activities’ cash flows were accounted for, the net increase in cash was £895.90 million, from £1.04 billion of cash at the beginning of this period to £1.24 billion.</w:t>
      </w:r>
    </w:p>
    <w:p w14:paraId="44931DEC" w14:textId="0C47BE61" w:rsidR="0044429A" w:rsidRPr="00221A02" w:rsidRDefault="006F2AAA" w:rsidP="00BE18C6">
      <w:pPr>
        <w:spacing w:line="480" w:lineRule="auto"/>
        <w:rPr>
          <w:rFonts w:ascii="Times New Roman" w:hAnsi="Times New Roman" w:cs="Times New Roman"/>
          <w:b/>
          <w:bCs/>
          <w:i/>
          <w:iCs/>
          <w:sz w:val="24"/>
          <w:szCs w:val="24"/>
        </w:rPr>
      </w:pPr>
      <w:r>
        <w:rPr>
          <w:rFonts w:ascii="Times New Roman" w:hAnsi="Times New Roman" w:cs="Times New Roman"/>
          <w:b/>
          <w:bCs/>
          <w:i/>
          <w:iCs/>
          <w:sz w:val="24"/>
          <w:szCs w:val="24"/>
        </w:rPr>
        <w:t>Insights</w:t>
      </w:r>
      <w:r w:rsidRPr="00221A02">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into </w:t>
      </w:r>
      <w:r w:rsidR="00000000" w:rsidRPr="00221A02">
        <w:rPr>
          <w:rFonts w:ascii="Times New Roman" w:hAnsi="Times New Roman" w:cs="Times New Roman"/>
          <w:b/>
          <w:bCs/>
          <w:i/>
          <w:iCs/>
          <w:sz w:val="24"/>
          <w:szCs w:val="24"/>
        </w:rPr>
        <w:t>Cash Management and Liquidity</w:t>
      </w:r>
      <w:r>
        <w:rPr>
          <w:rFonts w:ascii="Times New Roman" w:hAnsi="Times New Roman" w:cs="Times New Roman"/>
          <w:b/>
          <w:bCs/>
          <w:i/>
          <w:iCs/>
          <w:sz w:val="24"/>
          <w:szCs w:val="24"/>
        </w:rPr>
        <w:t xml:space="preserve"> </w:t>
      </w:r>
    </w:p>
    <w:p w14:paraId="5AEFC13F" w14:textId="2DDA3794" w:rsidR="0044429A"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 xml:space="preserve">The analysis shows that the majority of MHCLG’s liquidity is derived from government funding, and operational expenditures generate negative cash flows. </w:t>
      </w:r>
      <w:r w:rsidR="006F2AAA">
        <w:rPr>
          <w:rFonts w:ascii="Times New Roman" w:hAnsi="Times New Roman" w:cs="Times New Roman"/>
          <w:sz w:val="24"/>
          <w:szCs w:val="24"/>
        </w:rPr>
        <w:t>Future sustainability will depend on cash management and operational outflows.</w:t>
      </w:r>
    </w:p>
    <w:p w14:paraId="3AD58360" w14:textId="77777777" w:rsidR="00230104" w:rsidRPr="00221A02" w:rsidRDefault="00000000" w:rsidP="00BE18C6">
      <w:pPr>
        <w:spacing w:line="480" w:lineRule="auto"/>
        <w:jc w:val="center"/>
        <w:rPr>
          <w:rFonts w:ascii="Times New Roman" w:hAnsi="Times New Roman" w:cs="Times New Roman"/>
          <w:b/>
          <w:bCs/>
          <w:sz w:val="24"/>
          <w:szCs w:val="24"/>
        </w:rPr>
      </w:pPr>
      <w:r w:rsidRPr="00221A02">
        <w:rPr>
          <w:rFonts w:ascii="Times New Roman" w:hAnsi="Times New Roman" w:cs="Times New Roman"/>
          <w:b/>
          <w:bCs/>
          <w:sz w:val="24"/>
          <w:szCs w:val="24"/>
        </w:rPr>
        <w:t>Ratio Analysis</w:t>
      </w:r>
    </w:p>
    <w:p w14:paraId="2C1DCC86" w14:textId="77777777" w:rsidR="00230104" w:rsidRPr="00221A02" w:rsidRDefault="00000000" w:rsidP="00BE18C6">
      <w:pPr>
        <w:spacing w:line="480" w:lineRule="auto"/>
        <w:rPr>
          <w:rFonts w:ascii="Times New Roman" w:hAnsi="Times New Roman" w:cs="Times New Roman"/>
          <w:b/>
          <w:bCs/>
          <w:sz w:val="24"/>
          <w:szCs w:val="24"/>
        </w:rPr>
      </w:pPr>
      <w:r w:rsidRPr="00221A02">
        <w:rPr>
          <w:rFonts w:ascii="Times New Roman" w:hAnsi="Times New Roman" w:cs="Times New Roman"/>
          <w:b/>
          <w:bCs/>
          <w:sz w:val="24"/>
          <w:szCs w:val="24"/>
        </w:rPr>
        <w:t>Liquidity Ratios</w:t>
      </w:r>
    </w:p>
    <w:p w14:paraId="0E3BF192" w14:textId="7B83CC80" w:rsidR="00230104" w:rsidRPr="00221A02" w:rsidRDefault="00045CAC" w:rsidP="00BE18C6">
      <w:pPr>
        <w:spacing w:line="480" w:lineRule="auto"/>
        <w:ind w:firstLine="720"/>
        <w:rPr>
          <w:rFonts w:ascii="Times New Roman" w:hAnsi="Times New Roman" w:cs="Times New Roman"/>
          <w:sz w:val="24"/>
          <w:szCs w:val="24"/>
        </w:rPr>
      </w:pPr>
      <w:r w:rsidRPr="00045CAC">
        <w:rPr>
          <w:rFonts w:ascii="Times New Roman" w:hAnsi="Times New Roman" w:cs="Times New Roman"/>
          <w:sz w:val="24"/>
          <w:szCs w:val="24"/>
        </w:rPr>
        <w:t xml:space="preserve">Liquidity ratios measure how an organization can pay back its </w:t>
      </w:r>
      <w:proofErr w:type="gramStart"/>
      <w:r w:rsidRPr="00045CAC">
        <w:rPr>
          <w:rFonts w:ascii="Times New Roman" w:hAnsi="Times New Roman" w:cs="Times New Roman"/>
          <w:sz w:val="24"/>
          <w:szCs w:val="24"/>
        </w:rPr>
        <w:t>short term</w:t>
      </w:r>
      <w:proofErr w:type="gramEnd"/>
      <w:r w:rsidRPr="00045CAC">
        <w:rPr>
          <w:rFonts w:ascii="Times New Roman" w:hAnsi="Times New Roman" w:cs="Times New Roman"/>
          <w:sz w:val="24"/>
          <w:szCs w:val="24"/>
        </w:rPr>
        <w:t xml:space="preserve"> liabilities. The current ratio is the most commonly as it determines a company’s ability to handle its short-term liabilities based on short term assets. </w:t>
      </w:r>
      <w:r w:rsidR="00000000" w:rsidRPr="00221A02">
        <w:rPr>
          <w:rFonts w:ascii="Times New Roman" w:hAnsi="Times New Roman" w:cs="Times New Roman"/>
          <w:sz w:val="24"/>
          <w:szCs w:val="24"/>
        </w:rPr>
        <w:t>It is calculated as:</w:t>
      </w:r>
    </w:p>
    <w:p w14:paraId="2CAF2D0E" w14:textId="56F4B582" w:rsidR="00230104" w:rsidRPr="00221A02" w:rsidRDefault="00045CAC" w:rsidP="00811101">
      <w:pPr>
        <w:spacing w:line="480" w:lineRule="auto"/>
        <w:ind w:left="1440" w:firstLine="720"/>
        <w:rPr>
          <w:rFonts w:ascii="Times New Roman" w:hAnsi="Times New Roman" w:cs="Times New Roman"/>
          <w:sz w:val="24"/>
          <w:szCs w:val="24"/>
        </w:rPr>
      </w:pPr>
      <w:r>
        <w:rPr>
          <w:rFonts w:ascii="Times New Roman" w:hAnsi="Times New Roman" w:cs="Times New Roman"/>
          <w:sz w:val="24"/>
          <w:szCs w:val="24"/>
        </w:rPr>
        <w:t>c</w:t>
      </w:r>
      <w:r w:rsidR="00000000" w:rsidRPr="00221A02">
        <w:rPr>
          <w:rFonts w:ascii="Times New Roman" w:hAnsi="Times New Roman" w:cs="Times New Roman"/>
          <w:sz w:val="24"/>
          <w:szCs w:val="24"/>
        </w:rPr>
        <w:t>urrent </w:t>
      </w:r>
      <w:r w:rsidR="007400E3">
        <w:rPr>
          <w:rFonts w:ascii="Times New Roman" w:hAnsi="Times New Roman" w:cs="Times New Roman"/>
          <w:sz w:val="24"/>
          <w:szCs w:val="24"/>
        </w:rPr>
        <w:t>r</w:t>
      </w:r>
      <w:r w:rsidR="00000000" w:rsidRPr="00221A02">
        <w:rPr>
          <w:rFonts w:ascii="Times New Roman" w:hAnsi="Times New Roman" w:cs="Times New Roman"/>
          <w:sz w:val="24"/>
          <w:szCs w:val="24"/>
        </w:rPr>
        <w:t xml:space="preserve">atio = </w:t>
      </w:r>
      <w:r>
        <w:rPr>
          <w:rFonts w:ascii="Times New Roman" w:hAnsi="Times New Roman" w:cs="Times New Roman"/>
          <w:sz w:val="24"/>
          <w:szCs w:val="24"/>
        </w:rPr>
        <w:t>c</w:t>
      </w:r>
      <w:r w:rsidR="00000000" w:rsidRPr="00221A02">
        <w:rPr>
          <w:rFonts w:ascii="Times New Roman" w:hAnsi="Times New Roman" w:cs="Times New Roman"/>
          <w:sz w:val="24"/>
          <w:szCs w:val="24"/>
        </w:rPr>
        <w:t>urrent </w:t>
      </w:r>
      <w:r>
        <w:rPr>
          <w:rFonts w:ascii="Times New Roman" w:hAnsi="Times New Roman" w:cs="Times New Roman"/>
          <w:sz w:val="24"/>
          <w:szCs w:val="24"/>
        </w:rPr>
        <w:t>a</w:t>
      </w:r>
      <w:r w:rsidR="00000000" w:rsidRPr="00221A02">
        <w:rPr>
          <w:rFonts w:ascii="Times New Roman" w:hAnsi="Times New Roman" w:cs="Times New Roman"/>
          <w:sz w:val="24"/>
          <w:szCs w:val="24"/>
        </w:rPr>
        <w:t xml:space="preserve">ssets / </w:t>
      </w:r>
      <w:r>
        <w:rPr>
          <w:rFonts w:ascii="Times New Roman" w:hAnsi="Times New Roman" w:cs="Times New Roman"/>
          <w:sz w:val="24"/>
          <w:szCs w:val="24"/>
        </w:rPr>
        <w:t>c</w:t>
      </w:r>
      <w:r w:rsidR="00000000" w:rsidRPr="00221A02">
        <w:rPr>
          <w:rFonts w:ascii="Times New Roman" w:hAnsi="Times New Roman" w:cs="Times New Roman"/>
          <w:sz w:val="24"/>
          <w:szCs w:val="24"/>
        </w:rPr>
        <w:t>urrent </w:t>
      </w:r>
      <w:r>
        <w:rPr>
          <w:rFonts w:ascii="Times New Roman" w:hAnsi="Times New Roman" w:cs="Times New Roman"/>
          <w:sz w:val="24"/>
          <w:szCs w:val="24"/>
        </w:rPr>
        <w:t>l</w:t>
      </w:r>
      <w:r w:rsidR="00000000" w:rsidRPr="00221A02">
        <w:rPr>
          <w:rFonts w:ascii="Times New Roman" w:hAnsi="Times New Roman" w:cs="Times New Roman"/>
          <w:sz w:val="24"/>
          <w:szCs w:val="24"/>
        </w:rPr>
        <w:t>iabilities​</w:t>
      </w:r>
    </w:p>
    <w:p w14:paraId="576042B5" w14:textId="7D456F39" w:rsidR="00230104" w:rsidRPr="00221A02" w:rsidRDefault="00045CAC" w:rsidP="00BE18C6">
      <w:pPr>
        <w:spacing w:line="480" w:lineRule="auto"/>
        <w:ind w:firstLine="720"/>
        <w:rPr>
          <w:rFonts w:ascii="Times New Roman" w:hAnsi="Times New Roman" w:cs="Times New Roman"/>
          <w:sz w:val="24"/>
          <w:szCs w:val="24"/>
        </w:rPr>
      </w:pPr>
      <w:r w:rsidRPr="00045CAC">
        <w:rPr>
          <w:rFonts w:ascii="Times New Roman" w:hAnsi="Times New Roman" w:cs="Times New Roman"/>
          <w:sz w:val="24"/>
          <w:szCs w:val="24"/>
        </w:rPr>
        <w:t xml:space="preserve">Substituting in the values, it results to a current ratio of 1.18 as calculate </w:t>
      </w:r>
      <w:proofErr w:type="gramStart"/>
      <w:r w:rsidRPr="00045CAC">
        <w:rPr>
          <w:rFonts w:ascii="Times New Roman" w:hAnsi="Times New Roman" w:cs="Times New Roman"/>
          <w:sz w:val="24"/>
          <w:szCs w:val="24"/>
        </w:rPr>
        <w:t>below;</w:t>
      </w:r>
      <w:proofErr w:type="gramEnd"/>
    </w:p>
    <w:p w14:paraId="22EC04AE" w14:textId="77777777" w:rsidR="00230104" w:rsidRPr="00221A02" w:rsidRDefault="00000000" w:rsidP="00811101">
      <w:pPr>
        <w:spacing w:line="480" w:lineRule="auto"/>
        <w:ind w:left="2880" w:firstLine="720"/>
        <w:rPr>
          <w:rFonts w:ascii="Times New Roman" w:hAnsi="Times New Roman" w:cs="Times New Roman"/>
          <w:sz w:val="24"/>
          <w:szCs w:val="24"/>
        </w:rPr>
      </w:pPr>
      <w:r w:rsidRPr="00221A02">
        <w:rPr>
          <w:rFonts w:ascii="Times New Roman" w:hAnsi="Times New Roman" w:cs="Times New Roman"/>
          <w:sz w:val="24"/>
          <w:szCs w:val="24"/>
        </w:rPr>
        <w:t>4.99 / 4.21 = 1.18</w:t>
      </w:r>
    </w:p>
    <w:p w14:paraId="537C4267" w14:textId="77777777" w:rsidR="0023010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lastRenderedPageBreak/>
        <w:t>Thus, MHCLG has enough assets to pay its short-term liabilities with a good margin. Management of liquidity has been effective, as a rising liquidity ratio is similar to the ratio seen in the previous year.</w:t>
      </w:r>
    </w:p>
    <w:p w14:paraId="610C5649" w14:textId="77777777" w:rsidR="00230104" w:rsidRPr="00221A02" w:rsidRDefault="00000000" w:rsidP="00BE18C6">
      <w:pPr>
        <w:spacing w:line="480" w:lineRule="auto"/>
        <w:rPr>
          <w:rFonts w:ascii="Times New Roman" w:hAnsi="Times New Roman" w:cs="Times New Roman"/>
          <w:b/>
          <w:bCs/>
          <w:sz w:val="24"/>
          <w:szCs w:val="24"/>
        </w:rPr>
      </w:pPr>
      <w:r w:rsidRPr="00221A02">
        <w:rPr>
          <w:rFonts w:ascii="Times New Roman" w:hAnsi="Times New Roman" w:cs="Times New Roman"/>
          <w:b/>
          <w:bCs/>
          <w:sz w:val="24"/>
          <w:szCs w:val="24"/>
        </w:rPr>
        <w:t>Profitability Ratios</w:t>
      </w:r>
    </w:p>
    <w:p w14:paraId="7C75B430" w14:textId="5654506D" w:rsidR="00811101" w:rsidRDefault="00045CAC" w:rsidP="00811101">
      <w:pPr>
        <w:spacing w:line="480" w:lineRule="auto"/>
        <w:ind w:firstLine="720"/>
        <w:rPr>
          <w:rFonts w:ascii="Times New Roman" w:hAnsi="Times New Roman" w:cs="Times New Roman"/>
          <w:sz w:val="24"/>
          <w:szCs w:val="24"/>
        </w:rPr>
      </w:pPr>
      <w:r>
        <w:rPr>
          <w:rFonts w:ascii="Times New Roman" w:hAnsi="Times New Roman" w:cs="Times New Roman"/>
          <w:sz w:val="24"/>
          <w:szCs w:val="24"/>
        </w:rPr>
        <w:t>This financial ratio</w:t>
      </w:r>
      <w:r w:rsidR="00811101" w:rsidRPr="00811101">
        <w:rPr>
          <w:rFonts w:ascii="Times New Roman" w:hAnsi="Times New Roman" w:cs="Times New Roman"/>
          <w:sz w:val="24"/>
          <w:szCs w:val="24"/>
        </w:rPr>
        <w:t xml:space="preserve"> indicate</w:t>
      </w:r>
      <w:r>
        <w:rPr>
          <w:rFonts w:ascii="Times New Roman" w:hAnsi="Times New Roman" w:cs="Times New Roman"/>
          <w:sz w:val="24"/>
          <w:szCs w:val="24"/>
        </w:rPr>
        <w:t>s</w:t>
      </w:r>
      <w:r w:rsidR="00811101" w:rsidRPr="00811101">
        <w:rPr>
          <w:rFonts w:ascii="Times New Roman" w:hAnsi="Times New Roman" w:cs="Times New Roman"/>
          <w:sz w:val="24"/>
          <w:szCs w:val="24"/>
        </w:rPr>
        <w:t xml:space="preserve"> the ratio of an organization’s profit to </w:t>
      </w:r>
      <w:r w:rsidR="00811101" w:rsidRPr="00811101">
        <w:rPr>
          <w:rFonts w:ascii="Times New Roman" w:hAnsi="Times New Roman" w:cs="Times New Roman"/>
          <w:sz w:val="24"/>
          <w:szCs w:val="24"/>
        </w:rPr>
        <w:t>its</w:t>
      </w:r>
      <w:r w:rsidR="00811101" w:rsidRPr="00811101">
        <w:rPr>
          <w:rFonts w:ascii="Times New Roman" w:hAnsi="Times New Roman" w:cs="Times New Roman"/>
          <w:sz w:val="24"/>
          <w:szCs w:val="24"/>
        </w:rPr>
        <w:t xml:space="preserve"> assets, revenue or equity. Understanding how well an organization can do from income into operational profits is one of the key profitability ratios used for net operating margin. It is calculated as:</w:t>
      </w:r>
    </w:p>
    <w:p w14:paraId="783825EB" w14:textId="15ABD777" w:rsidR="00230104" w:rsidRPr="00221A02" w:rsidRDefault="00000000" w:rsidP="00811101">
      <w:pPr>
        <w:spacing w:line="480" w:lineRule="auto"/>
        <w:ind w:left="720"/>
        <w:rPr>
          <w:rFonts w:ascii="Times New Roman" w:hAnsi="Times New Roman" w:cs="Times New Roman"/>
          <w:sz w:val="24"/>
          <w:szCs w:val="24"/>
        </w:rPr>
      </w:pPr>
      <w:r w:rsidRPr="00221A02">
        <w:rPr>
          <w:rFonts w:ascii="Times New Roman" w:hAnsi="Times New Roman" w:cs="Times New Roman"/>
          <w:sz w:val="24"/>
          <w:szCs w:val="24"/>
        </w:rPr>
        <w:t>Net Operating Margin = Net Operating Expenditure / Operating Income * 100%</w:t>
      </w:r>
    </w:p>
    <w:p w14:paraId="1D13AF65" w14:textId="77777777" w:rsidR="00230104" w:rsidRPr="00221A02" w:rsidRDefault="00000000" w:rsidP="00811101">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For 2023–24, with net operating expenditure of £40.63 billion and operating income of £6.23 billion, the net operating margin is:</w:t>
      </w:r>
    </w:p>
    <w:p w14:paraId="173C7575" w14:textId="77777777" w:rsidR="00230104" w:rsidRPr="00221A02" w:rsidRDefault="00000000" w:rsidP="00811101">
      <w:pPr>
        <w:spacing w:line="480" w:lineRule="auto"/>
        <w:ind w:left="1440" w:firstLine="720"/>
        <w:rPr>
          <w:rFonts w:ascii="Times New Roman" w:hAnsi="Times New Roman" w:cs="Times New Roman"/>
          <w:sz w:val="24"/>
          <w:szCs w:val="24"/>
        </w:rPr>
      </w:pPr>
      <w:r w:rsidRPr="00221A02">
        <w:rPr>
          <w:rFonts w:ascii="Times New Roman" w:hAnsi="Times New Roman" w:cs="Times New Roman"/>
          <w:sz w:val="24"/>
          <w:szCs w:val="24"/>
        </w:rPr>
        <w:t>40.66 / 6.23 * 100 = 651.77%</w:t>
      </w:r>
    </w:p>
    <w:p w14:paraId="0572D316" w14:textId="77777777" w:rsidR="0023010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The very high margin reflects MHCLG's high operating overheads against income. The operating margin has worsened compared to last year, when the operating margin was lower, showing that MHCLG is under increasing pressure to fund its programmes and services.</w:t>
      </w:r>
    </w:p>
    <w:p w14:paraId="2118B4B5" w14:textId="77777777" w:rsidR="00230104" w:rsidRPr="00221A02" w:rsidRDefault="00000000" w:rsidP="00BE18C6">
      <w:pPr>
        <w:spacing w:line="480" w:lineRule="auto"/>
        <w:rPr>
          <w:rFonts w:ascii="Times New Roman" w:hAnsi="Times New Roman" w:cs="Times New Roman"/>
          <w:b/>
          <w:bCs/>
          <w:sz w:val="24"/>
          <w:szCs w:val="24"/>
        </w:rPr>
      </w:pPr>
      <w:r w:rsidRPr="00221A02">
        <w:rPr>
          <w:rFonts w:ascii="Times New Roman" w:hAnsi="Times New Roman" w:cs="Times New Roman"/>
          <w:b/>
          <w:bCs/>
          <w:sz w:val="24"/>
          <w:szCs w:val="24"/>
        </w:rPr>
        <w:t>Efficiency Ratios</w:t>
      </w:r>
    </w:p>
    <w:p w14:paraId="4BD942B1" w14:textId="77777777" w:rsidR="0023010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Efficiency ratios measure the proportion of revenue an organization can generate from assets. MHCLG has a common efficiency measure in the asset turnover ratio which is how well they use their assets to make money. It is calculated as:</w:t>
      </w:r>
    </w:p>
    <w:p w14:paraId="68E07051" w14:textId="77777777" w:rsidR="00230104" w:rsidRPr="00221A02" w:rsidRDefault="00000000" w:rsidP="00811101">
      <w:pPr>
        <w:spacing w:line="480" w:lineRule="auto"/>
        <w:rPr>
          <w:rFonts w:ascii="Times New Roman" w:hAnsi="Times New Roman" w:cs="Times New Roman"/>
          <w:sz w:val="24"/>
          <w:szCs w:val="24"/>
        </w:rPr>
      </w:pPr>
      <w:r w:rsidRPr="00221A02">
        <w:rPr>
          <w:rFonts w:ascii="Times New Roman" w:hAnsi="Times New Roman" w:cs="Times New Roman"/>
          <w:sz w:val="24"/>
          <w:szCs w:val="24"/>
        </w:rPr>
        <w:t>Asset Turnover Ratio = Total Income / Total Assets</w:t>
      </w:r>
    </w:p>
    <w:p w14:paraId="0541C279" w14:textId="77777777" w:rsidR="0023010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For 2023–24, with a total income of £6.23 billion and total assets of £24.93 billion, the asset turnover ratio is:</w:t>
      </w:r>
    </w:p>
    <w:p w14:paraId="46CE56C7" w14:textId="77777777" w:rsidR="00230104" w:rsidRPr="00221A02" w:rsidRDefault="00000000" w:rsidP="00811101">
      <w:pPr>
        <w:spacing w:line="480" w:lineRule="auto"/>
        <w:rPr>
          <w:rFonts w:ascii="Times New Roman" w:hAnsi="Times New Roman" w:cs="Times New Roman"/>
          <w:sz w:val="24"/>
          <w:szCs w:val="24"/>
        </w:rPr>
      </w:pPr>
      <w:r w:rsidRPr="00221A02">
        <w:rPr>
          <w:rFonts w:ascii="Times New Roman" w:hAnsi="Times New Roman" w:cs="Times New Roman"/>
          <w:sz w:val="24"/>
          <w:szCs w:val="24"/>
        </w:rPr>
        <w:lastRenderedPageBreak/>
        <w:t xml:space="preserve">6.23 / </w:t>
      </w:r>
      <w:r w:rsidR="0017291E" w:rsidRPr="00221A02">
        <w:rPr>
          <w:rFonts w:ascii="Times New Roman" w:hAnsi="Times New Roman" w:cs="Times New Roman"/>
          <w:sz w:val="24"/>
          <w:szCs w:val="24"/>
        </w:rPr>
        <w:t>24.93 = 0.25</w:t>
      </w:r>
    </w:p>
    <w:p w14:paraId="74E3DA52" w14:textId="77777777" w:rsidR="0023010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That shows that MHCLG produced 25 pence income for each pound of assets. This is typical of public sector organizations that have large non-revenue generating assets, however, the ratio is down from the previous year implying less efficient asset use. This could be because of increased investment in infrastructure, or housing projects that are necessary but might not bring in the money for a while.</w:t>
      </w:r>
    </w:p>
    <w:p w14:paraId="643B674F" w14:textId="77777777" w:rsidR="00230104" w:rsidRPr="00221A02" w:rsidRDefault="00000000" w:rsidP="00BE18C6">
      <w:pPr>
        <w:spacing w:line="480" w:lineRule="auto"/>
        <w:rPr>
          <w:rFonts w:ascii="Times New Roman" w:hAnsi="Times New Roman" w:cs="Times New Roman"/>
          <w:b/>
          <w:bCs/>
          <w:sz w:val="24"/>
          <w:szCs w:val="24"/>
        </w:rPr>
      </w:pPr>
      <w:r w:rsidRPr="00221A02">
        <w:rPr>
          <w:rFonts w:ascii="Times New Roman" w:hAnsi="Times New Roman" w:cs="Times New Roman"/>
          <w:b/>
          <w:bCs/>
          <w:sz w:val="24"/>
          <w:szCs w:val="24"/>
        </w:rPr>
        <w:t>Year-on-Year Comparison and Insights</w:t>
      </w:r>
    </w:p>
    <w:p w14:paraId="55F734B7" w14:textId="77777777" w:rsidR="0023010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The current ratio has been consistent over the year (year over year), which means liquidity has been consistently managed. The net operating margin, however, has deteriorated, with the proportion of income to operational expenditure rising. MHCLG will need to consider alternative means to do the same work more cheaply and/or have alternative means to make revenue available to it.</w:t>
      </w:r>
    </w:p>
    <w:p w14:paraId="07AE235B" w14:textId="77777777" w:rsidR="00230104"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The fall in the asset turnover ratio is a cause for concern concerning operational efficiency in light of MHCLG’s much larger asset base. The decline may also signal that the organization is retaining more assets for longer-term projects, such as housing development, that are likely not to produce immediate returns.</w:t>
      </w:r>
    </w:p>
    <w:p w14:paraId="3E8F097D" w14:textId="77777777" w:rsidR="0017291E" w:rsidRPr="00221A02" w:rsidRDefault="00000000" w:rsidP="00BE18C6">
      <w:pPr>
        <w:spacing w:line="480" w:lineRule="auto"/>
        <w:jc w:val="center"/>
        <w:rPr>
          <w:rFonts w:ascii="Times New Roman" w:hAnsi="Times New Roman" w:cs="Times New Roman"/>
          <w:b/>
          <w:bCs/>
          <w:sz w:val="24"/>
          <w:szCs w:val="24"/>
        </w:rPr>
      </w:pPr>
      <w:r w:rsidRPr="00221A02">
        <w:rPr>
          <w:rFonts w:ascii="Times New Roman" w:hAnsi="Times New Roman" w:cs="Times New Roman"/>
          <w:b/>
          <w:bCs/>
          <w:sz w:val="24"/>
          <w:szCs w:val="24"/>
        </w:rPr>
        <w:t>Financial Position and Performance Assessment</w:t>
      </w:r>
    </w:p>
    <w:p w14:paraId="106BD96E" w14:textId="7C278DA5" w:rsidR="0017291E" w:rsidRPr="00221A02" w:rsidRDefault="00811101" w:rsidP="00811101">
      <w:pPr>
        <w:spacing w:line="480" w:lineRule="auto"/>
        <w:ind w:firstLine="720"/>
        <w:rPr>
          <w:rFonts w:ascii="Times New Roman" w:hAnsi="Times New Roman" w:cs="Times New Roman"/>
          <w:sz w:val="24"/>
          <w:szCs w:val="24"/>
        </w:rPr>
      </w:pPr>
      <w:r w:rsidRPr="00811101">
        <w:rPr>
          <w:rFonts w:ascii="Times New Roman" w:hAnsi="Times New Roman" w:cs="Times New Roman"/>
          <w:sz w:val="24"/>
          <w:szCs w:val="24"/>
        </w:rPr>
        <w:t xml:space="preserve">The MHCLG’s financial analysis of the Ministry for 2023-24 outlines strengths and weaknesses. So far, the current ratio continues to trend above 1, which means that there is adequate easy liquidity to service the </w:t>
      </w:r>
      <w:r w:rsidRPr="00811101">
        <w:rPr>
          <w:rFonts w:ascii="Times New Roman" w:hAnsi="Times New Roman" w:cs="Times New Roman"/>
          <w:sz w:val="24"/>
          <w:szCs w:val="24"/>
        </w:rPr>
        <w:t>short-term</w:t>
      </w:r>
      <w:r w:rsidRPr="00811101">
        <w:rPr>
          <w:rFonts w:ascii="Times New Roman" w:hAnsi="Times New Roman" w:cs="Times New Roman"/>
          <w:sz w:val="24"/>
          <w:szCs w:val="24"/>
        </w:rPr>
        <w:t xml:space="preserve"> liabilities</w:t>
      </w:r>
      <w:r w:rsidR="00000000" w:rsidRPr="00221A02">
        <w:rPr>
          <w:rFonts w:ascii="Times New Roman" w:hAnsi="Times New Roman" w:cs="Times New Roman"/>
          <w:sz w:val="24"/>
          <w:szCs w:val="24"/>
        </w:rPr>
        <w:t xml:space="preserve">. Net operating margin, however, remains high, a reflection of the rising financial requirements of the organization associated with rising expenditures on grants, local government funding and housing. The decline in the asset </w:t>
      </w:r>
      <w:r w:rsidR="00000000" w:rsidRPr="00221A02">
        <w:rPr>
          <w:rFonts w:ascii="Times New Roman" w:hAnsi="Times New Roman" w:cs="Times New Roman"/>
          <w:sz w:val="24"/>
          <w:szCs w:val="24"/>
        </w:rPr>
        <w:lastRenderedPageBreak/>
        <w:t>turnover ratio is due to inefficiencies in using assets to generate revenue, possibly because of substantial long-term investments in housing and infrastructure whose revenue is not immediate.</w:t>
      </w:r>
    </w:p>
    <w:p w14:paraId="1480FC59" w14:textId="77777777" w:rsidR="0017291E" w:rsidRPr="00221A02"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Financially, MHCLG is short of liquidity in the short term but is challenged in controlling its increasing operational costs. The growing expense of housing and community development programs and a reduction in grant and fee income is hampering long-term sustainability. The department has made progress in managing its pension liabilities, but the increasing liabilities, mainly from provisions and trade payables, remain a risk to its financial health.</w:t>
      </w:r>
    </w:p>
    <w:p w14:paraId="335D9C54" w14:textId="77777777" w:rsidR="001748EF" w:rsidRDefault="00000000" w:rsidP="00BE18C6">
      <w:pPr>
        <w:spacing w:line="480" w:lineRule="auto"/>
        <w:ind w:firstLine="720"/>
        <w:rPr>
          <w:rFonts w:ascii="Times New Roman" w:hAnsi="Times New Roman" w:cs="Times New Roman"/>
          <w:sz w:val="24"/>
          <w:szCs w:val="24"/>
        </w:rPr>
      </w:pPr>
      <w:r w:rsidRPr="00221A02">
        <w:rPr>
          <w:rFonts w:ascii="Times New Roman" w:hAnsi="Times New Roman" w:cs="Times New Roman"/>
          <w:sz w:val="24"/>
          <w:szCs w:val="24"/>
        </w:rPr>
        <w:t>MHCLG should intensify efforts to improve operational efficiency, explore alternative revenue streams, and optimise costs in large-scale programmes. Focusing on better asset utilization and long-term fiscal planning will be crucial in ensuring continuing capacity to continue meeting public service obligations, strategically.</w:t>
      </w:r>
    </w:p>
    <w:p w14:paraId="29430C9F" w14:textId="77777777" w:rsidR="001748EF" w:rsidRDefault="00000000" w:rsidP="00BE18C6">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14:paraId="0C47FBE4" w14:textId="77777777" w:rsidR="001748EF" w:rsidRDefault="00000000" w:rsidP="00BE18C6">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40972249" w14:textId="77777777" w:rsidR="001748EF" w:rsidRPr="0017291E" w:rsidRDefault="00000000" w:rsidP="00BE18C6">
      <w:pPr>
        <w:spacing w:line="480" w:lineRule="auto"/>
        <w:rPr>
          <w:rFonts w:ascii="Times New Roman" w:hAnsi="Times New Roman" w:cs="Times New Roman"/>
          <w:sz w:val="24"/>
          <w:szCs w:val="24"/>
        </w:rPr>
      </w:pPr>
      <w:r>
        <w:rPr>
          <w:rFonts w:ascii="Times New Roman" w:hAnsi="Times New Roman" w:cs="Times New Roman"/>
          <w:sz w:val="24"/>
          <w:szCs w:val="24"/>
        </w:rPr>
        <w:t xml:space="preserve">Ministry of Housing, Communities and Local Government. (2024). </w:t>
      </w:r>
      <w:r w:rsidRPr="001748EF">
        <w:rPr>
          <w:rFonts w:ascii="Times New Roman" w:hAnsi="Times New Roman" w:cs="Times New Roman"/>
          <w:i/>
          <w:iCs/>
          <w:sz w:val="24"/>
          <w:szCs w:val="24"/>
        </w:rPr>
        <w:t>Annual report and accounts</w:t>
      </w:r>
      <w:r>
        <w:rPr>
          <w:rFonts w:ascii="Times New Roman" w:hAnsi="Times New Roman" w:cs="Times New Roman"/>
          <w:sz w:val="24"/>
          <w:szCs w:val="24"/>
        </w:rPr>
        <w:t xml:space="preserve"> </w:t>
      </w:r>
      <w:r>
        <w:rPr>
          <w:rFonts w:ascii="Times New Roman" w:hAnsi="Times New Roman" w:cs="Times New Roman"/>
          <w:sz w:val="24"/>
          <w:szCs w:val="24"/>
        </w:rPr>
        <w:tab/>
        <w:t>2023 - 2024</w:t>
      </w:r>
    </w:p>
    <w:sectPr w:rsidR="001748EF" w:rsidRPr="0017291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F67B40" w14:textId="77777777" w:rsidR="003D3DA9" w:rsidRDefault="003D3DA9">
      <w:pPr>
        <w:spacing w:after="0" w:line="240" w:lineRule="auto"/>
      </w:pPr>
      <w:r>
        <w:separator/>
      </w:r>
    </w:p>
  </w:endnote>
  <w:endnote w:type="continuationSeparator" w:id="0">
    <w:p w14:paraId="65D469B7" w14:textId="77777777" w:rsidR="003D3DA9" w:rsidRDefault="003D3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918DD9" w14:textId="77777777" w:rsidR="003D3DA9" w:rsidRDefault="003D3DA9">
      <w:pPr>
        <w:spacing w:after="0" w:line="240" w:lineRule="auto"/>
      </w:pPr>
      <w:r>
        <w:separator/>
      </w:r>
    </w:p>
  </w:footnote>
  <w:footnote w:type="continuationSeparator" w:id="0">
    <w:p w14:paraId="33B481A4" w14:textId="77777777" w:rsidR="003D3DA9" w:rsidRDefault="003D3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6934855"/>
      <w:docPartObj>
        <w:docPartGallery w:val="Page Numbers (Top of Page)"/>
        <w:docPartUnique/>
      </w:docPartObj>
    </w:sdtPr>
    <w:sdtEndPr>
      <w:rPr>
        <w:noProof/>
      </w:rPr>
    </w:sdtEndPr>
    <w:sdtContent>
      <w:p w14:paraId="2A606AC7" w14:textId="77777777" w:rsidR="001748EF"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FED242A" w14:textId="77777777" w:rsidR="001748EF" w:rsidRDefault="001748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0453E1"/>
    <w:multiLevelType w:val="hybridMultilevel"/>
    <w:tmpl w:val="5470BCE4"/>
    <w:lvl w:ilvl="0" w:tplc="FEBAED98">
      <w:start w:val="1"/>
      <w:numFmt w:val="lowerRoman"/>
      <w:lvlText w:val="%1."/>
      <w:lvlJc w:val="right"/>
      <w:pPr>
        <w:ind w:left="1440" w:hanging="360"/>
      </w:pPr>
    </w:lvl>
    <w:lvl w:ilvl="1" w:tplc="93688228" w:tentative="1">
      <w:start w:val="1"/>
      <w:numFmt w:val="lowerLetter"/>
      <w:lvlText w:val="%2."/>
      <w:lvlJc w:val="left"/>
      <w:pPr>
        <w:ind w:left="2160" w:hanging="360"/>
      </w:pPr>
    </w:lvl>
    <w:lvl w:ilvl="2" w:tplc="DB783300" w:tentative="1">
      <w:start w:val="1"/>
      <w:numFmt w:val="lowerRoman"/>
      <w:lvlText w:val="%3."/>
      <w:lvlJc w:val="right"/>
      <w:pPr>
        <w:ind w:left="2880" w:hanging="180"/>
      </w:pPr>
    </w:lvl>
    <w:lvl w:ilvl="3" w:tplc="FC701C9C" w:tentative="1">
      <w:start w:val="1"/>
      <w:numFmt w:val="decimal"/>
      <w:lvlText w:val="%4."/>
      <w:lvlJc w:val="left"/>
      <w:pPr>
        <w:ind w:left="3600" w:hanging="360"/>
      </w:pPr>
    </w:lvl>
    <w:lvl w:ilvl="4" w:tplc="0AC690BA" w:tentative="1">
      <w:start w:val="1"/>
      <w:numFmt w:val="lowerLetter"/>
      <w:lvlText w:val="%5."/>
      <w:lvlJc w:val="left"/>
      <w:pPr>
        <w:ind w:left="4320" w:hanging="360"/>
      </w:pPr>
    </w:lvl>
    <w:lvl w:ilvl="5" w:tplc="DCE8717A" w:tentative="1">
      <w:start w:val="1"/>
      <w:numFmt w:val="lowerRoman"/>
      <w:lvlText w:val="%6."/>
      <w:lvlJc w:val="right"/>
      <w:pPr>
        <w:ind w:left="5040" w:hanging="180"/>
      </w:pPr>
    </w:lvl>
    <w:lvl w:ilvl="6" w:tplc="DF4AC190" w:tentative="1">
      <w:start w:val="1"/>
      <w:numFmt w:val="decimal"/>
      <w:lvlText w:val="%7."/>
      <w:lvlJc w:val="left"/>
      <w:pPr>
        <w:ind w:left="5760" w:hanging="360"/>
      </w:pPr>
    </w:lvl>
    <w:lvl w:ilvl="7" w:tplc="33FCA6B2" w:tentative="1">
      <w:start w:val="1"/>
      <w:numFmt w:val="lowerLetter"/>
      <w:lvlText w:val="%8."/>
      <w:lvlJc w:val="left"/>
      <w:pPr>
        <w:ind w:left="6480" w:hanging="360"/>
      </w:pPr>
    </w:lvl>
    <w:lvl w:ilvl="8" w:tplc="92B6F47A" w:tentative="1">
      <w:start w:val="1"/>
      <w:numFmt w:val="lowerRoman"/>
      <w:lvlText w:val="%9."/>
      <w:lvlJc w:val="right"/>
      <w:pPr>
        <w:ind w:left="7200" w:hanging="180"/>
      </w:pPr>
    </w:lvl>
  </w:abstractNum>
  <w:abstractNum w:abstractNumId="1" w15:restartNumberingAfterBreak="0">
    <w:nsid w:val="3A162884"/>
    <w:multiLevelType w:val="hybridMultilevel"/>
    <w:tmpl w:val="025A7406"/>
    <w:lvl w:ilvl="0" w:tplc="DCF8D90E">
      <w:start w:val="1"/>
      <w:numFmt w:val="bullet"/>
      <w:lvlText w:val=""/>
      <w:lvlJc w:val="left"/>
      <w:pPr>
        <w:ind w:left="720" w:hanging="360"/>
      </w:pPr>
      <w:rPr>
        <w:rFonts w:ascii="Symbol" w:hAnsi="Symbol" w:hint="default"/>
      </w:rPr>
    </w:lvl>
    <w:lvl w:ilvl="1" w:tplc="A2148900" w:tentative="1">
      <w:start w:val="1"/>
      <w:numFmt w:val="bullet"/>
      <w:lvlText w:val="o"/>
      <w:lvlJc w:val="left"/>
      <w:pPr>
        <w:ind w:left="1440" w:hanging="360"/>
      </w:pPr>
      <w:rPr>
        <w:rFonts w:ascii="Courier New" w:hAnsi="Courier New" w:cs="Courier New" w:hint="default"/>
      </w:rPr>
    </w:lvl>
    <w:lvl w:ilvl="2" w:tplc="5644F4A8" w:tentative="1">
      <w:start w:val="1"/>
      <w:numFmt w:val="bullet"/>
      <w:lvlText w:val=""/>
      <w:lvlJc w:val="left"/>
      <w:pPr>
        <w:ind w:left="2160" w:hanging="360"/>
      </w:pPr>
      <w:rPr>
        <w:rFonts w:ascii="Wingdings" w:hAnsi="Wingdings" w:hint="default"/>
      </w:rPr>
    </w:lvl>
    <w:lvl w:ilvl="3" w:tplc="6B0658B0" w:tentative="1">
      <w:start w:val="1"/>
      <w:numFmt w:val="bullet"/>
      <w:lvlText w:val=""/>
      <w:lvlJc w:val="left"/>
      <w:pPr>
        <w:ind w:left="2880" w:hanging="360"/>
      </w:pPr>
      <w:rPr>
        <w:rFonts w:ascii="Symbol" w:hAnsi="Symbol" w:hint="default"/>
      </w:rPr>
    </w:lvl>
    <w:lvl w:ilvl="4" w:tplc="CC36C6DC" w:tentative="1">
      <w:start w:val="1"/>
      <w:numFmt w:val="bullet"/>
      <w:lvlText w:val="o"/>
      <w:lvlJc w:val="left"/>
      <w:pPr>
        <w:ind w:left="3600" w:hanging="360"/>
      </w:pPr>
      <w:rPr>
        <w:rFonts w:ascii="Courier New" w:hAnsi="Courier New" w:cs="Courier New" w:hint="default"/>
      </w:rPr>
    </w:lvl>
    <w:lvl w:ilvl="5" w:tplc="9C46B8A4" w:tentative="1">
      <w:start w:val="1"/>
      <w:numFmt w:val="bullet"/>
      <w:lvlText w:val=""/>
      <w:lvlJc w:val="left"/>
      <w:pPr>
        <w:ind w:left="4320" w:hanging="360"/>
      </w:pPr>
      <w:rPr>
        <w:rFonts w:ascii="Wingdings" w:hAnsi="Wingdings" w:hint="default"/>
      </w:rPr>
    </w:lvl>
    <w:lvl w:ilvl="6" w:tplc="F1C6EA6C" w:tentative="1">
      <w:start w:val="1"/>
      <w:numFmt w:val="bullet"/>
      <w:lvlText w:val=""/>
      <w:lvlJc w:val="left"/>
      <w:pPr>
        <w:ind w:left="5040" w:hanging="360"/>
      </w:pPr>
      <w:rPr>
        <w:rFonts w:ascii="Symbol" w:hAnsi="Symbol" w:hint="default"/>
      </w:rPr>
    </w:lvl>
    <w:lvl w:ilvl="7" w:tplc="B880BC80" w:tentative="1">
      <w:start w:val="1"/>
      <w:numFmt w:val="bullet"/>
      <w:lvlText w:val="o"/>
      <w:lvlJc w:val="left"/>
      <w:pPr>
        <w:ind w:left="5760" w:hanging="360"/>
      </w:pPr>
      <w:rPr>
        <w:rFonts w:ascii="Courier New" w:hAnsi="Courier New" w:cs="Courier New" w:hint="default"/>
      </w:rPr>
    </w:lvl>
    <w:lvl w:ilvl="8" w:tplc="069277BE" w:tentative="1">
      <w:start w:val="1"/>
      <w:numFmt w:val="bullet"/>
      <w:lvlText w:val=""/>
      <w:lvlJc w:val="left"/>
      <w:pPr>
        <w:ind w:left="6480" w:hanging="360"/>
      </w:pPr>
      <w:rPr>
        <w:rFonts w:ascii="Wingdings" w:hAnsi="Wingdings" w:hint="default"/>
      </w:rPr>
    </w:lvl>
  </w:abstractNum>
  <w:abstractNum w:abstractNumId="2" w15:restartNumberingAfterBreak="0">
    <w:nsid w:val="3F2B040E"/>
    <w:multiLevelType w:val="hybridMultilevel"/>
    <w:tmpl w:val="654A2F94"/>
    <w:lvl w:ilvl="0" w:tplc="0E0C29D2">
      <w:start w:val="1"/>
      <w:numFmt w:val="bullet"/>
      <w:lvlText w:val=""/>
      <w:lvlJc w:val="left"/>
      <w:pPr>
        <w:ind w:left="720" w:hanging="360"/>
      </w:pPr>
      <w:rPr>
        <w:rFonts w:ascii="Symbol" w:hAnsi="Symbol" w:hint="default"/>
      </w:rPr>
    </w:lvl>
    <w:lvl w:ilvl="1" w:tplc="E272BF7C" w:tentative="1">
      <w:start w:val="1"/>
      <w:numFmt w:val="bullet"/>
      <w:lvlText w:val="o"/>
      <w:lvlJc w:val="left"/>
      <w:pPr>
        <w:ind w:left="1440" w:hanging="360"/>
      </w:pPr>
      <w:rPr>
        <w:rFonts w:ascii="Courier New" w:hAnsi="Courier New" w:cs="Courier New" w:hint="default"/>
      </w:rPr>
    </w:lvl>
    <w:lvl w:ilvl="2" w:tplc="970AD8F4" w:tentative="1">
      <w:start w:val="1"/>
      <w:numFmt w:val="bullet"/>
      <w:lvlText w:val=""/>
      <w:lvlJc w:val="left"/>
      <w:pPr>
        <w:ind w:left="2160" w:hanging="360"/>
      </w:pPr>
      <w:rPr>
        <w:rFonts w:ascii="Wingdings" w:hAnsi="Wingdings" w:hint="default"/>
      </w:rPr>
    </w:lvl>
    <w:lvl w:ilvl="3" w:tplc="B3BCC9B2" w:tentative="1">
      <w:start w:val="1"/>
      <w:numFmt w:val="bullet"/>
      <w:lvlText w:val=""/>
      <w:lvlJc w:val="left"/>
      <w:pPr>
        <w:ind w:left="2880" w:hanging="360"/>
      </w:pPr>
      <w:rPr>
        <w:rFonts w:ascii="Symbol" w:hAnsi="Symbol" w:hint="default"/>
      </w:rPr>
    </w:lvl>
    <w:lvl w:ilvl="4" w:tplc="414A3538" w:tentative="1">
      <w:start w:val="1"/>
      <w:numFmt w:val="bullet"/>
      <w:lvlText w:val="o"/>
      <w:lvlJc w:val="left"/>
      <w:pPr>
        <w:ind w:left="3600" w:hanging="360"/>
      </w:pPr>
      <w:rPr>
        <w:rFonts w:ascii="Courier New" w:hAnsi="Courier New" w:cs="Courier New" w:hint="default"/>
      </w:rPr>
    </w:lvl>
    <w:lvl w:ilvl="5" w:tplc="F77271C4" w:tentative="1">
      <w:start w:val="1"/>
      <w:numFmt w:val="bullet"/>
      <w:lvlText w:val=""/>
      <w:lvlJc w:val="left"/>
      <w:pPr>
        <w:ind w:left="4320" w:hanging="360"/>
      </w:pPr>
      <w:rPr>
        <w:rFonts w:ascii="Wingdings" w:hAnsi="Wingdings" w:hint="default"/>
      </w:rPr>
    </w:lvl>
    <w:lvl w:ilvl="6" w:tplc="D0F03810" w:tentative="1">
      <w:start w:val="1"/>
      <w:numFmt w:val="bullet"/>
      <w:lvlText w:val=""/>
      <w:lvlJc w:val="left"/>
      <w:pPr>
        <w:ind w:left="5040" w:hanging="360"/>
      </w:pPr>
      <w:rPr>
        <w:rFonts w:ascii="Symbol" w:hAnsi="Symbol" w:hint="default"/>
      </w:rPr>
    </w:lvl>
    <w:lvl w:ilvl="7" w:tplc="1172A340" w:tentative="1">
      <w:start w:val="1"/>
      <w:numFmt w:val="bullet"/>
      <w:lvlText w:val="o"/>
      <w:lvlJc w:val="left"/>
      <w:pPr>
        <w:ind w:left="5760" w:hanging="360"/>
      </w:pPr>
      <w:rPr>
        <w:rFonts w:ascii="Courier New" w:hAnsi="Courier New" w:cs="Courier New" w:hint="default"/>
      </w:rPr>
    </w:lvl>
    <w:lvl w:ilvl="8" w:tplc="5BBEFD9A" w:tentative="1">
      <w:start w:val="1"/>
      <w:numFmt w:val="bullet"/>
      <w:lvlText w:val=""/>
      <w:lvlJc w:val="left"/>
      <w:pPr>
        <w:ind w:left="6480" w:hanging="360"/>
      </w:pPr>
      <w:rPr>
        <w:rFonts w:ascii="Wingdings" w:hAnsi="Wingdings" w:hint="default"/>
      </w:rPr>
    </w:lvl>
  </w:abstractNum>
  <w:abstractNum w:abstractNumId="3" w15:restartNumberingAfterBreak="0">
    <w:nsid w:val="560254B2"/>
    <w:multiLevelType w:val="hybridMultilevel"/>
    <w:tmpl w:val="E946B5E2"/>
    <w:lvl w:ilvl="0" w:tplc="2E5ABF6E">
      <w:start w:val="1"/>
      <w:numFmt w:val="decimal"/>
      <w:lvlText w:val="%1."/>
      <w:lvlJc w:val="left"/>
      <w:pPr>
        <w:ind w:left="720" w:hanging="360"/>
      </w:pPr>
    </w:lvl>
    <w:lvl w:ilvl="1" w:tplc="4FCA79A4" w:tentative="1">
      <w:start w:val="1"/>
      <w:numFmt w:val="lowerLetter"/>
      <w:lvlText w:val="%2."/>
      <w:lvlJc w:val="left"/>
      <w:pPr>
        <w:ind w:left="1440" w:hanging="360"/>
      </w:pPr>
    </w:lvl>
    <w:lvl w:ilvl="2" w:tplc="E44AA2C4" w:tentative="1">
      <w:start w:val="1"/>
      <w:numFmt w:val="lowerRoman"/>
      <w:lvlText w:val="%3."/>
      <w:lvlJc w:val="right"/>
      <w:pPr>
        <w:ind w:left="2160" w:hanging="180"/>
      </w:pPr>
    </w:lvl>
    <w:lvl w:ilvl="3" w:tplc="D8EC9250" w:tentative="1">
      <w:start w:val="1"/>
      <w:numFmt w:val="decimal"/>
      <w:lvlText w:val="%4."/>
      <w:lvlJc w:val="left"/>
      <w:pPr>
        <w:ind w:left="2880" w:hanging="360"/>
      </w:pPr>
    </w:lvl>
    <w:lvl w:ilvl="4" w:tplc="9216DA58" w:tentative="1">
      <w:start w:val="1"/>
      <w:numFmt w:val="lowerLetter"/>
      <w:lvlText w:val="%5."/>
      <w:lvlJc w:val="left"/>
      <w:pPr>
        <w:ind w:left="3600" w:hanging="360"/>
      </w:pPr>
    </w:lvl>
    <w:lvl w:ilvl="5" w:tplc="FA868C52" w:tentative="1">
      <w:start w:val="1"/>
      <w:numFmt w:val="lowerRoman"/>
      <w:lvlText w:val="%6."/>
      <w:lvlJc w:val="right"/>
      <w:pPr>
        <w:ind w:left="4320" w:hanging="180"/>
      </w:pPr>
    </w:lvl>
    <w:lvl w:ilvl="6" w:tplc="9DF09D40" w:tentative="1">
      <w:start w:val="1"/>
      <w:numFmt w:val="decimal"/>
      <w:lvlText w:val="%7."/>
      <w:lvlJc w:val="left"/>
      <w:pPr>
        <w:ind w:left="5040" w:hanging="360"/>
      </w:pPr>
    </w:lvl>
    <w:lvl w:ilvl="7" w:tplc="4810ED26" w:tentative="1">
      <w:start w:val="1"/>
      <w:numFmt w:val="lowerLetter"/>
      <w:lvlText w:val="%8."/>
      <w:lvlJc w:val="left"/>
      <w:pPr>
        <w:ind w:left="5760" w:hanging="360"/>
      </w:pPr>
    </w:lvl>
    <w:lvl w:ilvl="8" w:tplc="666EF1FA" w:tentative="1">
      <w:start w:val="1"/>
      <w:numFmt w:val="lowerRoman"/>
      <w:lvlText w:val="%9."/>
      <w:lvlJc w:val="right"/>
      <w:pPr>
        <w:ind w:left="6480" w:hanging="180"/>
      </w:pPr>
    </w:lvl>
  </w:abstractNum>
  <w:abstractNum w:abstractNumId="4" w15:restartNumberingAfterBreak="0">
    <w:nsid w:val="5F563574"/>
    <w:multiLevelType w:val="hybridMultilevel"/>
    <w:tmpl w:val="692C18D8"/>
    <w:lvl w:ilvl="0" w:tplc="0BB69100">
      <w:start w:val="1"/>
      <w:numFmt w:val="bullet"/>
      <w:lvlText w:val=""/>
      <w:lvlJc w:val="left"/>
      <w:pPr>
        <w:ind w:left="720" w:hanging="360"/>
      </w:pPr>
      <w:rPr>
        <w:rFonts w:ascii="Symbol" w:hAnsi="Symbol" w:hint="default"/>
      </w:rPr>
    </w:lvl>
    <w:lvl w:ilvl="1" w:tplc="28662250" w:tentative="1">
      <w:start w:val="1"/>
      <w:numFmt w:val="bullet"/>
      <w:lvlText w:val="o"/>
      <w:lvlJc w:val="left"/>
      <w:pPr>
        <w:ind w:left="1440" w:hanging="360"/>
      </w:pPr>
      <w:rPr>
        <w:rFonts w:ascii="Courier New" w:hAnsi="Courier New" w:cs="Courier New" w:hint="default"/>
      </w:rPr>
    </w:lvl>
    <w:lvl w:ilvl="2" w:tplc="D400B3A8" w:tentative="1">
      <w:start w:val="1"/>
      <w:numFmt w:val="bullet"/>
      <w:lvlText w:val=""/>
      <w:lvlJc w:val="left"/>
      <w:pPr>
        <w:ind w:left="2160" w:hanging="360"/>
      </w:pPr>
      <w:rPr>
        <w:rFonts w:ascii="Wingdings" w:hAnsi="Wingdings" w:hint="default"/>
      </w:rPr>
    </w:lvl>
    <w:lvl w:ilvl="3" w:tplc="DF6A6F1A" w:tentative="1">
      <w:start w:val="1"/>
      <w:numFmt w:val="bullet"/>
      <w:lvlText w:val=""/>
      <w:lvlJc w:val="left"/>
      <w:pPr>
        <w:ind w:left="2880" w:hanging="360"/>
      </w:pPr>
      <w:rPr>
        <w:rFonts w:ascii="Symbol" w:hAnsi="Symbol" w:hint="default"/>
      </w:rPr>
    </w:lvl>
    <w:lvl w:ilvl="4" w:tplc="C262DD8C" w:tentative="1">
      <w:start w:val="1"/>
      <w:numFmt w:val="bullet"/>
      <w:lvlText w:val="o"/>
      <w:lvlJc w:val="left"/>
      <w:pPr>
        <w:ind w:left="3600" w:hanging="360"/>
      </w:pPr>
      <w:rPr>
        <w:rFonts w:ascii="Courier New" w:hAnsi="Courier New" w:cs="Courier New" w:hint="default"/>
      </w:rPr>
    </w:lvl>
    <w:lvl w:ilvl="5" w:tplc="F6B4082C" w:tentative="1">
      <w:start w:val="1"/>
      <w:numFmt w:val="bullet"/>
      <w:lvlText w:val=""/>
      <w:lvlJc w:val="left"/>
      <w:pPr>
        <w:ind w:left="4320" w:hanging="360"/>
      </w:pPr>
      <w:rPr>
        <w:rFonts w:ascii="Wingdings" w:hAnsi="Wingdings" w:hint="default"/>
      </w:rPr>
    </w:lvl>
    <w:lvl w:ilvl="6" w:tplc="C08896B2" w:tentative="1">
      <w:start w:val="1"/>
      <w:numFmt w:val="bullet"/>
      <w:lvlText w:val=""/>
      <w:lvlJc w:val="left"/>
      <w:pPr>
        <w:ind w:left="5040" w:hanging="360"/>
      </w:pPr>
      <w:rPr>
        <w:rFonts w:ascii="Symbol" w:hAnsi="Symbol" w:hint="default"/>
      </w:rPr>
    </w:lvl>
    <w:lvl w:ilvl="7" w:tplc="9D08D45A" w:tentative="1">
      <w:start w:val="1"/>
      <w:numFmt w:val="bullet"/>
      <w:lvlText w:val="o"/>
      <w:lvlJc w:val="left"/>
      <w:pPr>
        <w:ind w:left="5760" w:hanging="360"/>
      </w:pPr>
      <w:rPr>
        <w:rFonts w:ascii="Courier New" w:hAnsi="Courier New" w:cs="Courier New" w:hint="default"/>
      </w:rPr>
    </w:lvl>
    <w:lvl w:ilvl="8" w:tplc="0916F1DE" w:tentative="1">
      <w:start w:val="1"/>
      <w:numFmt w:val="bullet"/>
      <w:lvlText w:val=""/>
      <w:lvlJc w:val="left"/>
      <w:pPr>
        <w:ind w:left="6480" w:hanging="360"/>
      </w:pPr>
      <w:rPr>
        <w:rFonts w:ascii="Wingdings" w:hAnsi="Wingdings" w:hint="default"/>
      </w:rPr>
    </w:lvl>
  </w:abstractNum>
  <w:abstractNum w:abstractNumId="5" w15:restartNumberingAfterBreak="0">
    <w:nsid w:val="71D84EEE"/>
    <w:multiLevelType w:val="hybridMultilevel"/>
    <w:tmpl w:val="3E40A16E"/>
    <w:lvl w:ilvl="0" w:tplc="D7009C3C">
      <w:start w:val="1"/>
      <w:numFmt w:val="lowerRoman"/>
      <w:lvlText w:val="%1."/>
      <w:lvlJc w:val="right"/>
      <w:pPr>
        <w:ind w:left="720" w:hanging="360"/>
      </w:pPr>
    </w:lvl>
    <w:lvl w:ilvl="1" w:tplc="3656CC2E" w:tentative="1">
      <w:start w:val="1"/>
      <w:numFmt w:val="lowerLetter"/>
      <w:lvlText w:val="%2."/>
      <w:lvlJc w:val="left"/>
      <w:pPr>
        <w:ind w:left="1440" w:hanging="360"/>
      </w:pPr>
    </w:lvl>
    <w:lvl w:ilvl="2" w:tplc="BBAC39CE" w:tentative="1">
      <w:start w:val="1"/>
      <w:numFmt w:val="lowerRoman"/>
      <w:lvlText w:val="%3."/>
      <w:lvlJc w:val="right"/>
      <w:pPr>
        <w:ind w:left="2160" w:hanging="180"/>
      </w:pPr>
    </w:lvl>
    <w:lvl w:ilvl="3" w:tplc="E30280BE" w:tentative="1">
      <w:start w:val="1"/>
      <w:numFmt w:val="decimal"/>
      <w:lvlText w:val="%4."/>
      <w:lvlJc w:val="left"/>
      <w:pPr>
        <w:ind w:left="2880" w:hanging="360"/>
      </w:pPr>
    </w:lvl>
    <w:lvl w:ilvl="4" w:tplc="975E81CC" w:tentative="1">
      <w:start w:val="1"/>
      <w:numFmt w:val="lowerLetter"/>
      <w:lvlText w:val="%5."/>
      <w:lvlJc w:val="left"/>
      <w:pPr>
        <w:ind w:left="3600" w:hanging="360"/>
      </w:pPr>
    </w:lvl>
    <w:lvl w:ilvl="5" w:tplc="D4CE5C8E" w:tentative="1">
      <w:start w:val="1"/>
      <w:numFmt w:val="lowerRoman"/>
      <w:lvlText w:val="%6."/>
      <w:lvlJc w:val="right"/>
      <w:pPr>
        <w:ind w:left="4320" w:hanging="180"/>
      </w:pPr>
    </w:lvl>
    <w:lvl w:ilvl="6" w:tplc="3C68C8CA" w:tentative="1">
      <w:start w:val="1"/>
      <w:numFmt w:val="decimal"/>
      <w:lvlText w:val="%7."/>
      <w:lvlJc w:val="left"/>
      <w:pPr>
        <w:ind w:left="5040" w:hanging="360"/>
      </w:pPr>
    </w:lvl>
    <w:lvl w:ilvl="7" w:tplc="7D907EA6" w:tentative="1">
      <w:start w:val="1"/>
      <w:numFmt w:val="lowerLetter"/>
      <w:lvlText w:val="%8."/>
      <w:lvlJc w:val="left"/>
      <w:pPr>
        <w:ind w:left="5760" w:hanging="360"/>
      </w:pPr>
    </w:lvl>
    <w:lvl w:ilvl="8" w:tplc="4B36BF5E" w:tentative="1">
      <w:start w:val="1"/>
      <w:numFmt w:val="lowerRoman"/>
      <w:lvlText w:val="%9."/>
      <w:lvlJc w:val="right"/>
      <w:pPr>
        <w:ind w:left="6480" w:hanging="180"/>
      </w:pPr>
    </w:lvl>
  </w:abstractNum>
  <w:num w:numId="1" w16cid:durableId="1525286827">
    <w:abstractNumId w:val="3"/>
  </w:num>
  <w:num w:numId="2" w16cid:durableId="884608201">
    <w:abstractNumId w:val="5"/>
  </w:num>
  <w:num w:numId="3" w16cid:durableId="1608923838">
    <w:abstractNumId w:val="1"/>
  </w:num>
  <w:num w:numId="4" w16cid:durableId="1396969945">
    <w:abstractNumId w:val="4"/>
  </w:num>
  <w:num w:numId="5" w16cid:durableId="1041629638">
    <w:abstractNumId w:val="0"/>
  </w:num>
  <w:num w:numId="6" w16cid:durableId="370807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254"/>
    <w:rsid w:val="00045CAC"/>
    <w:rsid w:val="0017291E"/>
    <w:rsid w:val="001748EF"/>
    <w:rsid w:val="001C3628"/>
    <w:rsid w:val="00221A02"/>
    <w:rsid w:val="00230104"/>
    <w:rsid w:val="003D3DA9"/>
    <w:rsid w:val="003F2004"/>
    <w:rsid w:val="0044429A"/>
    <w:rsid w:val="004D0749"/>
    <w:rsid w:val="005811A4"/>
    <w:rsid w:val="005D758C"/>
    <w:rsid w:val="006F2AAA"/>
    <w:rsid w:val="007400E3"/>
    <w:rsid w:val="007421A5"/>
    <w:rsid w:val="00811101"/>
    <w:rsid w:val="008A4254"/>
    <w:rsid w:val="00A9119F"/>
    <w:rsid w:val="00AA2C23"/>
    <w:rsid w:val="00AE3CF1"/>
    <w:rsid w:val="00BE0ACF"/>
    <w:rsid w:val="00BE18C6"/>
    <w:rsid w:val="00C11231"/>
    <w:rsid w:val="00C44A77"/>
    <w:rsid w:val="00C93D35"/>
    <w:rsid w:val="00DE6200"/>
    <w:rsid w:val="00E84BC8"/>
    <w:rsid w:val="00EC0B0D"/>
    <w:rsid w:val="00EF2074"/>
    <w:rsid w:val="00F57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6C2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A4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254"/>
    <w:rPr>
      <w:rFonts w:eastAsiaTheme="majorEastAsia" w:cstheme="majorBidi"/>
      <w:color w:val="272727" w:themeColor="text1" w:themeTint="D8"/>
    </w:rPr>
  </w:style>
  <w:style w:type="paragraph" w:styleId="Title">
    <w:name w:val="Title"/>
    <w:basedOn w:val="Normal"/>
    <w:next w:val="Normal"/>
    <w:link w:val="TitleChar"/>
    <w:uiPriority w:val="10"/>
    <w:qFormat/>
    <w:rsid w:val="008A4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254"/>
    <w:pPr>
      <w:spacing w:before="160"/>
      <w:jc w:val="center"/>
    </w:pPr>
    <w:rPr>
      <w:i/>
      <w:iCs/>
      <w:color w:val="404040" w:themeColor="text1" w:themeTint="BF"/>
    </w:rPr>
  </w:style>
  <w:style w:type="character" w:customStyle="1" w:styleId="QuoteChar">
    <w:name w:val="Quote Char"/>
    <w:basedOn w:val="DefaultParagraphFont"/>
    <w:link w:val="Quote"/>
    <w:uiPriority w:val="29"/>
    <w:rsid w:val="008A4254"/>
    <w:rPr>
      <w:i/>
      <w:iCs/>
      <w:color w:val="404040" w:themeColor="text1" w:themeTint="BF"/>
    </w:rPr>
  </w:style>
  <w:style w:type="paragraph" w:styleId="ListParagraph">
    <w:name w:val="List Paragraph"/>
    <w:basedOn w:val="Normal"/>
    <w:uiPriority w:val="34"/>
    <w:qFormat/>
    <w:rsid w:val="008A4254"/>
    <w:pPr>
      <w:ind w:left="720"/>
      <w:contextualSpacing/>
    </w:pPr>
  </w:style>
  <w:style w:type="character" w:styleId="IntenseEmphasis">
    <w:name w:val="Intense Emphasis"/>
    <w:basedOn w:val="DefaultParagraphFont"/>
    <w:uiPriority w:val="21"/>
    <w:qFormat/>
    <w:rsid w:val="008A4254"/>
    <w:rPr>
      <w:i/>
      <w:iCs/>
      <w:color w:val="0F4761" w:themeColor="accent1" w:themeShade="BF"/>
    </w:rPr>
  </w:style>
  <w:style w:type="paragraph" w:styleId="IntenseQuote">
    <w:name w:val="Intense Quote"/>
    <w:basedOn w:val="Normal"/>
    <w:next w:val="Normal"/>
    <w:link w:val="IntenseQuoteChar"/>
    <w:uiPriority w:val="30"/>
    <w:qFormat/>
    <w:rsid w:val="008A4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254"/>
    <w:rPr>
      <w:i/>
      <w:iCs/>
      <w:color w:val="0F4761" w:themeColor="accent1" w:themeShade="BF"/>
    </w:rPr>
  </w:style>
  <w:style w:type="character" w:styleId="IntenseReference">
    <w:name w:val="Intense Reference"/>
    <w:basedOn w:val="DefaultParagraphFont"/>
    <w:uiPriority w:val="32"/>
    <w:qFormat/>
    <w:rsid w:val="008A4254"/>
    <w:rPr>
      <w:b/>
      <w:bCs/>
      <w:smallCaps/>
      <w:color w:val="0F4761" w:themeColor="accent1" w:themeShade="BF"/>
      <w:spacing w:val="5"/>
    </w:rPr>
  </w:style>
  <w:style w:type="paragraph" w:styleId="Header">
    <w:name w:val="header"/>
    <w:basedOn w:val="Normal"/>
    <w:link w:val="HeaderChar"/>
    <w:uiPriority w:val="99"/>
    <w:unhideWhenUsed/>
    <w:rsid w:val="001748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8EF"/>
    <w:rPr>
      <w:lang w:val="en-GB"/>
    </w:rPr>
  </w:style>
  <w:style w:type="paragraph" w:styleId="Footer">
    <w:name w:val="footer"/>
    <w:basedOn w:val="Normal"/>
    <w:link w:val="FooterChar"/>
    <w:uiPriority w:val="99"/>
    <w:unhideWhenUsed/>
    <w:rsid w:val="00174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8E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AF83F-3B3C-4CC5-850B-FA7DB4C07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3213</Words>
  <Characters>18320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2024-12-04T11:19:00Z</dcterms:created>
  <dcterms:modified xsi:type="dcterms:W3CDTF">2024-12-04T13:06:00Z</dcterms:modified>
</cp:coreProperties>
</file>