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2E6A" w14:textId="77777777" w:rsidR="003A73B7" w:rsidRDefault="003A73B7" w:rsidP="003A73B7">
      <w:pPr>
        <w:spacing w:line="480" w:lineRule="auto"/>
        <w:ind w:firstLine="720"/>
        <w:jc w:val="center"/>
        <w:rPr>
          <w:rFonts w:ascii="Times New Roman" w:hAnsi="Times New Roman" w:cs="Times New Roman"/>
          <w:b/>
          <w:bCs/>
        </w:rPr>
      </w:pPr>
    </w:p>
    <w:p w14:paraId="68323BE7" w14:textId="77777777" w:rsidR="003A73B7" w:rsidRDefault="003A73B7" w:rsidP="003A73B7">
      <w:pPr>
        <w:spacing w:line="480" w:lineRule="auto"/>
        <w:ind w:firstLine="720"/>
        <w:jc w:val="center"/>
        <w:rPr>
          <w:rFonts w:ascii="Times New Roman" w:hAnsi="Times New Roman" w:cs="Times New Roman"/>
          <w:b/>
          <w:bCs/>
        </w:rPr>
      </w:pPr>
    </w:p>
    <w:p w14:paraId="22567FCA" w14:textId="77777777" w:rsidR="003A73B7" w:rsidRDefault="003A73B7" w:rsidP="003A73B7">
      <w:pPr>
        <w:spacing w:line="480" w:lineRule="auto"/>
        <w:rPr>
          <w:rFonts w:ascii="Times New Roman" w:hAnsi="Times New Roman" w:cs="Times New Roman"/>
          <w:b/>
          <w:bCs/>
        </w:rPr>
      </w:pPr>
    </w:p>
    <w:p w14:paraId="70689482" w14:textId="77777777" w:rsidR="003A73B7" w:rsidRDefault="003A73B7" w:rsidP="003A73B7">
      <w:pPr>
        <w:spacing w:line="480" w:lineRule="auto"/>
        <w:ind w:firstLine="720"/>
        <w:jc w:val="center"/>
        <w:rPr>
          <w:rFonts w:ascii="Times New Roman" w:hAnsi="Times New Roman" w:cs="Times New Roman"/>
          <w:b/>
          <w:bCs/>
        </w:rPr>
      </w:pPr>
    </w:p>
    <w:p w14:paraId="2BA8EF6B" w14:textId="77777777" w:rsidR="003A73B7" w:rsidRDefault="003A73B7" w:rsidP="003A73B7">
      <w:pPr>
        <w:spacing w:line="480" w:lineRule="auto"/>
        <w:ind w:firstLine="720"/>
        <w:jc w:val="center"/>
        <w:rPr>
          <w:rFonts w:ascii="Times New Roman" w:hAnsi="Times New Roman" w:cs="Times New Roman"/>
          <w:b/>
          <w:bCs/>
        </w:rPr>
      </w:pPr>
    </w:p>
    <w:p w14:paraId="0AF59319" w14:textId="77777777" w:rsidR="003A73B7" w:rsidRPr="003A73B7" w:rsidRDefault="003A73B7" w:rsidP="003A73B7">
      <w:pPr>
        <w:spacing w:line="480" w:lineRule="auto"/>
        <w:jc w:val="center"/>
        <w:rPr>
          <w:rFonts w:ascii="Times New Roman" w:hAnsi="Times New Roman" w:cs="Times New Roman"/>
          <w:b/>
          <w:bCs/>
        </w:rPr>
      </w:pPr>
      <w:r w:rsidRPr="003A73B7">
        <w:rPr>
          <w:rFonts w:ascii="Times New Roman" w:hAnsi="Times New Roman" w:cs="Times New Roman"/>
          <w:b/>
          <w:bCs/>
        </w:rPr>
        <w:t>Analysis of SPSS Visuals</w:t>
      </w:r>
    </w:p>
    <w:p w14:paraId="0E1DB372" w14:textId="77777777" w:rsidR="003A73B7" w:rsidRDefault="003A73B7" w:rsidP="003A73B7">
      <w:pPr>
        <w:spacing w:line="480" w:lineRule="auto"/>
        <w:ind w:firstLine="720"/>
        <w:jc w:val="center"/>
        <w:rPr>
          <w:rFonts w:ascii="Times New Roman" w:hAnsi="Times New Roman" w:cs="Times New Roman"/>
          <w:b/>
          <w:bCs/>
        </w:rPr>
      </w:pPr>
    </w:p>
    <w:p w14:paraId="05B48DF3" w14:textId="29BBE703" w:rsidR="003A73B7" w:rsidRPr="003A73B7" w:rsidRDefault="003A73B7" w:rsidP="003A73B7">
      <w:pPr>
        <w:spacing w:line="480" w:lineRule="auto"/>
        <w:jc w:val="center"/>
        <w:rPr>
          <w:rFonts w:ascii="Times New Roman" w:hAnsi="Times New Roman" w:cs="Times New Roman"/>
        </w:rPr>
      </w:pPr>
      <w:r w:rsidRPr="003A73B7">
        <w:rPr>
          <w:rFonts w:ascii="Times New Roman" w:hAnsi="Times New Roman" w:cs="Times New Roman"/>
        </w:rPr>
        <w:t>Student Name</w:t>
      </w:r>
    </w:p>
    <w:p w14:paraId="2454D29B" w14:textId="5ED10EA9" w:rsidR="003A73B7" w:rsidRPr="003A73B7" w:rsidRDefault="003A73B7" w:rsidP="003A73B7">
      <w:pPr>
        <w:spacing w:line="480" w:lineRule="auto"/>
        <w:jc w:val="center"/>
        <w:rPr>
          <w:rFonts w:ascii="Times New Roman" w:hAnsi="Times New Roman" w:cs="Times New Roman"/>
        </w:rPr>
      </w:pPr>
      <w:r w:rsidRPr="003A73B7">
        <w:rPr>
          <w:rFonts w:ascii="Times New Roman" w:hAnsi="Times New Roman" w:cs="Times New Roman"/>
        </w:rPr>
        <w:t>Affiliation</w:t>
      </w:r>
    </w:p>
    <w:p w14:paraId="51A02D54" w14:textId="77777777" w:rsidR="003A73B7" w:rsidRPr="003A73B7" w:rsidRDefault="003A73B7" w:rsidP="003A73B7">
      <w:pPr>
        <w:spacing w:line="480" w:lineRule="auto"/>
        <w:jc w:val="center"/>
        <w:rPr>
          <w:rFonts w:ascii="Times New Roman" w:hAnsi="Times New Roman" w:cs="Times New Roman"/>
        </w:rPr>
      </w:pPr>
      <w:r w:rsidRPr="003A73B7">
        <w:rPr>
          <w:rFonts w:ascii="Times New Roman" w:hAnsi="Times New Roman" w:cs="Times New Roman"/>
        </w:rPr>
        <w:t>Course No, Course Name</w:t>
      </w:r>
    </w:p>
    <w:p w14:paraId="73B0FF50" w14:textId="77777777" w:rsidR="003A73B7" w:rsidRPr="003A73B7" w:rsidRDefault="003A73B7" w:rsidP="003A73B7">
      <w:pPr>
        <w:spacing w:line="480" w:lineRule="auto"/>
        <w:jc w:val="center"/>
        <w:rPr>
          <w:rFonts w:ascii="Times New Roman" w:hAnsi="Times New Roman" w:cs="Times New Roman"/>
        </w:rPr>
      </w:pPr>
      <w:r w:rsidRPr="003A73B7">
        <w:rPr>
          <w:rFonts w:ascii="Times New Roman" w:hAnsi="Times New Roman" w:cs="Times New Roman"/>
        </w:rPr>
        <w:t>Instructor’s Date</w:t>
      </w:r>
    </w:p>
    <w:p w14:paraId="24908EF2" w14:textId="01806091" w:rsidR="003A73B7" w:rsidRPr="003A73B7" w:rsidRDefault="003A73B7" w:rsidP="003A73B7">
      <w:pPr>
        <w:spacing w:line="480" w:lineRule="auto"/>
        <w:jc w:val="center"/>
        <w:rPr>
          <w:rFonts w:ascii="Times New Roman" w:hAnsi="Times New Roman" w:cs="Times New Roman"/>
        </w:rPr>
      </w:pPr>
      <w:r w:rsidRPr="003A73B7">
        <w:rPr>
          <w:rFonts w:ascii="Times New Roman" w:hAnsi="Times New Roman" w:cs="Times New Roman"/>
        </w:rPr>
        <w:t>Due Date</w:t>
      </w:r>
      <w:r w:rsidRPr="003A73B7">
        <w:rPr>
          <w:rFonts w:ascii="Times New Roman" w:hAnsi="Times New Roman" w:cs="Times New Roman"/>
        </w:rPr>
        <w:br w:type="page"/>
      </w:r>
    </w:p>
    <w:p w14:paraId="3A291C29" w14:textId="0F78B3A6" w:rsidR="003A73B7" w:rsidRPr="003A73B7" w:rsidRDefault="003A73B7" w:rsidP="003A73B7">
      <w:pPr>
        <w:spacing w:line="480" w:lineRule="auto"/>
        <w:ind w:firstLine="720"/>
        <w:jc w:val="center"/>
        <w:rPr>
          <w:rFonts w:ascii="Times New Roman" w:hAnsi="Times New Roman" w:cs="Times New Roman"/>
          <w:b/>
          <w:bCs/>
        </w:rPr>
      </w:pPr>
      <w:r w:rsidRPr="003A73B7">
        <w:rPr>
          <w:rFonts w:ascii="Times New Roman" w:hAnsi="Times New Roman" w:cs="Times New Roman"/>
          <w:b/>
          <w:bCs/>
        </w:rPr>
        <w:lastRenderedPageBreak/>
        <w:t xml:space="preserve">Analysis of </w:t>
      </w:r>
      <w:r w:rsidRPr="003A73B7">
        <w:rPr>
          <w:rFonts w:ascii="Times New Roman" w:hAnsi="Times New Roman" w:cs="Times New Roman"/>
          <w:b/>
          <w:bCs/>
        </w:rPr>
        <w:t xml:space="preserve">SPSS </w:t>
      </w:r>
      <w:r w:rsidRPr="003A73B7">
        <w:rPr>
          <w:rFonts w:ascii="Times New Roman" w:hAnsi="Times New Roman" w:cs="Times New Roman"/>
          <w:b/>
          <w:bCs/>
        </w:rPr>
        <w:t>Visual</w:t>
      </w:r>
      <w:r w:rsidRPr="003A73B7">
        <w:rPr>
          <w:rFonts w:ascii="Times New Roman" w:hAnsi="Times New Roman" w:cs="Times New Roman"/>
          <w:b/>
          <w:bCs/>
        </w:rPr>
        <w:t>s</w:t>
      </w:r>
    </w:p>
    <w:p w14:paraId="47E40494" w14:textId="0F57E642" w:rsidR="003A73B7" w:rsidRPr="003A73B7" w:rsidRDefault="003A73B7" w:rsidP="003A73B7">
      <w:pPr>
        <w:spacing w:line="480" w:lineRule="auto"/>
        <w:ind w:firstLine="720"/>
        <w:rPr>
          <w:rFonts w:ascii="Times New Roman" w:hAnsi="Times New Roman" w:cs="Times New Roman"/>
        </w:rPr>
      </w:pPr>
      <w:r w:rsidRPr="003A73B7">
        <w:rPr>
          <w:rFonts w:ascii="Times New Roman" w:hAnsi="Times New Roman" w:cs="Times New Roman"/>
        </w:rPr>
        <w:t xml:space="preserve">The High School Longitudinal Study (HSLS) dataset was used for this analysis. As required, the </w:t>
      </w:r>
      <w:proofErr w:type="gramStart"/>
      <w:r w:rsidRPr="003A73B7">
        <w:rPr>
          <w:rFonts w:ascii="Times New Roman" w:hAnsi="Times New Roman" w:cs="Times New Roman"/>
        </w:rPr>
        <w:t>mean</w:t>
      </w:r>
      <w:proofErr w:type="gramEnd"/>
      <w:r w:rsidRPr="003A73B7">
        <w:rPr>
          <w:rFonts w:ascii="Times New Roman" w:hAnsi="Times New Roman" w:cs="Times New Roman"/>
        </w:rPr>
        <w:t xml:space="preserve"> of the selected continuous variable was reported. The descriptive statistics showed that the mean on the TAVI Scale of counselors' perceptions of principals' expectations was -1.09 (M = -1.09, SD = 3.05, N = 944). Visual displays were used in SPSS to investigate two variables. The categorical variable chosen was X1 School Locale (Urbanicity), and the continuous variable chosen was W1 Base Year School Analytic Weight. A bar chart was used to plot the informativeness of school locale, and a histogram was used to explore the distribution of the analytical weight variable.</w:t>
      </w:r>
    </w:p>
    <w:p w14:paraId="11907756" w14:textId="77777777" w:rsidR="003A73B7" w:rsidRPr="003A73B7" w:rsidRDefault="003A73B7" w:rsidP="003A73B7">
      <w:pPr>
        <w:spacing w:line="480" w:lineRule="auto"/>
        <w:ind w:firstLine="720"/>
        <w:rPr>
          <w:rFonts w:ascii="Times New Roman" w:hAnsi="Times New Roman" w:cs="Times New Roman"/>
        </w:rPr>
      </w:pPr>
      <w:r w:rsidRPr="003A73B7">
        <w:rPr>
          <w:rFonts w:ascii="Times New Roman" w:hAnsi="Times New Roman" w:cs="Times New Roman"/>
        </w:rPr>
        <w:t xml:space="preserve">The bar chart for school </w:t>
      </w:r>
      <w:proofErr w:type="gramStart"/>
      <w:r w:rsidRPr="003A73B7">
        <w:rPr>
          <w:rFonts w:ascii="Times New Roman" w:hAnsi="Times New Roman" w:cs="Times New Roman"/>
        </w:rPr>
        <w:t>locale</w:t>
      </w:r>
      <w:proofErr w:type="gramEnd"/>
      <w:r w:rsidRPr="003A73B7">
        <w:rPr>
          <w:rFonts w:ascii="Times New Roman" w:hAnsi="Times New Roman" w:cs="Times New Roman"/>
        </w:rPr>
        <w:t xml:space="preserve"> reveals that there were several types of school </w:t>
      </w:r>
      <w:proofErr w:type="gramStart"/>
      <w:r w:rsidRPr="003A73B7">
        <w:rPr>
          <w:rFonts w:ascii="Times New Roman" w:hAnsi="Times New Roman" w:cs="Times New Roman"/>
        </w:rPr>
        <w:t>locale</w:t>
      </w:r>
      <w:proofErr w:type="gramEnd"/>
      <w:r w:rsidRPr="003A73B7">
        <w:rPr>
          <w:rFonts w:ascii="Times New Roman" w:hAnsi="Times New Roman" w:cs="Times New Roman"/>
        </w:rPr>
        <w:t xml:space="preserve">, of which the second type accounted for the highest proportion of schools, while the lowest proportion of schools accounted for the third type of school locale. This implies that there is some difference among the geographic contexts of the schools in the study. The histogram of the W1 Base Year School Analytic Weight shows a very skewed distribution with a positive skew. </w:t>
      </w:r>
      <w:proofErr w:type="gramStart"/>
      <w:r w:rsidRPr="003A73B7">
        <w:rPr>
          <w:rFonts w:ascii="Times New Roman" w:hAnsi="Times New Roman" w:cs="Times New Roman"/>
        </w:rPr>
        <w:t>The majority of</w:t>
      </w:r>
      <w:proofErr w:type="gramEnd"/>
      <w:r w:rsidRPr="003A73B7">
        <w:rPr>
          <w:rFonts w:ascii="Times New Roman" w:hAnsi="Times New Roman" w:cs="Times New Roman"/>
        </w:rPr>
        <w:t xml:space="preserve"> observations are near the lower end of the weight values (left tail), and a few schools have much higher weights (long right tail). The mean weight was around 24.39 and the standard deviation 49.41, suggesting that there was a relatively great variation between school scores in the sample.</w:t>
      </w:r>
    </w:p>
    <w:p w14:paraId="6E3EE259" w14:textId="77777777" w:rsidR="003A73B7" w:rsidRPr="003A73B7" w:rsidRDefault="003A73B7" w:rsidP="003A73B7">
      <w:pPr>
        <w:spacing w:line="480" w:lineRule="auto"/>
        <w:ind w:firstLine="720"/>
        <w:rPr>
          <w:rFonts w:ascii="Times New Roman" w:hAnsi="Times New Roman" w:cs="Times New Roman"/>
        </w:rPr>
      </w:pPr>
      <w:r w:rsidRPr="003A73B7">
        <w:rPr>
          <w:rFonts w:ascii="Times New Roman" w:hAnsi="Times New Roman" w:cs="Times New Roman"/>
        </w:rPr>
        <w:t>Findings have implications for social change in that they show variations in educational contexts and representation in the HSLS dataset. The school density map of community types can be used to pinpoint areas in which educational resources and/or educational support services could be most beneficial. Furthermore, for understanding educational data and for policy development, it is crucial to be aware of the unequal distribution of analytic weights. These data-</w:t>
      </w:r>
      <w:r w:rsidRPr="003A73B7">
        <w:rPr>
          <w:rFonts w:ascii="Times New Roman" w:hAnsi="Times New Roman" w:cs="Times New Roman"/>
        </w:rPr>
        <w:lastRenderedPageBreak/>
        <w:t>driven insights have the potential to drive a more equitable educational system, efficient resource distribution, and a more informed approach to providing education services to students from varied geographies and socioeconomic backgrounds.</w:t>
      </w:r>
    </w:p>
    <w:p w14:paraId="68DBA846" w14:textId="77777777" w:rsidR="003A73B7" w:rsidRPr="003A73B7" w:rsidRDefault="003A73B7" w:rsidP="003A73B7">
      <w:pPr>
        <w:spacing w:line="480" w:lineRule="auto"/>
        <w:rPr>
          <w:rFonts w:ascii="Times New Roman" w:hAnsi="Times New Roman" w:cs="Times New Roma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283"/>
        <w:gridCol w:w="670"/>
        <w:gridCol w:w="1021"/>
        <w:gridCol w:w="1060"/>
        <w:gridCol w:w="1016"/>
        <w:gridCol w:w="1310"/>
      </w:tblGrid>
      <w:tr w:rsidR="003A73B7" w:rsidRPr="003A73B7" w14:paraId="5B75B52F" w14:textId="77777777">
        <w:trPr>
          <w:tblHeader/>
          <w:tblCellSpacing w:w="15" w:type="dxa"/>
        </w:trPr>
        <w:tc>
          <w:tcPr>
            <w:tcW w:w="0" w:type="auto"/>
            <w:gridSpan w:val="6"/>
            <w:tcBorders>
              <w:top w:val="nil"/>
              <w:left w:val="nil"/>
              <w:bottom w:val="nil"/>
              <w:right w:val="nil"/>
            </w:tcBorders>
            <w:tcMar>
              <w:top w:w="60" w:type="dxa"/>
              <w:left w:w="120" w:type="dxa"/>
              <w:bottom w:w="20" w:type="dxa"/>
              <w:right w:w="160" w:type="dxa"/>
            </w:tcMar>
            <w:vAlign w:val="center"/>
            <w:hideMark/>
          </w:tcPr>
          <w:p w14:paraId="6D366962" w14:textId="77777777" w:rsidR="003A73B7" w:rsidRPr="003A73B7" w:rsidRDefault="003A73B7" w:rsidP="003A73B7">
            <w:pPr>
              <w:spacing w:line="480" w:lineRule="auto"/>
              <w:rPr>
                <w:rFonts w:ascii="Times New Roman" w:hAnsi="Times New Roman" w:cs="Times New Roman"/>
                <w:b/>
                <w:bCs/>
              </w:rPr>
            </w:pPr>
            <w:r w:rsidRPr="003A73B7">
              <w:rPr>
                <w:rFonts w:ascii="Times New Roman" w:hAnsi="Times New Roman" w:cs="Times New Roman"/>
                <w:b/>
                <w:bCs/>
              </w:rPr>
              <w:t>Descriptive Statistics</w:t>
            </w:r>
          </w:p>
        </w:tc>
      </w:tr>
      <w:tr w:rsidR="003A73B7" w:rsidRPr="003A73B7" w14:paraId="5B83E6E8" w14:textId="77777777">
        <w:trPr>
          <w:tblHeader/>
          <w:tblCellSpacing w:w="15" w:type="dxa"/>
        </w:trPr>
        <w:tc>
          <w:tcPr>
            <w:tcW w:w="0" w:type="auto"/>
            <w:shd w:val="clear" w:color="auto" w:fill="FFFFFF"/>
            <w:tcMar>
              <w:top w:w="60" w:type="dxa"/>
              <w:left w:w="120" w:type="dxa"/>
              <w:bottom w:w="20" w:type="dxa"/>
              <w:right w:w="160" w:type="dxa"/>
            </w:tcMar>
            <w:vAlign w:val="bottom"/>
            <w:hideMark/>
          </w:tcPr>
          <w:p w14:paraId="4DB4AB28"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 </w:t>
            </w:r>
          </w:p>
        </w:tc>
        <w:tc>
          <w:tcPr>
            <w:tcW w:w="0" w:type="auto"/>
            <w:shd w:val="clear" w:color="auto" w:fill="FFFFFF"/>
            <w:vAlign w:val="center"/>
            <w:hideMark/>
          </w:tcPr>
          <w:p w14:paraId="27170AA1"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N</w:t>
            </w:r>
          </w:p>
        </w:tc>
        <w:tc>
          <w:tcPr>
            <w:tcW w:w="0" w:type="auto"/>
            <w:shd w:val="clear" w:color="auto" w:fill="FFFFFF"/>
            <w:vAlign w:val="center"/>
            <w:hideMark/>
          </w:tcPr>
          <w:p w14:paraId="39FF87F3"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Minimum</w:t>
            </w:r>
          </w:p>
        </w:tc>
        <w:tc>
          <w:tcPr>
            <w:tcW w:w="0" w:type="auto"/>
            <w:shd w:val="clear" w:color="auto" w:fill="FFFFFF"/>
            <w:vAlign w:val="center"/>
            <w:hideMark/>
          </w:tcPr>
          <w:p w14:paraId="1B0F375E"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Maximum</w:t>
            </w:r>
          </w:p>
        </w:tc>
        <w:tc>
          <w:tcPr>
            <w:tcW w:w="0" w:type="auto"/>
            <w:shd w:val="clear" w:color="auto" w:fill="FFFFFF"/>
            <w:vAlign w:val="center"/>
            <w:hideMark/>
          </w:tcPr>
          <w:p w14:paraId="31CBCC91"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Mean</w:t>
            </w:r>
          </w:p>
        </w:tc>
        <w:tc>
          <w:tcPr>
            <w:tcW w:w="0" w:type="auto"/>
            <w:shd w:val="clear" w:color="auto" w:fill="FFFFFF"/>
            <w:vAlign w:val="center"/>
            <w:hideMark/>
          </w:tcPr>
          <w:p w14:paraId="7273B216"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Std. Deviation</w:t>
            </w:r>
          </w:p>
        </w:tc>
      </w:tr>
      <w:tr w:rsidR="003A73B7" w:rsidRPr="003A73B7" w14:paraId="67957016" w14:textId="77777777">
        <w:trPr>
          <w:tblCellSpacing w:w="15" w:type="dxa"/>
        </w:trPr>
        <w:tc>
          <w:tcPr>
            <w:tcW w:w="0" w:type="auto"/>
            <w:shd w:val="clear" w:color="auto" w:fill="E0E0E0"/>
            <w:tcMar>
              <w:top w:w="60" w:type="dxa"/>
              <w:left w:w="120" w:type="dxa"/>
              <w:bottom w:w="40" w:type="dxa"/>
              <w:right w:w="160" w:type="dxa"/>
            </w:tcMar>
            <w:hideMark/>
          </w:tcPr>
          <w:p w14:paraId="6E3E484A"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X1 Scale of counselor's perceptions of principal's expectations</w:t>
            </w:r>
          </w:p>
        </w:tc>
        <w:tc>
          <w:tcPr>
            <w:tcW w:w="0" w:type="auto"/>
            <w:shd w:val="clear" w:color="auto" w:fill="F9F9FB"/>
            <w:tcMar>
              <w:top w:w="60" w:type="dxa"/>
              <w:left w:w="120" w:type="dxa"/>
              <w:bottom w:w="40" w:type="dxa"/>
              <w:right w:w="160" w:type="dxa"/>
            </w:tcMar>
            <w:hideMark/>
          </w:tcPr>
          <w:p w14:paraId="6668424E"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944</w:t>
            </w:r>
          </w:p>
        </w:tc>
        <w:tc>
          <w:tcPr>
            <w:tcW w:w="0" w:type="auto"/>
            <w:shd w:val="clear" w:color="auto" w:fill="F9F9FB"/>
            <w:tcMar>
              <w:top w:w="60" w:type="dxa"/>
              <w:left w:w="120" w:type="dxa"/>
              <w:bottom w:w="40" w:type="dxa"/>
              <w:right w:w="160" w:type="dxa"/>
            </w:tcMar>
            <w:hideMark/>
          </w:tcPr>
          <w:p w14:paraId="48C49B41"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-9.00</w:t>
            </w:r>
          </w:p>
        </w:tc>
        <w:tc>
          <w:tcPr>
            <w:tcW w:w="0" w:type="auto"/>
            <w:shd w:val="clear" w:color="auto" w:fill="F9F9FB"/>
            <w:tcMar>
              <w:top w:w="60" w:type="dxa"/>
              <w:left w:w="120" w:type="dxa"/>
              <w:bottom w:w="40" w:type="dxa"/>
              <w:right w:w="160" w:type="dxa"/>
            </w:tcMar>
            <w:hideMark/>
          </w:tcPr>
          <w:p w14:paraId="3984DC30"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1.10</w:t>
            </w:r>
          </w:p>
        </w:tc>
        <w:tc>
          <w:tcPr>
            <w:tcW w:w="0" w:type="auto"/>
            <w:shd w:val="clear" w:color="auto" w:fill="F9F9FB"/>
            <w:tcMar>
              <w:top w:w="60" w:type="dxa"/>
              <w:left w:w="120" w:type="dxa"/>
              <w:bottom w:w="40" w:type="dxa"/>
              <w:right w:w="160" w:type="dxa"/>
            </w:tcMar>
            <w:hideMark/>
          </w:tcPr>
          <w:p w14:paraId="38FFF388"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-1.0886</w:t>
            </w:r>
          </w:p>
        </w:tc>
        <w:tc>
          <w:tcPr>
            <w:tcW w:w="0" w:type="auto"/>
            <w:shd w:val="clear" w:color="auto" w:fill="F9F9FB"/>
            <w:tcMar>
              <w:top w:w="60" w:type="dxa"/>
              <w:left w:w="120" w:type="dxa"/>
              <w:bottom w:w="40" w:type="dxa"/>
              <w:right w:w="160" w:type="dxa"/>
            </w:tcMar>
            <w:hideMark/>
          </w:tcPr>
          <w:p w14:paraId="4E2E76EE"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3.04671</w:t>
            </w:r>
          </w:p>
        </w:tc>
      </w:tr>
      <w:tr w:rsidR="003A73B7" w:rsidRPr="003A73B7" w14:paraId="67EC21F1" w14:textId="77777777">
        <w:trPr>
          <w:tblCellSpacing w:w="15" w:type="dxa"/>
        </w:trPr>
        <w:tc>
          <w:tcPr>
            <w:tcW w:w="0" w:type="auto"/>
            <w:shd w:val="clear" w:color="auto" w:fill="E0E0E0"/>
            <w:tcMar>
              <w:top w:w="60" w:type="dxa"/>
              <w:left w:w="120" w:type="dxa"/>
              <w:bottom w:w="40" w:type="dxa"/>
              <w:right w:w="160" w:type="dxa"/>
            </w:tcMar>
            <w:hideMark/>
          </w:tcPr>
          <w:p w14:paraId="6AF9DDD9"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Valid N (listwise)</w:t>
            </w:r>
          </w:p>
        </w:tc>
        <w:tc>
          <w:tcPr>
            <w:tcW w:w="0" w:type="auto"/>
            <w:shd w:val="clear" w:color="auto" w:fill="F9F9FB"/>
            <w:tcMar>
              <w:top w:w="60" w:type="dxa"/>
              <w:left w:w="120" w:type="dxa"/>
              <w:bottom w:w="40" w:type="dxa"/>
              <w:right w:w="160" w:type="dxa"/>
            </w:tcMar>
            <w:hideMark/>
          </w:tcPr>
          <w:p w14:paraId="0EC0B037"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944</w:t>
            </w:r>
          </w:p>
        </w:tc>
        <w:tc>
          <w:tcPr>
            <w:tcW w:w="0" w:type="auto"/>
            <w:shd w:val="clear" w:color="auto" w:fill="F9F9FB"/>
            <w:tcMar>
              <w:top w:w="60" w:type="dxa"/>
              <w:left w:w="120" w:type="dxa"/>
              <w:bottom w:w="40" w:type="dxa"/>
              <w:right w:w="160" w:type="dxa"/>
            </w:tcMar>
            <w:hideMark/>
          </w:tcPr>
          <w:p w14:paraId="1134F47E"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 </w:t>
            </w:r>
          </w:p>
        </w:tc>
        <w:tc>
          <w:tcPr>
            <w:tcW w:w="0" w:type="auto"/>
            <w:shd w:val="clear" w:color="auto" w:fill="F9F9FB"/>
            <w:tcMar>
              <w:top w:w="60" w:type="dxa"/>
              <w:left w:w="120" w:type="dxa"/>
              <w:bottom w:w="40" w:type="dxa"/>
              <w:right w:w="160" w:type="dxa"/>
            </w:tcMar>
            <w:hideMark/>
          </w:tcPr>
          <w:p w14:paraId="37943654"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 </w:t>
            </w:r>
          </w:p>
        </w:tc>
        <w:tc>
          <w:tcPr>
            <w:tcW w:w="0" w:type="auto"/>
            <w:shd w:val="clear" w:color="auto" w:fill="F9F9FB"/>
            <w:tcMar>
              <w:top w:w="60" w:type="dxa"/>
              <w:left w:w="120" w:type="dxa"/>
              <w:bottom w:w="40" w:type="dxa"/>
              <w:right w:w="160" w:type="dxa"/>
            </w:tcMar>
            <w:hideMark/>
          </w:tcPr>
          <w:p w14:paraId="4BF502F7"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 </w:t>
            </w:r>
          </w:p>
        </w:tc>
        <w:tc>
          <w:tcPr>
            <w:tcW w:w="0" w:type="auto"/>
            <w:shd w:val="clear" w:color="auto" w:fill="F9F9FB"/>
            <w:tcMar>
              <w:top w:w="60" w:type="dxa"/>
              <w:left w:w="120" w:type="dxa"/>
              <w:bottom w:w="40" w:type="dxa"/>
              <w:right w:w="160" w:type="dxa"/>
            </w:tcMar>
            <w:hideMark/>
          </w:tcPr>
          <w:p w14:paraId="117F9E64" w14:textId="77777777"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t> </w:t>
            </w:r>
          </w:p>
        </w:tc>
      </w:tr>
    </w:tbl>
    <w:p w14:paraId="66FFD3E8" w14:textId="77777777" w:rsidR="00C80973" w:rsidRPr="003A73B7" w:rsidRDefault="00C80973" w:rsidP="003A73B7">
      <w:pPr>
        <w:spacing w:line="480" w:lineRule="auto"/>
        <w:rPr>
          <w:rFonts w:ascii="Times New Roman" w:hAnsi="Times New Roman" w:cs="Times New Roman"/>
        </w:rPr>
      </w:pPr>
    </w:p>
    <w:p w14:paraId="32A06DF8" w14:textId="77777777" w:rsidR="003A73B7" w:rsidRPr="003A73B7" w:rsidRDefault="003A73B7" w:rsidP="003A73B7">
      <w:pPr>
        <w:spacing w:line="480" w:lineRule="auto"/>
        <w:rPr>
          <w:rFonts w:ascii="Times New Roman" w:hAnsi="Times New Roman" w:cs="Times New Roman"/>
        </w:rPr>
      </w:pPr>
    </w:p>
    <w:p w14:paraId="5174B8F3" w14:textId="30A8C41E"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lastRenderedPageBreak/>
        <w:drawing>
          <wp:inline distT="0" distB="0" distL="0" distR="0" wp14:anchorId="05E8DD0C" wp14:editId="1FFC6483">
            <wp:extent cx="5943600" cy="3495675"/>
            <wp:effectExtent l="0" t="0" r="0" b="9525"/>
            <wp:docPr id="227151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05E826D6" w14:textId="77777777" w:rsidR="003A73B7" w:rsidRPr="003A73B7" w:rsidRDefault="003A73B7" w:rsidP="003A73B7">
      <w:pPr>
        <w:spacing w:line="480" w:lineRule="auto"/>
        <w:rPr>
          <w:rFonts w:ascii="Times New Roman" w:hAnsi="Times New Roman" w:cs="Times New Roman"/>
        </w:rPr>
      </w:pPr>
    </w:p>
    <w:p w14:paraId="36268A14" w14:textId="77777777" w:rsidR="003A73B7" w:rsidRPr="003A73B7" w:rsidRDefault="003A73B7" w:rsidP="003A73B7">
      <w:pPr>
        <w:spacing w:line="480" w:lineRule="auto"/>
        <w:rPr>
          <w:rFonts w:ascii="Times New Roman" w:hAnsi="Times New Roman" w:cs="Times New Roman"/>
        </w:rPr>
      </w:pPr>
    </w:p>
    <w:p w14:paraId="309D5253" w14:textId="37782399" w:rsidR="003A73B7" w:rsidRPr="003A73B7" w:rsidRDefault="003A73B7" w:rsidP="003A73B7">
      <w:pPr>
        <w:spacing w:line="480" w:lineRule="auto"/>
        <w:rPr>
          <w:rFonts w:ascii="Times New Roman" w:hAnsi="Times New Roman" w:cs="Times New Roman"/>
        </w:rPr>
      </w:pPr>
      <w:r w:rsidRPr="003A73B7">
        <w:rPr>
          <w:rFonts w:ascii="Times New Roman" w:hAnsi="Times New Roman" w:cs="Times New Roman"/>
        </w:rPr>
        <w:drawing>
          <wp:inline distT="0" distB="0" distL="0" distR="0" wp14:anchorId="57612434" wp14:editId="445D9928">
            <wp:extent cx="5431809" cy="3194670"/>
            <wp:effectExtent l="0" t="0" r="0" b="6350"/>
            <wp:docPr id="687064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0545" cy="3199808"/>
                    </a:xfrm>
                    <a:prstGeom prst="rect">
                      <a:avLst/>
                    </a:prstGeom>
                    <a:noFill/>
                    <a:ln>
                      <a:noFill/>
                    </a:ln>
                  </pic:spPr>
                </pic:pic>
              </a:graphicData>
            </a:graphic>
          </wp:inline>
        </w:drawing>
      </w:r>
    </w:p>
    <w:sectPr w:rsidR="003A73B7" w:rsidRPr="003A7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B7"/>
    <w:rsid w:val="001646A1"/>
    <w:rsid w:val="003A023B"/>
    <w:rsid w:val="003A73B7"/>
    <w:rsid w:val="00547E9C"/>
    <w:rsid w:val="005D4432"/>
    <w:rsid w:val="00626DFD"/>
    <w:rsid w:val="006B0659"/>
    <w:rsid w:val="007B38D8"/>
    <w:rsid w:val="00B370CF"/>
    <w:rsid w:val="00BB11BD"/>
    <w:rsid w:val="00C65C80"/>
    <w:rsid w:val="00C80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5091"/>
  <w15:chartTrackingRefBased/>
  <w15:docId w15:val="{45ED1C07-E525-4864-A564-29C03B7C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3B7"/>
    <w:rPr>
      <w:rFonts w:eastAsiaTheme="majorEastAsia" w:cstheme="majorBidi"/>
      <w:color w:val="272727" w:themeColor="text1" w:themeTint="D8"/>
    </w:rPr>
  </w:style>
  <w:style w:type="paragraph" w:styleId="Title">
    <w:name w:val="Title"/>
    <w:basedOn w:val="Normal"/>
    <w:next w:val="Normal"/>
    <w:link w:val="TitleChar"/>
    <w:uiPriority w:val="10"/>
    <w:qFormat/>
    <w:rsid w:val="003A7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3B7"/>
    <w:pPr>
      <w:spacing w:before="160"/>
      <w:jc w:val="center"/>
    </w:pPr>
    <w:rPr>
      <w:i/>
      <w:iCs/>
      <w:color w:val="404040" w:themeColor="text1" w:themeTint="BF"/>
    </w:rPr>
  </w:style>
  <w:style w:type="character" w:customStyle="1" w:styleId="QuoteChar">
    <w:name w:val="Quote Char"/>
    <w:basedOn w:val="DefaultParagraphFont"/>
    <w:link w:val="Quote"/>
    <w:uiPriority w:val="29"/>
    <w:rsid w:val="003A73B7"/>
    <w:rPr>
      <w:i/>
      <w:iCs/>
      <w:color w:val="404040" w:themeColor="text1" w:themeTint="BF"/>
    </w:rPr>
  </w:style>
  <w:style w:type="paragraph" w:styleId="ListParagraph">
    <w:name w:val="List Paragraph"/>
    <w:basedOn w:val="Normal"/>
    <w:uiPriority w:val="34"/>
    <w:qFormat/>
    <w:rsid w:val="003A73B7"/>
    <w:pPr>
      <w:ind w:left="720"/>
      <w:contextualSpacing/>
    </w:pPr>
  </w:style>
  <w:style w:type="character" w:styleId="IntenseEmphasis">
    <w:name w:val="Intense Emphasis"/>
    <w:basedOn w:val="DefaultParagraphFont"/>
    <w:uiPriority w:val="21"/>
    <w:qFormat/>
    <w:rsid w:val="003A73B7"/>
    <w:rPr>
      <w:i/>
      <w:iCs/>
      <w:color w:val="0F4761" w:themeColor="accent1" w:themeShade="BF"/>
    </w:rPr>
  </w:style>
  <w:style w:type="paragraph" w:styleId="IntenseQuote">
    <w:name w:val="Intense Quote"/>
    <w:basedOn w:val="Normal"/>
    <w:next w:val="Normal"/>
    <w:link w:val="IntenseQuoteChar"/>
    <w:uiPriority w:val="30"/>
    <w:qFormat/>
    <w:rsid w:val="003A7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3B7"/>
    <w:rPr>
      <w:i/>
      <w:iCs/>
      <w:color w:val="0F4761" w:themeColor="accent1" w:themeShade="BF"/>
    </w:rPr>
  </w:style>
  <w:style w:type="character" w:styleId="IntenseReference">
    <w:name w:val="Intense Reference"/>
    <w:basedOn w:val="DefaultParagraphFont"/>
    <w:uiPriority w:val="32"/>
    <w:qFormat/>
    <w:rsid w:val="003A7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1</cp:revision>
  <dcterms:created xsi:type="dcterms:W3CDTF">2026-06-14T11:13:00Z</dcterms:created>
  <dcterms:modified xsi:type="dcterms:W3CDTF">2026-06-14T11:21:00Z</dcterms:modified>
</cp:coreProperties>
</file>