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BEBAD" w14:textId="77777777" w:rsidR="005438C2" w:rsidRDefault="005438C2" w:rsidP="005438C2">
      <w:pPr>
        <w:spacing w:line="480" w:lineRule="auto"/>
        <w:jc w:val="center"/>
        <w:rPr>
          <w:rFonts w:ascii="Times New Roman" w:hAnsi="Times New Roman" w:cs="Times New Roman"/>
          <w:b/>
          <w:bCs/>
          <w:sz w:val="24"/>
          <w:szCs w:val="24"/>
        </w:rPr>
      </w:pPr>
    </w:p>
    <w:p w14:paraId="24F4EA1D" w14:textId="77777777" w:rsidR="005438C2" w:rsidRDefault="005438C2" w:rsidP="005438C2">
      <w:pPr>
        <w:spacing w:line="480" w:lineRule="auto"/>
        <w:jc w:val="center"/>
        <w:rPr>
          <w:rFonts w:ascii="Times New Roman" w:hAnsi="Times New Roman" w:cs="Times New Roman"/>
          <w:b/>
          <w:bCs/>
          <w:sz w:val="24"/>
          <w:szCs w:val="24"/>
        </w:rPr>
      </w:pPr>
    </w:p>
    <w:p w14:paraId="64564C46" w14:textId="77777777" w:rsidR="005438C2" w:rsidRDefault="005438C2" w:rsidP="005438C2">
      <w:pPr>
        <w:spacing w:line="480" w:lineRule="auto"/>
        <w:jc w:val="center"/>
        <w:rPr>
          <w:rFonts w:ascii="Times New Roman" w:hAnsi="Times New Roman" w:cs="Times New Roman"/>
          <w:b/>
          <w:bCs/>
          <w:sz w:val="24"/>
          <w:szCs w:val="24"/>
        </w:rPr>
      </w:pPr>
    </w:p>
    <w:p w14:paraId="65DDE80A" w14:textId="77777777" w:rsidR="005438C2" w:rsidRDefault="005438C2" w:rsidP="005438C2">
      <w:pPr>
        <w:spacing w:line="480" w:lineRule="auto"/>
        <w:rPr>
          <w:rFonts w:ascii="Times New Roman" w:hAnsi="Times New Roman" w:cs="Times New Roman"/>
          <w:b/>
          <w:bCs/>
          <w:sz w:val="24"/>
          <w:szCs w:val="24"/>
        </w:rPr>
      </w:pPr>
    </w:p>
    <w:p w14:paraId="78AF6962" w14:textId="77777777" w:rsidR="005438C2" w:rsidRDefault="005438C2" w:rsidP="005438C2">
      <w:pPr>
        <w:spacing w:line="480" w:lineRule="auto"/>
        <w:jc w:val="center"/>
        <w:rPr>
          <w:rFonts w:ascii="Times New Roman" w:hAnsi="Times New Roman" w:cs="Times New Roman"/>
          <w:b/>
          <w:bCs/>
          <w:sz w:val="24"/>
          <w:szCs w:val="24"/>
        </w:rPr>
      </w:pPr>
    </w:p>
    <w:p w14:paraId="294A7665" w14:textId="77777777" w:rsidR="005438C2" w:rsidRDefault="005438C2" w:rsidP="005438C2">
      <w:pPr>
        <w:spacing w:line="480" w:lineRule="auto"/>
        <w:jc w:val="center"/>
        <w:rPr>
          <w:rFonts w:ascii="Times New Roman" w:hAnsi="Times New Roman" w:cs="Times New Roman"/>
          <w:b/>
          <w:bCs/>
          <w:sz w:val="24"/>
          <w:szCs w:val="24"/>
        </w:rPr>
      </w:pPr>
    </w:p>
    <w:p w14:paraId="6C7A79BA" w14:textId="77777777" w:rsidR="005438C2" w:rsidRDefault="00000000" w:rsidP="005438C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Revenue Recognition and Goodwill Impairment Analysis</w:t>
      </w:r>
    </w:p>
    <w:p w14:paraId="67C6CB3F" w14:textId="77777777" w:rsidR="005438C2" w:rsidRDefault="005438C2" w:rsidP="005438C2">
      <w:pPr>
        <w:spacing w:line="480" w:lineRule="auto"/>
        <w:jc w:val="center"/>
        <w:rPr>
          <w:rFonts w:ascii="Times New Roman" w:hAnsi="Times New Roman" w:cs="Times New Roman"/>
          <w:b/>
          <w:bCs/>
          <w:sz w:val="24"/>
          <w:szCs w:val="24"/>
        </w:rPr>
      </w:pPr>
    </w:p>
    <w:p w14:paraId="7583CB6C" w14:textId="77777777" w:rsidR="005438C2" w:rsidRPr="005438C2" w:rsidRDefault="00000000" w:rsidP="005438C2">
      <w:pPr>
        <w:spacing w:line="480" w:lineRule="auto"/>
        <w:jc w:val="center"/>
        <w:rPr>
          <w:rFonts w:ascii="Times New Roman" w:hAnsi="Times New Roman" w:cs="Times New Roman"/>
          <w:sz w:val="24"/>
          <w:szCs w:val="24"/>
        </w:rPr>
      </w:pPr>
      <w:r w:rsidRPr="005438C2">
        <w:rPr>
          <w:rFonts w:ascii="Times New Roman" w:hAnsi="Times New Roman" w:cs="Times New Roman"/>
          <w:sz w:val="24"/>
          <w:szCs w:val="24"/>
        </w:rPr>
        <w:t>Student Name</w:t>
      </w:r>
    </w:p>
    <w:p w14:paraId="645D9C84" w14:textId="77777777" w:rsidR="005438C2" w:rsidRPr="005438C2" w:rsidRDefault="00000000" w:rsidP="005438C2">
      <w:pPr>
        <w:spacing w:line="480" w:lineRule="auto"/>
        <w:jc w:val="center"/>
        <w:rPr>
          <w:rFonts w:ascii="Times New Roman" w:hAnsi="Times New Roman" w:cs="Times New Roman"/>
          <w:sz w:val="24"/>
          <w:szCs w:val="24"/>
        </w:rPr>
      </w:pPr>
      <w:r w:rsidRPr="005438C2">
        <w:rPr>
          <w:rFonts w:ascii="Times New Roman" w:hAnsi="Times New Roman" w:cs="Times New Roman"/>
          <w:sz w:val="24"/>
          <w:szCs w:val="24"/>
        </w:rPr>
        <w:t>Affiliation</w:t>
      </w:r>
    </w:p>
    <w:p w14:paraId="3C77B73F" w14:textId="77777777" w:rsidR="005438C2" w:rsidRPr="005438C2" w:rsidRDefault="00000000" w:rsidP="005438C2">
      <w:pPr>
        <w:spacing w:line="480" w:lineRule="auto"/>
        <w:jc w:val="center"/>
        <w:rPr>
          <w:rFonts w:ascii="Times New Roman" w:hAnsi="Times New Roman" w:cs="Times New Roman"/>
          <w:sz w:val="24"/>
          <w:szCs w:val="24"/>
        </w:rPr>
      </w:pPr>
      <w:r w:rsidRPr="005438C2">
        <w:rPr>
          <w:rFonts w:ascii="Times New Roman" w:hAnsi="Times New Roman" w:cs="Times New Roman"/>
          <w:sz w:val="24"/>
          <w:szCs w:val="24"/>
        </w:rPr>
        <w:t>Course Number, Course Name</w:t>
      </w:r>
    </w:p>
    <w:p w14:paraId="2E4D776B" w14:textId="77777777" w:rsidR="005438C2" w:rsidRPr="005438C2" w:rsidRDefault="00000000" w:rsidP="005438C2">
      <w:pPr>
        <w:spacing w:line="480" w:lineRule="auto"/>
        <w:jc w:val="center"/>
        <w:rPr>
          <w:rFonts w:ascii="Times New Roman" w:hAnsi="Times New Roman" w:cs="Times New Roman"/>
          <w:sz w:val="24"/>
          <w:szCs w:val="24"/>
        </w:rPr>
      </w:pPr>
      <w:r w:rsidRPr="005438C2">
        <w:rPr>
          <w:rFonts w:ascii="Times New Roman" w:hAnsi="Times New Roman" w:cs="Times New Roman"/>
          <w:sz w:val="24"/>
          <w:szCs w:val="24"/>
        </w:rPr>
        <w:t>Instructor’s Name</w:t>
      </w:r>
    </w:p>
    <w:p w14:paraId="37D7D73C" w14:textId="786648D8" w:rsidR="005438C2" w:rsidRDefault="00000000" w:rsidP="005438C2">
      <w:pPr>
        <w:spacing w:line="480" w:lineRule="auto"/>
        <w:jc w:val="center"/>
        <w:rPr>
          <w:rFonts w:ascii="Times New Roman" w:hAnsi="Times New Roman" w:cs="Times New Roman"/>
          <w:b/>
          <w:bCs/>
          <w:sz w:val="24"/>
          <w:szCs w:val="24"/>
        </w:rPr>
      </w:pPr>
      <w:r w:rsidRPr="005438C2">
        <w:rPr>
          <w:rFonts w:ascii="Times New Roman" w:hAnsi="Times New Roman" w:cs="Times New Roman"/>
          <w:sz w:val="24"/>
          <w:szCs w:val="24"/>
        </w:rPr>
        <w:t>Due Date</w:t>
      </w:r>
      <w:r>
        <w:rPr>
          <w:rFonts w:ascii="Times New Roman" w:hAnsi="Times New Roman" w:cs="Times New Roman"/>
          <w:b/>
          <w:bCs/>
          <w:sz w:val="24"/>
          <w:szCs w:val="24"/>
        </w:rPr>
        <w:br w:type="page"/>
      </w:r>
    </w:p>
    <w:p w14:paraId="58785DA9" w14:textId="45931D4C" w:rsidR="00AE3CF1" w:rsidRPr="008F754D" w:rsidRDefault="00000000" w:rsidP="005438C2">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lastRenderedPageBreak/>
        <w:t>Task 1: Accounting, Research and Revenue Recognition</w:t>
      </w:r>
    </w:p>
    <w:p w14:paraId="0AC7D918" w14:textId="5BE23FB1" w:rsidR="00DD4D83" w:rsidRPr="008F754D" w:rsidRDefault="00000000" w:rsidP="005438C2">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t>Identifying Accounting Issues Related to Revenue Recognition</w:t>
      </w:r>
    </w:p>
    <w:p w14:paraId="4D348ADF" w14:textId="1234B31B" w:rsidR="00DD4D83"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Characteristics of the Agreement</w:t>
      </w:r>
    </w:p>
    <w:p w14:paraId="764E3BB1"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To resell Model E computers, KTSB Manufacturing and Distribution Company Inc. has reached an agreement with Ramesses II. The deal includes several critical terms that affect how revenue is recognized under accounting standards:</w:t>
      </w:r>
    </w:p>
    <w:p w14:paraId="46C47CBE" w14:textId="59142EA4"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Purchase Terms</w:t>
      </w:r>
    </w:p>
    <w:p w14:paraId="761A5BEF"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On August 23, KTSB agreed to sell 300 Units of Model E computers to Ramesses II on net 90-day terms. It puts in place a definite line of delivery and obligations.</w:t>
      </w:r>
    </w:p>
    <w:p w14:paraId="1E77A51C" w14:textId="1E386F81"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Title Transfer</w:t>
      </w:r>
    </w:p>
    <w:p w14:paraId="2D9B992A"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The legal title of the goods passes to Ramesses II when the goods are delivered. This is an important one because it determines what period the control of the goods passes on to the customer, and hence also determines the period of revenue recognition.</w:t>
      </w:r>
    </w:p>
    <w:p w14:paraId="4DDA720C" w14:textId="5936FD2D"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Return Policy</w:t>
      </w:r>
    </w:p>
    <w:p w14:paraId="6F636896"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Ramesses II can return an unsold product purchased within 90 days of the sale date. The contingent clause of this one deals with how much revenue should be recognized on time.</w:t>
      </w:r>
    </w:p>
    <w:p w14:paraId="47B4B419" w14:textId="23EDA86F"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Coupons</w:t>
      </w:r>
    </w:p>
    <w:p w14:paraId="1645598E"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Model E purchases with a KTSB $100 coupon are good for 90 days. You can use this coupon at the Ramesses II stores, or in the KTSB online store. KTSB will reimburse Ramesses II when he is given financial liability to redeem coupons.</w:t>
      </w:r>
    </w:p>
    <w:p w14:paraId="0B79BA25" w14:textId="4887A157"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lastRenderedPageBreak/>
        <w:t>Gift Card Commissions</w:t>
      </w:r>
    </w:p>
    <w:p w14:paraId="4B967325"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Ramesses II agreed to buy certain gift cards with its own card, with each card sold yielding 3 per cent to KTSB. It's actually a little more than the standard industry rate of 2.5%. The timing will affect the financial statements, and this expense will be recognized.</w:t>
      </w:r>
    </w:p>
    <w:p w14:paraId="79E60CCC" w14:textId="45C25728" w:rsidR="00DD4D83"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Revenue Recognition Issues</w:t>
      </w:r>
    </w:p>
    <w:p w14:paraId="6A5CE24B" w14:textId="77777777" w:rsidR="00277ADC" w:rsidRDefault="00000000" w:rsidP="008F757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The agreement is a feature that introduces several FASB Topic 606 Revenue from Contracts with Customers revenue recognition challenges.</w:t>
      </w:r>
    </w:p>
    <w:p w14:paraId="20794CC7" w14:textId="3B3138CD"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Timing of Revenue Recognition</w:t>
      </w:r>
    </w:p>
    <w:p w14:paraId="100DF16F" w14:textId="77777777" w:rsidR="008F757C" w:rsidRDefault="00000000" w:rsidP="008F757C">
      <w:pPr>
        <w:spacing w:line="480" w:lineRule="auto"/>
        <w:ind w:firstLine="720"/>
        <w:rPr>
          <w:rFonts w:ascii="Times New Roman" w:hAnsi="Times New Roman" w:cs="Times New Roman"/>
          <w:sz w:val="24"/>
          <w:szCs w:val="24"/>
        </w:rPr>
      </w:pPr>
      <w:r w:rsidRPr="008F757C">
        <w:rPr>
          <w:rFonts w:ascii="Times New Roman" w:hAnsi="Times New Roman" w:cs="Times New Roman"/>
          <w:sz w:val="24"/>
          <w:szCs w:val="24"/>
        </w:rPr>
        <w:t>According to the terms of the agreement, the title crosses to Ramesses II on delivery. However, the revenue cannot be fully recognized at shipment due to the fact that since Ramesses II has the right to accept or reject the goods in their warehouses the shipment revenue cannot be recognized. Aicpa (2019) defines this dual condition, as one that should delay revenue until it is confirmed that acceptance will occur, which means that the revenue should be deferred until acceptance is confirmed.</w:t>
      </w:r>
    </w:p>
    <w:p w14:paraId="082506C6" w14:textId="1E0A3387"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Returns and Warranties</w:t>
      </w:r>
      <w:r w:rsidR="008F757C">
        <w:rPr>
          <w:rFonts w:ascii="Times New Roman" w:hAnsi="Times New Roman" w:cs="Times New Roman"/>
          <w:b/>
          <w:bCs/>
          <w:i/>
          <w:iCs/>
          <w:sz w:val="24"/>
          <w:szCs w:val="24"/>
        </w:rPr>
        <w:t xml:space="preserve"> </w:t>
      </w:r>
      <w:r w:rsidR="008F757C" w:rsidRPr="008F754D">
        <w:rPr>
          <w:rFonts w:ascii="Times New Roman" w:hAnsi="Times New Roman" w:cs="Times New Roman"/>
          <w:b/>
          <w:bCs/>
          <w:i/>
          <w:iCs/>
          <w:sz w:val="24"/>
          <w:szCs w:val="24"/>
        </w:rPr>
        <w:t>Handling</w:t>
      </w:r>
    </w:p>
    <w:p w14:paraId="5F9D864B" w14:textId="77777777" w:rsidR="008F757C" w:rsidRDefault="00000000" w:rsidP="008F757C">
      <w:pPr>
        <w:spacing w:line="480" w:lineRule="auto"/>
        <w:ind w:firstLine="720"/>
        <w:rPr>
          <w:rFonts w:ascii="Times New Roman" w:hAnsi="Times New Roman" w:cs="Times New Roman"/>
          <w:b/>
          <w:bCs/>
          <w:i/>
          <w:iCs/>
          <w:sz w:val="24"/>
          <w:szCs w:val="24"/>
        </w:rPr>
      </w:pPr>
      <w:r w:rsidRPr="008F757C">
        <w:rPr>
          <w:rFonts w:ascii="Times New Roman" w:hAnsi="Times New Roman" w:cs="Times New Roman"/>
          <w:sz w:val="24"/>
          <w:szCs w:val="24"/>
        </w:rPr>
        <w:t>Ramesses II has a 90-day unsold goods return policy. This is creating uncertainty over final sales so KTSB must estimate their likely potential returns. According to the guidelines under the FASB, a refund liability, and corresponding adjustments to the revenue liability should be recognized under the FASB guidelines. But, with a three-year warranty of its own, claims with KTSB are comparatively low. A warranty liability and expense should be calculated using the likelihood of claims and the data.</w:t>
      </w:r>
      <w:r w:rsidRPr="008F757C">
        <w:rPr>
          <w:rFonts w:ascii="Times New Roman" w:hAnsi="Times New Roman" w:cs="Times New Roman"/>
          <w:b/>
          <w:bCs/>
          <w:i/>
          <w:iCs/>
          <w:sz w:val="24"/>
          <w:szCs w:val="24"/>
        </w:rPr>
        <w:t xml:space="preserve"> </w:t>
      </w:r>
    </w:p>
    <w:p w14:paraId="1DE6D3CC" w14:textId="029199F1"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lastRenderedPageBreak/>
        <w:t>Coupon Liability</w:t>
      </w:r>
      <w:r w:rsidR="008F757C">
        <w:rPr>
          <w:rFonts w:ascii="Times New Roman" w:hAnsi="Times New Roman" w:cs="Times New Roman"/>
          <w:b/>
          <w:bCs/>
          <w:i/>
          <w:iCs/>
          <w:sz w:val="24"/>
          <w:szCs w:val="24"/>
        </w:rPr>
        <w:t xml:space="preserve"> </w:t>
      </w:r>
      <w:r w:rsidR="008F757C" w:rsidRPr="008F754D">
        <w:rPr>
          <w:rFonts w:ascii="Times New Roman" w:hAnsi="Times New Roman" w:cs="Times New Roman"/>
          <w:b/>
          <w:bCs/>
          <w:i/>
          <w:iCs/>
          <w:sz w:val="24"/>
          <w:szCs w:val="24"/>
        </w:rPr>
        <w:t>Accounting</w:t>
      </w:r>
    </w:p>
    <w:p w14:paraId="682E8C87" w14:textId="77777777" w:rsidR="008F757C" w:rsidRDefault="00000000" w:rsidP="008F757C">
      <w:pPr>
        <w:spacing w:line="480" w:lineRule="auto"/>
        <w:ind w:firstLine="720"/>
        <w:rPr>
          <w:rFonts w:ascii="Times New Roman" w:hAnsi="Times New Roman" w:cs="Times New Roman"/>
          <w:b/>
          <w:bCs/>
          <w:i/>
          <w:iCs/>
          <w:sz w:val="24"/>
          <w:szCs w:val="24"/>
        </w:rPr>
      </w:pPr>
      <w:r w:rsidRPr="008F757C">
        <w:rPr>
          <w:rFonts w:ascii="Times New Roman" w:hAnsi="Times New Roman" w:cs="Times New Roman"/>
          <w:sz w:val="24"/>
          <w:szCs w:val="24"/>
        </w:rPr>
        <w:t>The $100 coupon to customers is a liability. As the coupon value revenue portion has to be deferred from being recognized by KTSB until redemption or expiry, recognition of any other potential revenue generated is dependent upon those results. The redemption of the coupons has to take care of redemption obligations to Ramesses II.</w:t>
      </w:r>
      <w:r w:rsidRPr="008F757C">
        <w:rPr>
          <w:rFonts w:ascii="Times New Roman" w:hAnsi="Times New Roman" w:cs="Times New Roman"/>
          <w:b/>
          <w:bCs/>
          <w:i/>
          <w:iCs/>
          <w:sz w:val="24"/>
          <w:szCs w:val="24"/>
        </w:rPr>
        <w:t xml:space="preserve"> </w:t>
      </w:r>
    </w:p>
    <w:p w14:paraId="3B67218F" w14:textId="6A29FF28" w:rsidR="00DD4D83"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Commission Recognition</w:t>
      </w:r>
    </w:p>
    <w:p w14:paraId="775E4D54" w14:textId="77777777" w:rsidR="008F757C" w:rsidRDefault="00000000" w:rsidP="008F757C">
      <w:pPr>
        <w:spacing w:line="480" w:lineRule="auto"/>
        <w:ind w:firstLine="720"/>
        <w:rPr>
          <w:rFonts w:ascii="Times New Roman" w:hAnsi="Times New Roman" w:cs="Times New Roman"/>
          <w:b/>
          <w:bCs/>
          <w:sz w:val="24"/>
          <w:szCs w:val="24"/>
        </w:rPr>
      </w:pPr>
      <w:r w:rsidRPr="008F757C">
        <w:rPr>
          <w:rFonts w:ascii="Times New Roman" w:hAnsi="Times New Roman" w:cs="Times New Roman"/>
          <w:sz w:val="24"/>
          <w:szCs w:val="24"/>
        </w:rPr>
        <w:t>You should record gift card commissions under the selling expense. The little more than can pass muster as recognition of the industry standard 3% commission comes up short with respect to when the transaction is incurred. You also want to line up and time gift card sales so that whatever you report is not off the record.</w:t>
      </w:r>
      <w:r w:rsidRPr="008F757C">
        <w:rPr>
          <w:rFonts w:ascii="Times New Roman" w:hAnsi="Times New Roman" w:cs="Times New Roman"/>
          <w:b/>
          <w:bCs/>
          <w:sz w:val="24"/>
          <w:szCs w:val="24"/>
        </w:rPr>
        <w:t xml:space="preserve"> </w:t>
      </w:r>
    </w:p>
    <w:p w14:paraId="34E00625" w14:textId="298BE85F" w:rsidR="0032094E" w:rsidRPr="008F754D" w:rsidRDefault="00000000" w:rsidP="005438C2">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t>Memo to KTSB’s Management</w:t>
      </w:r>
    </w:p>
    <w:p w14:paraId="061FE5BE" w14:textId="347F1529" w:rsidR="0032094E"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To: Management, KTSB Manufacturing and Distribution Company</w:t>
      </w:r>
    </w:p>
    <w:p w14:paraId="77F7A1DF" w14:textId="77757E25" w:rsidR="0032094E"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From: Christopher Sorto, Accounting Research Analyst</w:t>
      </w:r>
    </w:p>
    <w:p w14:paraId="3ADB8EEF" w14:textId="53EE8C4F" w:rsidR="0032094E"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Subject: Revenue Recognition Challenges and Recommendations</w:t>
      </w:r>
    </w:p>
    <w:p w14:paraId="18E94D61" w14:textId="3AF9B68D" w:rsidR="0032094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Summary of Relevant Facts</w:t>
      </w:r>
    </w:p>
    <w:p w14:paraId="1CB3282F" w14:textId="77777777" w:rsidR="0032094E"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With Ramesses II, already a good retailer, KTSB Manufacturing has signed a critical deal to sell 300 Model E computers. The agreement outlines several terms that directly impact revenue recognition:</w:t>
      </w:r>
    </w:p>
    <w:p w14:paraId="6BFF88DA" w14:textId="77777777" w:rsidR="0032094E"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Delivery and Acceptance</w:t>
      </w:r>
    </w:p>
    <w:p w14:paraId="073E03AC" w14:textId="1AC0A826" w:rsidR="0032094E"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Delivery is on title, but Ramesses II reserves the right to reject the goods after inspection.</w:t>
      </w:r>
    </w:p>
    <w:p w14:paraId="0196EA0E" w14:textId="77777777" w:rsidR="0032094E"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lastRenderedPageBreak/>
        <w:t>Return Policy</w:t>
      </w:r>
    </w:p>
    <w:p w14:paraId="711F85DE" w14:textId="74098924" w:rsidR="0032094E" w:rsidRPr="008F754D" w:rsidRDefault="00000000" w:rsidP="005438C2">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According to </w:t>
      </w:r>
      <w:r w:rsidRPr="008F754D">
        <w:rPr>
          <w:rFonts w:ascii="Times New Roman" w:hAnsi="Times New Roman" w:cs="Times New Roman"/>
          <w:sz w:val="24"/>
          <w:szCs w:val="24"/>
        </w:rPr>
        <w:t>McNellis</w:t>
      </w:r>
      <w:r w:rsidR="00685AE2">
        <w:rPr>
          <w:rFonts w:ascii="Times New Roman" w:hAnsi="Times New Roman" w:cs="Times New Roman"/>
          <w:sz w:val="24"/>
          <w:szCs w:val="24"/>
        </w:rPr>
        <w:t xml:space="preserve"> et al.</w:t>
      </w:r>
      <w:r w:rsidRPr="008F754D">
        <w:rPr>
          <w:rFonts w:ascii="Times New Roman" w:hAnsi="Times New Roman" w:cs="Times New Roman"/>
          <w:sz w:val="24"/>
          <w:szCs w:val="24"/>
        </w:rPr>
        <w:t xml:space="preserve"> (2020)</w:t>
      </w:r>
      <w:r>
        <w:rPr>
          <w:rFonts w:ascii="Times New Roman" w:hAnsi="Times New Roman" w:cs="Times New Roman"/>
          <w:sz w:val="24"/>
          <w:szCs w:val="24"/>
        </w:rPr>
        <w:t>, t</w:t>
      </w:r>
      <w:r w:rsidRPr="008F754D">
        <w:rPr>
          <w:rFonts w:ascii="Times New Roman" w:hAnsi="Times New Roman" w:cs="Times New Roman"/>
          <w:sz w:val="24"/>
          <w:szCs w:val="24"/>
        </w:rPr>
        <w:t>here is a contingency in sales finality wherein goods can be returned within 90 days, and you can return unsold goods.</w:t>
      </w:r>
    </w:p>
    <w:p w14:paraId="06E71FE5" w14:textId="77777777" w:rsidR="0032094E"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Coupons</w:t>
      </w:r>
    </w:p>
    <w:p w14:paraId="615F922D" w14:textId="556460EC" w:rsidR="0032094E"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Redeemable of a $100 coupon for Model E at Ramesses II or KTSB's website, reimbursement obligations to Ramesses II.</w:t>
      </w:r>
    </w:p>
    <w:p w14:paraId="16EB817E" w14:textId="77777777" w:rsidR="0032094E"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Gift Card Commissions</w:t>
      </w:r>
    </w:p>
    <w:p w14:paraId="2A77C45B" w14:textId="63D38D12" w:rsidR="0032094E"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It is a gift card that Ramesses II sells, using a rate of 3% commission, which is higher than the industry standard.</w:t>
      </w:r>
    </w:p>
    <w:p w14:paraId="714E9811" w14:textId="4FB4A223" w:rsidR="0032094E" w:rsidRPr="008F754D" w:rsidRDefault="00000000" w:rsidP="005438C2">
      <w:pPr>
        <w:spacing w:line="480" w:lineRule="auto"/>
        <w:ind w:firstLine="360"/>
        <w:rPr>
          <w:rFonts w:ascii="Times New Roman" w:hAnsi="Times New Roman" w:cs="Times New Roman"/>
          <w:sz w:val="24"/>
          <w:szCs w:val="24"/>
        </w:rPr>
      </w:pPr>
      <w:r w:rsidRPr="008F754D">
        <w:rPr>
          <w:rFonts w:ascii="Times New Roman" w:hAnsi="Times New Roman" w:cs="Times New Roman"/>
          <w:sz w:val="24"/>
          <w:szCs w:val="24"/>
        </w:rPr>
        <w:t>However, these elements create complications in setting the threshold at which and how revenue will be recognized in compliance with accounting standards.</w:t>
      </w:r>
    </w:p>
    <w:p w14:paraId="1A0F0E7C" w14:textId="321DF6DE" w:rsidR="0032094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Description of Accounting Issues</w:t>
      </w:r>
    </w:p>
    <w:p w14:paraId="7DD04800" w14:textId="34922CBF" w:rsidR="007408C8"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The agreement raises the following revenue recognition challenges:</w:t>
      </w:r>
    </w:p>
    <w:p w14:paraId="3A67328B" w14:textId="66CB6F01" w:rsidR="007408C8"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Timing of Revenue Recognition</w:t>
      </w:r>
    </w:p>
    <w:p w14:paraId="4E45767C" w14:textId="77777777" w:rsidR="007408C8"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The acceptance clause does not allow revenue to be recognized just at delivery. Acceptance may have to be put off until Ramesses II is recognized.</w:t>
      </w:r>
    </w:p>
    <w:p w14:paraId="59DF4A7D" w14:textId="256E6E7A" w:rsidR="007408C8"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Returns and Refunds</w:t>
      </w:r>
    </w:p>
    <w:p w14:paraId="457B459A" w14:textId="77777777" w:rsidR="007408C8"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The return policy requires an estimate of the number of returns and a corresponding liability for a refund. This makes sure that the revenue gained is adjusted for return risk.</w:t>
      </w:r>
    </w:p>
    <w:p w14:paraId="252A0D8C" w14:textId="1891147E" w:rsidR="007408C8"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Coupon Liability</w:t>
      </w:r>
    </w:p>
    <w:p w14:paraId="660E7A26" w14:textId="77777777" w:rsidR="007408C8"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lastRenderedPageBreak/>
        <w:t>The $100 coupon is a performance obligation. Due to this, KTSB is required to allocate a portion of the transaction price to the liability and defer revenue until redemption occurs or until the coupon expires.</w:t>
      </w:r>
    </w:p>
    <w:p w14:paraId="0C85EB7E" w14:textId="215BD5C6" w:rsidR="007408C8" w:rsidRPr="008F754D" w:rsidRDefault="00000000" w:rsidP="005438C2">
      <w:pPr>
        <w:spacing w:line="480" w:lineRule="auto"/>
        <w:rPr>
          <w:rFonts w:ascii="Times New Roman" w:hAnsi="Times New Roman" w:cs="Times New Roman"/>
          <w:b/>
          <w:bCs/>
          <w:i/>
          <w:iCs/>
          <w:sz w:val="24"/>
          <w:szCs w:val="24"/>
        </w:rPr>
      </w:pPr>
      <w:r w:rsidRPr="008F754D">
        <w:rPr>
          <w:rFonts w:ascii="Times New Roman" w:hAnsi="Times New Roman" w:cs="Times New Roman"/>
          <w:b/>
          <w:bCs/>
          <w:i/>
          <w:iCs/>
          <w:sz w:val="24"/>
          <w:szCs w:val="24"/>
        </w:rPr>
        <w:t>Gift Card Commission</w:t>
      </w:r>
    </w:p>
    <w:p w14:paraId="08A7EDA9" w14:textId="77777777" w:rsidR="007408C8"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A cost recognition issue arises from KTSB's agreement to pay a 3 per cent commission. Time and alignment of the commission with gift card sales are imperative.</w:t>
      </w:r>
    </w:p>
    <w:p w14:paraId="5B329C68" w14:textId="1FECFEAC" w:rsidR="0032094E"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Identification of Authoritative Guidance</w:t>
      </w:r>
    </w:p>
    <w:p w14:paraId="4F0871E1" w14:textId="09EDDB90" w:rsidR="007408C8" w:rsidRPr="008F754D" w:rsidRDefault="00000000" w:rsidP="005438C2">
      <w:pPr>
        <w:spacing w:line="480" w:lineRule="auto"/>
        <w:ind w:firstLine="720"/>
        <w:jc w:val="both"/>
        <w:rPr>
          <w:rFonts w:ascii="Times New Roman" w:hAnsi="Times New Roman" w:cs="Times New Roman"/>
          <w:sz w:val="24"/>
          <w:szCs w:val="24"/>
        </w:rPr>
      </w:pPr>
      <w:r w:rsidRPr="008F754D">
        <w:rPr>
          <w:rFonts w:ascii="Times New Roman" w:hAnsi="Times New Roman" w:cs="Times New Roman"/>
          <w:sz w:val="24"/>
          <w:szCs w:val="24"/>
        </w:rPr>
        <w:t>FASB Topic 606 governs the revenue recognition issues in KTSB’s agreement with Ramesses II since that agreement includes revenue recognition issues. The FASB 606 outlines the key principles for how the revenue is recognized only when performance obligations are satisfied and the transaction price reflects the expected value of the consideration received</w:t>
      </w:r>
      <w:r w:rsidR="004F5CC5">
        <w:rPr>
          <w:rFonts w:ascii="Times New Roman" w:hAnsi="Times New Roman" w:cs="Times New Roman"/>
          <w:sz w:val="24"/>
          <w:szCs w:val="24"/>
        </w:rPr>
        <w:t xml:space="preserve"> as described by </w:t>
      </w:r>
      <w:r w:rsidR="004F5CC5" w:rsidRPr="004F5CC5">
        <w:rPr>
          <w:rFonts w:ascii="Times New Roman" w:hAnsi="Times New Roman" w:cs="Times New Roman"/>
          <w:sz w:val="24"/>
          <w:szCs w:val="24"/>
        </w:rPr>
        <w:t>Aicpa (2019</w:t>
      </w:r>
      <w:r w:rsidR="004F5CC5">
        <w:rPr>
          <w:rFonts w:ascii="Times New Roman" w:hAnsi="Times New Roman" w:cs="Times New Roman"/>
          <w:sz w:val="24"/>
          <w:szCs w:val="24"/>
        </w:rPr>
        <w:t>)</w:t>
      </w:r>
      <w:r w:rsidRPr="008F754D">
        <w:rPr>
          <w:rFonts w:ascii="Times New Roman" w:hAnsi="Times New Roman" w:cs="Times New Roman"/>
          <w:sz w:val="24"/>
          <w:szCs w:val="24"/>
        </w:rPr>
        <w:t>.</w:t>
      </w:r>
    </w:p>
    <w:p w14:paraId="1205AA58" w14:textId="77777777" w:rsidR="007408C8" w:rsidRPr="008F754D" w:rsidRDefault="00000000" w:rsidP="005438C2">
      <w:pPr>
        <w:spacing w:line="480" w:lineRule="auto"/>
        <w:jc w:val="both"/>
        <w:rPr>
          <w:rFonts w:ascii="Times New Roman" w:hAnsi="Times New Roman" w:cs="Times New Roman"/>
          <w:b/>
          <w:bCs/>
          <w:i/>
          <w:iCs/>
          <w:sz w:val="24"/>
          <w:szCs w:val="24"/>
        </w:rPr>
      </w:pPr>
      <w:r w:rsidRPr="008F754D">
        <w:rPr>
          <w:rFonts w:ascii="Times New Roman" w:hAnsi="Times New Roman" w:cs="Times New Roman"/>
          <w:b/>
          <w:bCs/>
          <w:i/>
          <w:iCs/>
          <w:sz w:val="24"/>
          <w:szCs w:val="24"/>
        </w:rPr>
        <w:t>Five-Step Revenue Recognition Model</w:t>
      </w:r>
    </w:p>
    <w:p w14:paraId="7E64B121" w14:textId="42BD9FED" w:rsidR="007408C8" w:rsidRPr="008F754D" w:rsidRDefault="00000000" w:rsidP="005438C2">
      <w:pPr>
        <w:spacing w:line="480" w:lineRule="auto"/>
        <w:ind w:firstLine="720"/>
        <w:jc w:val="both"/>
        <w:rPr>
          <w:rFonts w:ascii="Times New Roman" w:hAnsi="Times New Roman" w:cs="Times New Roman"/>
          <w:b/>
          <w:bCs/>
          <w:sz w:val="24"/>
          <w:szCs w:val="24"/>
        </w:rPr>
      </w:pPr>
      <w:r w:rsidRPr="008F754D">
        <w:rPr>
          <w:rFonts w:ascii="Times New Roman" w:hAnsi="Times New Roman" w:cs="Times New Roman"/>
          <w:b/>
          <w:bCs/>
          <w:sz w:val="24"/>
          <w:szCs w:val="24"/>
        </w:rPr>
        <w:t>Identify the Contract.</w:t>
      </w:r>
    </w:p>
    <w:p w14:paraId="39536868" w14:textId="5C45D447" w:rsidR="00A525B0" w:rsidRDefault="00000000" w:rsidP="005438C2">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We must bear in mind that KTSB and Ramesses II have a contract throughout FASB 606 as their contract is an enforceable agreement among parties. The first describes the sale of 300 Model E computers 'on terms' for delivery, acceptance, and possible return, used to identify sales and recognize revenue.</w:t>
      </w:r>
    </w:p>
    <w:p w14:paraId="26E22647" w14:textId="5F7BBF21" w:rsidR="007408C8" w:rsidRPr="008F754D" w:rsidRDefault="00000000" w:rsidP="005438C2">
      <w:pPr>
        <w:spacing w:line="480" w:lineRule="auto"/>
        <w:ind w:firstLine="720"/>
        <w:jc w:val="both"/>
        <w:rPr>
          <w:rFonts w:ascii="Times New Roman" w:hAnsi="Times New Roman" w:cs="Times New Roman"/>
          <w:b/>
          <w:bCs/>
          <w:sz w:val="24"/>
          <w:szCs w:val="24"/>
        </w:rPr>
      </w:pPr>
      <w:r w:rsidRPr="008F754D">
        <w:rPr>
          <w:rFonts w:ascii="Times New Roman" w:hAnsi="Times New Roman" w:cs="Times New Roman"/>
          <w:b/>
          <w:bCs/>
          <w:sz w:val="24"/>
          <w:szCs w:val="24"/>
        </w:rPr>
        <w:t>Performance Obligations.</w:t>
      </w:r>
    </w:p>
    <w:p w14:paraId="460F9960"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lastRenderedPageBreak/>
        <w:t>It is a multiple performance obligations agreement: It includes the delivery of the computers, the processing of real returns and redeeming the $100 coupon. The separate obligation of each has to be judged as fulfilled.</w:t>
      </w:r>
    </w:p>
    <w:p w14:paraId="2780E76B" w14:textId="339DC15B" w:rsidR="007408C8" w:rsidRPr="00A525B0" w:rsidRDefault="00000000" w:rsidP="00A525B0">
      <w:pPr>
        <w:spacing w:line="480" w:lineRule="auto"/>
        <w:ind w:firstLine="720"/>
        <w:jc w:val="both"/>
        <w:rPr>
          <w:rFonts w:ascii="Times New Roman" w:hAnsi="Times New Roman" w:cs="Times New Roman"/>
          <w:sz w:val="24"/>
          <w:szCs w:val="24"/>
        </w:rPr>
      </w:pPr>
      <w:r w:rsidRPr="008F754D">
        <w:rPr>
          <w:rFonts w:ascii="Times New Roman" w:hAnsi="Times New Roman" w:cs="Times New Roman"/>
          <w:b/>
          <w:bCs/>
          <w:sz w:val="24"/>
          <w:szCs w:val="24"/>
        </w:rPr>
        <w:t>Determine the Transaction Price.</w:t>
      </w:r>
    </w:p>
    <w:p w14:paraId="25480CD0" w14:textId="77777777" w:rsidR="00A525B0" w:rsidRDefault="00000000" w:rsidP="005438C2">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In the case of 300 computers, the transaction price must also consider potential returns and coupon liabilities at the second settlement. In this case, the estimation of variable consideration (namely customer returns) is needed to calculate the amount KTSB expects to keep from the sale.</w:t>
      </w:r>
    </w:p>
    <w:p w14:paraId="26098182" w14:textId="74FDA678" w:rsidR="007408C8" w:rsidRPr="008F754D" w:rsidRDefault="00000000" w:rsidP="005438C2">
      <w:pPr>
        <w:spacing w:line="480" w:lineRule="auto"/>
        <w:ind w:firstLine="720"/>
        <w:jc w:val="both"/>
        <w:rPr>
          <w:rFonts w:ascii="Times New Roman" w:hAnsi="Times New Roman" w:cs="Times New Roman"/>
          <w:b/>
          <w:bCs/>
          <w:sz w:val="24"/>
          <w:szCs w:val="24"/>
        </w:rPr>
      </w:pPr>
      <w:r w:rsidRPr="008F754D">
        <w:rPr>
          <w:rFonts w:ascii="Times New Roman" w:hAnsi="Times New Roman" w:cs="Times New Roman"/>
          <w:b/>
          <w:bCs/>
          <w:sz w:val="24"/>
          <w:szCs w:val="24"/>
        </w:rPr>
        <w:t>Transaction Price</w:t>
      </w:r>
      <w:r w:rsidR="00A525B0">
        <w:rPr>
          <w:rFonts w:ascii="Times New Roman" w:hAnsi="Times New Roman" w:cs="Times New Roman"/>
          <w:b/>
          <w:bCs/>
          <w:sz w:val="24"/>
          <w:szCs w:val="24"/>
        </w:rPr>
        <w:t xml:space="preserve"> Allocation</w:t>
      </w:r>
      <w:r w:rsidRPr="008F754D">
        <w:rPr>
          <w:rFonts w:ascii="Times New Roman" w:hAnsi="Times New Roman" w:cs="Times New Roman"/>
          <w:b/>
          <w:bCs/>
          <w:sz w:val="24"/>
          <w:szCs w:val="24"/>
        </w:rPr>
        <w:t>.</w:t>
      </w:r>
    </w:p>
    <w:p w14:paraId="7AE90B04" w14:textId="77777777" w:rsidR="00A525B0" w:rsidRDefault="00000000" w:rsidP="005438C2">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Secondly, the $100 coupon is a material right in the transaction price to customers. KTSB defers recognition of this coupon liability until (1) when a portion of the revenue must be allocated to the coupon and recognized, so this coupon liability must be recognized. Genuine economic activity is to say that the revenue reported is real economic activity.</w:t>
      </w:r>
    </w:p>
    <w:p w14:paraId="2A77B618" w14:textId="047440DD" w:rsidR="008F754D" w:rsidRDefault="00000000" w:rsidP="005438C2">
      <w:pPr>
        <w:spacing w:line="480" w:lineRule="auto"/>
        <w:ind w:firstLine="720"/>
        <w:jc w:val="both"/>
        <w:rPr>
          <w:rFonts w:ascii="Times New Roman" w:hAnsi="Times New Roman" w:cs="Times New Roman"/>
          <w:b/>
          <w:bCs/>
          <w:sz w:val="24"/>
          <w:szCs w:val="24"/>
        </w:rPr>
      </w:pPr>
      <w:r w:rsidRPr="008F754D">
        <w:rPr>
          <w:rFonts w:ascii="Times New Roman" w:hAnsi="Times New Roman" w:cs="Times New Roman"/>
          <w:b/>
          <w:bCs/>
          <w:sz w:val="24"/>
          <w:szCs w:val="24"/>
        </w:rPr>
        <w:t>Recognize Revenue.</w:t>
      </w:r>
    </w:p>
    <w:p w14:paraId="310C9DA3" w14:textId="77777777" w:rsidR="00A525B0" w:rsidRDefault="00000000" w:rsidP="00F86F9C">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KTSB's revenue recognition depends on each performance obligation being satisfied. The selling of computers is the typical situation in which Ramesses II accepts them. While coupon liability revenue should only be recognized when coupons are redeemed or expire, as explained by McNellis et al. (2020), this is not the case for coupon liability.</w:t>
      </w:r>
    </w:p>
    <w:p w14:paraId="46F5AD12" w14:textId="521CAC58" w:rsidR="00924939"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Returns and Refunds</w:t>
      </w:r>
    </w:p>
    <w:p w14:paraId="3173B803"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 xml:space="preserve">ASC 606-10-32-10 requires KTSB to record a refund liability for expected returns. It implies that the company is to estimate what could be returned as value and then balance the revenue with that estimate. Say, historical data shows a 5% return rate, then KTSB should also </w:t>
      </w:r>
      <w:r w:rsidRPr="00A525B0">
        <w:rPr>
          <w:rFonts w:ascii="Times New Roman" w:hAnsi="Times New Roman" w:cs="Times New Roman"/>
          <w:sz w:val="24"/>
          <w:szCs w:val="24"/>
        </w:rPr>
        <w:lastRenderedPageBreak/>
        <w:t>lower their revenue to the same degree creating and liability to pay back the refunds. Using this approach will ensure that revenue figures show net sales that will be kept in their pockets.</w:t>
      </w:r>
    </w:p>
    <w:p w14:paraId="5E83C2FA" w14:textId="7C9D1676" w:rsidR="00924939"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Coupons and Incentives</w:t>
      </w:r>
    </w:p>
    <w:p w14:paraId="2F26DF3F"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The $100 coupon issued by KTSB is a material right as per ASB 606, 10 55 - 42, as it is good and provides a material benefit to the customer. This means that KTSB has a performance obligation and therefore has to delay when it can recognize the associated revenue (the revenue on the coupon). The company has a liability for redeeming the coupon and hence the deferred revenue should be timed and booked properly on the company's financial statements.</w:t>
      </w:r>
    </w:p>
    <w:p w14:paraId="727BF51C" w14:textId="6DF6C66B" w:rsidR="00924939"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Variable Consideration</w:t>
      </w:r>
    </w:p>
    <w:p w14:paraId="6A290642"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FASB 606 also need to account for variable consideration as per ASC 606-10-32-5. Such includes return or the redemption of the coupon. KTSB must then know what the expected transaction price of these outcomes will be based upon historical trends and current events and agree on this. It means that the income that the company makes is neither exaggerated nor exaggerated and reflects the company's financial performance exactly.</w:t>
      </w:r>
    </w:p>
    <w:p w14:paraId="79382654" w14:textId="56DFFE3B" w:rsidR="00924939"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Analysis of Issues</w:t>
      </w:r>
    </w:p>
    <w:p w14:paraId="7A236D2E" w14:textId="4FB778EB" w:rsidR="00924939" w:rsidRPr="008F754D" w:rsidRDefault="00000000" w:rsidP="005438C2">
      <w:pPr>
        <w:spacing w:line="480" w:lineRule="auto"/>
        <w:jc w:val="both"/>
        <w:rPr>
          <w:rFonts w:ascii="Times New Roman" w:hAnsi="Times New Roman" w:cs="Times New Roman"/>
          <w:b/>
          <w:bCs/>
          <w:i/>
          <w:iCs/>
          <w:sz w:val="24"/>
          <w:szCs w:val="24"/>
        </w:rPr>
      </w:pPr>
      <w:r w:rsidRPr="008F754D">
        <w:rPr>
          <w:rFonts w:ascii="Times New Roman" w:hAnsi="Times New Roman" w:cs="Times New Roman"/>
          <w:b/>
          <w:bCs/>
          <w:i/>
          <w:iCs/>
          <w:sz w:val="24"/>
          <w:szCs w:val="24"/>
        </w:rPr>
        <w:t>Timing of Revenue Recognition</w:t>
      </w:r>
    </w:p>
    <w:p w14:paraId="649B96AB"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The acceptance condition means that KTSB cannot recognize revenue at delivery. For purposes of FASB 606, the transfer of control is deemed to occur for FASB 606 when control transfers occur and the acceptance rights delay the satisfaction of the performance obligation. So we would date the date Ramesses II accepts as the date of revenue recognized as outlined by Franklin et al. (2019).</w:t>
      </w:r>
    </w:p>
    <w:p w14:paraId="77E839F9" w14:textId="13EBF16B" w:rsidR="00924939" w:rsidRPr="008F754D" w:rsidRDefault="00000000" w:rsidP="005438C2">
      <w:pPr>
        <w:spacing w:line="480" w:lineRule="auto"/>
        <w:jc w:val="both"/>
        <w:rPr>
          <w:rFonts w:ascii="Times New Roman" w:hAnsi="Times New Roman" w:cs="Times New Roman"/>
          <w:b/>
          <w:bCs/>
          <w:i/>
          <w:iCs/>
          <w:sz w:val="24"/>
          <w:szCs w:val="24"/>
        </w:rPr>
      </w:pPr>
      <w:r w:rsidRPr="008F754D">
        <w:rPr>
          <w:rFonts w:ascii="Times New Roman" w:hAnsi="Times New Roman" w:cs="Times New Roman"/>
          <w:b/>
          <w:bCs/>
          <w:i/>
          <w:iCs/>
          <w:sz w:val="24"/>
          <w:szCs w:val="24"/>
        </w:rPr>
        <w:lastRenderedPageBreak/>
        <w:t>Refund Liabilities</w:t>
      </w:r>
      <w:r w:rsidR="00A525B0">
        <w:rPr>
          <w:rFonts w:ascii="Times New Roman" w:hAnsi="Times New Roman" w:cs="Times New Roman"/>
          <w:b/>
          <w:bCs/>
          <w:i/>
          <w:iCs/>
          <w:sz w:val="24"/>
          <w:szCs w:val="24"/>
        </w:rPr>
        <w:t xml:space="preserve"> and </w:t>
      </w:r>
      <w:r w:rsidR="00A525B0" w:rsidRPr="008F754D">
        <w:rPr>
          <w:rFonts w:ascii="Times New Roman" w:hAnsi="Times New Roman" w:cs="Times New Roman"/>
          <w:b/>
          <w:bCs/>
          <w:i/>
          <w:iCs/>
          <w:sz w:val="24"/>
          <w:szCs w:val="24"/>
        </w:rPr>
        <w:t>Return Policy</w:t>
      </w:r>
    </w:p>
    <w:p w14:paraId="7550A6F4" w14:textId="77777777" w:rsidR="00A525B0" w:rsidRDefault="00000000" w:rsidP="00A525B0">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KTSB must also recognize a refund liability to estimate the likelihood of the return from historical trends. For example, if it is likely that goods will be returned at 10%, KTSB should recognize revenue less, and make refund reserves.</w:t>
      </w:r>
    </w:p>
    <w:p w14:paraId="2981E6E9" w14:textId="3CB13525" w:rsidR="00924939" w:rsidRPr="008F754D" w:rsidRDefault="00000000" w:rsidP="005438C2">
      <w:pPr>
        <w:spacing w:line="480" w:lineRule="auto"/>
        <w:jc w:val="both"/>
        <w:rPr>
          <w:rFonts w:ascii="Times New Roman" w:hAnsi="Times New Roman" w:cs="Times New Roman"/>
          <w:b/>
          <w:bCs/>
          <w:i/>
          <w:iCs/>
          <w:sz w:val="24"/>
          <w:szCs w:val="24"/>
        </w:rPr>
      </w:pPr>
      <w:r w:rsidRPr="008F754D">
        <w:rPr>
          <w:rFonts w:ascii="Times New Roman" w:hAnsi="Times New Roman" w:cs="Times New Roman"/>
          <w:b/>
          <w:bCs/>
          <w:i/>
          <w:iCs/>
          <w:sz w:val="24"/>
          <w:szCs w:val="24"/>
        </w:rPr>
        <w:t>Coupon Liability</w:t>
      </w:r>
    </w:p>
    <w:p w14:paraId="6DAD377A" w14:textId="77777777" w:rsidR="00A525B0" w:rsidRDefault="00000000" w:rsidP="00A525B0">
      <w:pPr>
        <w:spacing w:line="480" w:lineRule="auto"/>
        <w:ind w:firstLine="720"/>
        <w:jc w:val="both"/>
        <w:rPr>
          <w:rFonts w:ascii="Times New Roman" w:hAnsi="Times New Roman" w:cs="Times New Roman"/>
          <w:b/>
          <w:bCs/>
          <w:sz w:val="24"/>
          <w:szCs w:val="24"/>
        </w:rPr>
      </w:pPr>
      <w:r w:rsidRPr="00A525B0">
        <w:rPr>
          <w:rFonts w:ascii="Times New Roman" w:hAnsi="Times New Roman" w:cs="Times New Roman"/>
          <w:sz w:val="24"/>
          <w:szCs w:val="24"/>
        </w:rPr>
        <w:t>The $100 coupon is a material right: you have to defer part of the transaction price. For instance, if KTSB is selling a computer for $1,000 then a similar amount (e.g. $100) should be deferred on a coupon liability and should be recognized for redemption or expiry.</w:t>
      </w:r>
      <w:r w:rsidRPr="00A525B0">
        <w:rPr>
          <w:rFonts w:ascii="Times New Roman" w:hAnsi="Times New Roman" w:cs="Times New Roman"/>
          <w:b/>
          <w:bCs/>
          <w:sz w:val="24"/>
          <w:szCs w:val="24"/>
        </w:rPr>
        <w:t xml:space="preserve"> </w:t>
      </w:r>
    </w:p>
    <w:p w14:paraId="50D188AF" w14:textId="0FB6AA3A" w:rsidR="00924939" w:rsidRPr="008F754D" w:rsidRDefault="00000000" w:rsidP="005438C2">
      <w:pPr>
        <w:spacing w:line="480" w:lineRule="auto"/>
        <w:jc w:val="both"/>
        <w:rPr>
          <w:rFonts w:ascii="Times New Roman" w:hAnsi="Times New Roman" w:cs="Times New Roman"/>
          <w:b/>
          <w:bCs/>
          <w:sz w:val="24"/>
          <w:szCs w:val="24"/>
        </w:rPr>
      </w:pPr>
      <w:r w:rsidRPr="008F754D">
        <w:rPr>
          <w:rFonts w:ascii="Times New Roman" w:hAnsi="Times New Roman" w:cs="Times New Roman"/>
          <w:b/>
          <w:bCs/>
          <w:sz w:val="24"/>
          <w:szCs w:val="24"/>
        </w:rPr>
        <w:t>Gift Card Commissions</w:t>
      </w:r>
    </w:p>
    <w:p w14:paraId="4D34CD56" w14:textId="49C8D67B" w:rsidR="00924939" w:rsidRPr="008F754D" w:rsidRDefault="00000000" w:rsidP="005438C2">
      <w:pPr>
        <w:spacing w:line="480" w:lineRule="auto"/>
        <w:ind w:firstLine="720"/>
        <w:jc w:val="both"/>
        <w:rPr>
          <w:rFonts w:ascii="Times New Roman" w:hAnsi="Times New Roman" w:cs="Times New Roman"/>
          <w:sz w:val="24"/>
          <w:szCs w:val="24"/>
        </w:rPr>
      </w:pPr>
      <w:r w:rsidRPr="00A525B0">
        <w:rPr>
          <w:rFonts w:ascii="Times New Roman" w:hAnsi="Times New Roman" w:cs="Times New Roman"/>
          <w:sz w:val="24"/>
          <w:szCs w:val="24"/>
        </w:rPr>
        <w:t xml:space="preserve">The 3% commission is for the sale of Gift card purchases. This is outside the industry standard, as Franklin et al. (2019) explain, and the timing is down to the completion of the performance obligation: the gift card sale. With regard to the issues addressed using FASB 606, KTSB may satisfy reporting transparency and compliance requirements. </w:t>
      </w:r>
    </w:p>
    <w:p w14:paraId="62B8FC23" w14:textId="7CDA97B7" w:rsidR="00924939" w:rsidRPr="008F754D" w:rsidRDefault="00000000" w:rsidP="005438C2">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t>Recommendations for Accounting Treatments</w:t>
      </w:r>
    </w:p>
    <w:p w14:paraId="4AD1DC10" w14:textId="77777777" w:rsidR="00924939"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Restrict recognition of revenue until Ramesses II (who we mentioned earlier) takes the goods. All of this is aligned with FASB 606, where control transfer is emphasized.</w:t>
      </w:r>
    </w:p>
    <w:p w14:paraId="18B4E885" w14:textId="77777777" w:rsidR="00924939"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If historical return data is available, identify whether you have a refund liability. e.g. if returns historically average 5% record a liability for 5% of the transaction price.</w:t>
      </w:r>
    </w:p>
    <w:p w14:paraId="02D75333" w14:textId="4E9A0223" w:rsidR="00924939"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Recognize revenue based on a coupon liability allocated as part of the transaction price.</w:t>
      </w:r>
    </w:p>
    <w:p w14:paraId="150EE028" w14:textId="77777777" w:rsidR="002F4160" w:rsidRPr="008F754D" w:rsidRDefault="00000000" w:rsidP="005438C2">
      <w:pPr>
        <w:pStyle w:val="ListParagraph"/>
        <w:numPr>
          <w:ilvl w:val="0"/>
          <w:numId w:val="2"/>
        </w:numPr>
        <w:spacing w:line="480" w:lineRule="auto"/>
        <w:rPr>
          <w:rFonts w:ascii="Times New Roman" w:hAnsi="Times New Roman" w:cs="Times New Roman"/>
          <w:sz w:val="24"/>
          <w:szCs w:val="24"/>
        </w:rPr>
      </w:pPr>
      <w:r w:rsidRPr="008F754D">
        <w:rPr>
          <w:rFonts w:ascii="Times New Roman" w:hAnsi="Times New Roman" w:cs="Times New Roman"/>
          <w:sz w:val="24"/>
          <w:szCs w:val="24"/>
        </w:rPr>
        <w:t>On the sale of each gift card, record the 3% commission as a selling expense.</w:t>
      </w:r>
    </w:p>
    <w:p w14:paraId="0BCE8CC1" w14:textId="72C545AD" w:rsidR="00924939" w:rsidRPr="008F754D" w:rsidRDefault="00000000" w:rsidP="005438C2">
      <w:pPr>
        <w:spacing w:line="480" w:lineRule="auto"/>
        <w:ind w:firstLine="360"/>
        <w:rPr>
          <w:rFonts w:ascii="Times New Roman" w:hAnsi="Times New Roman" w:cs="Times New Roman"/>
          <w:sz w:val="24"/>
          <w:szCs w:val="24"/>
        </w:rPr>
      </w:pPr>
      <w:r w:rsidRPr="008F754D">
        <w:rPr>
          <w:rFonts w:ascii="Times New Roman" w:hAnsi="Times New Roman" w:cs="Times New Roman"/>
          <w:sz w:val="24"/>
          <w:szCs w:val="24"/>
        </w:rPr>
        <w:lastRenderedPageBreak/>
        <w:t>These treatments help KTSB follow FASB standards while keeping the results accurate and reliable.</w:t>
      </w:r>
    </w:p>
    <w:p w14:paraId="0B7A9940" w14:textId="6D9DBCE6" w:rsidR="002F4160" w:rsidRPr="008F754D" w:rsidRDefault="00000000" w:rsidP="005438C2">
      <w:pPr>
        <w:spacing w:line="480" w:lineRule="auto"/>
        <w:ind w:firstLine="360"/>
        <w:jc w:val="center"/>
        <w:rPr>
          <w:rFonts w:ascii="Times New Roman" w:hAnsi="Times New Roman" w:cs="Times New Roman"/>
          <w:b/>
          <w:bCs/>
          <w:sz w:val="24"/>
          <w:szCs w:val="24"/>
        </w:rPr>
      </w:pPr>
      <w:r w:rsidRPr="008F754D">
        <w:rPr>
          <w:rFonts w:ascii="Times New Roman" w:hAnsi="Times New Roman" w:cs="Times New Roman"/>
          <w:b/>
          <w:bCs/>
          <w:sz w:val="24"/>
          <w:szCs w:val="24"/>
        </w:rPr>
        <w:t>Task 2: Goodwill Impairment Analysis</w:t>
      </w:r>
    </w:p>
    <w:p w14:paraId="52C49E55" w14:textId="5B46C8F7" w:rsidR="001437E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Treatment for Similar Economic Characteristics</w:t>
      </w:r>
    </w:p>
    <w:p w14:paraId="5D28CA09" w14:textId="77777777" w:rsidR="00A525B0" w:rsidRDefault="00000000" w:rsidP="00A525B0">
      <w:pPr>
        <w:spacing w:line="480" w:lineRule="auto"/>
        <w:ind w:firstLine="720"/>
        <w:rPr>
          <w:rFonts w:ascii="Times New Roman" w:hAnsi="Times New Roman" w:cs="Times New Roman"/>
          <w:sz w:val="24"/>
          <w:szCs w:val="24"/>
        </w:rPr>
      </w:pPr>
      <w:r w:rsidRPr="00A525B0">
        <w:rPr>
          <w:rFonts w:ascii="Times New Roman" w:hAnsi="Times New Roman" w:cs="Times New Roman"/>
          <w:sz w:val="24"/>
          <w:szCs w:val="24"/>
        </w:rPr>
        <w:t>Reporting units with similar economic characteristics must be combined for testing goodwill impairment, as ASC 350 states. That is, coupling together units with similar cash flows, risk profiles and market conditions. The impairment is assessed at the reporting unit level by comparing the value in use of the unit with its carrying amount. No impairment is recorded if the carrying value is greater than the fair value. This approach streamlines testing so that it can 'look through' the unified financial performance of related units while still reporting effectively and representatively.</w:t>
      </w:r>
    </w:p>
    <w:p w14:paraId="475163A9" w14:textId="7833253F" w:rsidR="001437E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Treatment for Dissimilar Economic Characteristics</w:t>
      </w:r>
    </w:p>
    <w:p w14:paraId="02CD84E3" w14:textId="77777777" w:rsidR="00A525B0" w:rsidRDefault="00000000" w:rsidP="00A525B0">
      <w:pPr>
        <w:spacing w:line="480" w:lineRule="auto"/>
        <w:ind w:firstLine="720"/>
        <w:rPr>
          <w:rFonts w:ascii="Times New Roman" w:hAnsi="Times New Roman" w:cs="Times New Roman"/>
          <w:sz w:val="24"/>
          <w:szCs w:val="24"/>
        </w:rPr>
      </w:pPr>
      <w:r w:rsidRPr="00A525B0">
        <w:rPr>
          <w:rFonts w:ascii="Times New Roman" w:hAnsi="Times New Roman" w:cs="Times New Roman"/>
          <w:sz w:val="24"/>
          <w:szCs w:val="24"/>
        </w:rPr>
        <w:t>Goodwill must be tested separately for each reporting unit when the economic characteristics of reporting units are significantly different. Dissimilar units have different market dynamics, different risk exposure and different cash flow generation. According to ASC 350, each unit is required to compare its carrying amount to its fair value to see if impairment exists. The assessment breaks the units down and treats each one separately, to capture the unique economic environment of the individual operation. That gets rid of the possibility that you improperly allocate goodwill impairment to the proper unit to distort consolidated financial results.</w:t>
      </w:r>
    </w:p>
    <w:p w14:paraId="00CCB6BA" w14:textId="57842007" w:rsidR="002F4160"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Treatment for Public Companies</w:t>
      </w:r>
    </w:p>
    <w:p w14:paraId="38B8871D" w14:textId="77777777" w:rsidR="00277ADC" w:rsidRDefault="00000000" w:rsidP="00277ADC">
      <w:pPr>
        <w:spacing w:line="480" w:lineRule="auto"/>
        <w:ind w:firstLine="720"/>
        <w:rPr>
          <w:rFonts w:ascii="Times New Roman" w:hAnsi="Times New Roman" w:cs="Times New Roman"/>
          <w:sz w:val="24"/>
          <w:szCs w:val="24"/>
        </w:rPr>
      </w:pPr>
      <w:r w:rsidRPr="00A525B0">
        <w:rPr>
          <w:rFonts w:ascii="Times New Roman" w:hAnsi="Times New Roman" w:cs="Times New Roman"/>
          <w:sz w:val="24"/>
          <w:szCs w:val="24"/>
        </w:rPr>
        <w:lastRenderedPageBreak/>
        <w:t>Public companies are required to test goodwill impairment every year or when events trigger the need for it.</w:t>
      </w:r>
      <w:r>
        <w:rPr>
          <w:rFonts w:ascii="Times New Roman" w:hAnsi="Times New Roman" w:cs="Times New Roman"/>
          <w:sz w:val="24"/>
          <w:szCs w:val="24"/>
        </w:rPr>
        <w:t xml:space="preserve"> </w:t>
      </w:r>
      <w:r w:rsidRPr="00A525B0">
        <w:rPr>
          <w:rFonts w:ascii="Times New Roman" w:hAnsi="Times New Roman" w:cs="Times New Roman"/>
          <w:sz w:val="24"/>
          <w:szCs w:val="24"/>
        </w:rPr>
        <w:t xml:space="preserve">If the reporting unit’s fair value is less than its carrying amount, the reporting unit is compared to see if there is possible impairment. If the fair value of the whole business is less than the carrying amount of goodwill the carrying amount of goodwill is less than the implied fair value., or when events trigger the need for a test. The standard process involves two steps: </w:t>
      </w:r>
    </w:p>
    <w:p w14:paraId="7B00014B" w14:textId="77777777" w:rsidR="00277ADC" w:rsidRDefault="00000000" w:rsidP="00277ADC">
      <w:pPr>
        <w:spacing w:line="480" w:lineRule="auto"/>
        <w:ind w:firstLine="720"/>
        <w:rPr>
          <w:rFonts w:ascii="Times New Roman" w:hAnsi="Times New Roman" w:cs="Times New Roman"/>
          <w:sz w:val="24"/>
          <w:szCs w:val="24"/>
        </w:rPr>
      </w:pPr>
      <w:r w:rsidRPr="00A525B0">
        <w:rPr>
          <w:rFonts w:ascii="Times New Roman" w:hAnsi="Times New Roman" w:cs="Times New Roman"/>
          <w:sz w:val="24"/>
          <w:szCs w:val="24"/>
        </w:rPr>
        <w:t xml:space="preserve">• If the reporting unit’s fair value is less than its carrying amount, the reporting unit is compared to identify possible impairment. </w:t>
      </w:r>
    </w:p>
    <w:p w14:paraId="703398D3" w14:textId="1A243B34" w:rsidR="001437EE" w:rsidRPr="00277ADC" w:rsidRDefault="00000000" w:rsidP="00277ADC">
      <w:pPr>
        <w:spacing w:line="480" w:lineRule="auto"/>
        <w:ind w:firstLine="720"/>
        <w:rPr>
          <w:rFonts w:ascii="Times New Roman" w:hAnsi="Times New Roman" w:cs="Times New Roman"/>
          <w:sz w:val="24"/>
          <w:szCs w:val="24"/>
        </w:rPr>
      </w:pPr>
      <w:r w:rsidRPr="00A525B0">
        <w:rPr>
          <w:rFonts w:ascii="Times New Roman" w:hAnsi="Times New Roman" w:cs="Times New Roman"/>
          <w:sz w:val="24"/>
          <w:szCs w:val="24"/>
        </w:rPr>
        <w:t>• The carrying amount of goodwill is calculated as less than the implied fair value if the fair value is less. This is why vigorous testing is carried out to prove goodwill is the current economic value of the company for shareholders. Public companies must also disclose results of impairment or impact to financial statements along with their nature and effect.</w:t>
      </w:r>
      <w:r w:rsidRPr="008F754D">
        <w:rPr>
          <w:rFonts w:ascii="Times New Roman" w:hAnsi="Times New Roman" w:cs="Times New Roman"/>
          <w:b/>
          <w:bCs/>
          <w:sz w:val="24"/>
          <w:szCs w:val="24"/>
        </w:rPr>
        <w:t xml:space="preserve"> Treatment for Private Companies</w:t>
      </w:r>
    </w:p>
    <w:p w14:paraId="315840F6" w14:textId="77777777" w:rsid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ASC 350 allows private companies to elect the alternate Private Company Council (PCC) accounting treatment of goodwill. This approach facilitates a reduction in the complexity of annual fair value assessments by amortizing goodwill over 10 years. Only a triggering event (a large decline in market value or operational problems) requires testing for impairment. As stated by Ferramosca and Allegrini (2021) this method will eliminate the financial and administrative expenses for continual impairment evaluations. For smaller organizations with limited resources, the cost efficiency of this PCC alternative is a definite advantage with reliable and accurate financial reporting. If this option is used, entities should elect to present transparency and comply with the reporting standards by disclosing their election in PCC alternative in the financial statements.</w:t>
      </w:r>
    </w:p>
    <w:p w14:paraId="6F827324" w14:textId="7FC7DC38" w:rsidR="001437E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lastRenderedPageBreak/>
        <w:t>Treatment for Accounting Alternatives</w:t>
      </w:r>
    </w:p>
    <w:p w14:paraId="4BFC43FD" w14:textId="3ACC7A56" w:rsidR="001437EE"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b/>
          <w:bCs/>
          <w:sz w:val="24"/>
          <w:szCs w:val="24"/>
        </w:rPr>
        <w:tab/>
      </w:r>
      <w:r w:rsidR="00277ADC" w:rsidRPr="00277ADC">
        <w:rPr>
          <w:rFonts w:ascii="Times New Roman" w:hAnsi="Times New Roman" w:cs="Times New Roman"/>
          <w:sz w:val="24"/>
          <w:szCs w:val="24"/>
        </w:rPr>
        <w:t>For entities adopting the PCC goodwill alternative, this greatly simplifies accounting. By amortizing goodwill systematically over a pre-determined period (not to exceed 10 years) the need for impairment testing each year is obviated unless a triggering event occurs. The reduced approach allows a company to align impairment testing with significant economic changes, rather than repeatedly. The PCC alternative allows for another pathway of simplifying the calculation when the triggering event occurs so that no time and resources are spent performing detailed fair value analyses. However, according to Ferramosca and Allegrini (2021), companies using this alternative must disclose this use in the underlying financial statements. By allowing stakeholders to know the accounting approach, financial reporting integrity is preserved with reduced operational complexity.</w:t>
      </w:r>
    </w:p>
    <w:p w14:paraId="3AC8198C" w14:textId="0B6BDF1F" w:rsidR="00CE6A5F"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Treatment Without Accounting Alternatives</w:t>
      </w:r>
    </w:p>
    <w:p w14:paraId="3B7B8696" w14:textId="77777777" w:rsid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Entities that choose the PCC alternative must use the standard goodwill impairment testing process as outlined in ASC 350. Even in the absence of a triggering event, goodwill must be reported at fair value and impairment testing of goodwill on an annual basis is required. The standard approach is a rigorous two-step process. In the first step, the reporting unit's carrying amount compares with the fair value of the same; impairment is possible. If the carrying amount is larger than the fair value, step two occurs and calculates the impairment loss using the carrying value of goodwill and compares such value to the implied fair value of goodwill. This is particularly important for larger entities or publicly accountable companies because you get precise, reliable financial information that is important. The absence of an accounting alternative makes for value consistency and transparency to increase shareholders' confidence in the entity's financial health.</w:t>
      </w:r>
    </w:p>
    <w:p w14:paraId="48F3AE89" w14:textId="6548F8BE" w:rsidR="00CE6A5F"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lastRenderedPageBreak/>
        <w:t>Triggering Event Occurrence</w:t>
      </w:r>
    </w:p>
    <w:p w14:paraId="6D17BA76" w14:textId="7557E57D" w:rsidR="00CE6A5F" w:rsidRPr="008F754D" w:rsidRDefault="00000000" w:rsidP="005438C2">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Goods procured in good faith like most goodwill items will be subject to immediate test for impairment when triggered by events of significant market decline, operational losses or industry challenges. The reporting units of the companies must have assessed whether such events have caused the fair value of the reporting unit to be less than the carrying amount (ASC 350). If they're often triggering events they often suggest that goodwill is no longer recoverable at the value recorded. If impairment is found, the loss is deemed to be the lesser of the carrying amount of goodwill and the value of the goodwill as if it were impaired. The triggering events that need to be addressed as soon as possible cause the financial statements not to reflect the reduced economic value of goodwill. This method signals the risk of losing the entity's financial health while at the same time advising about whether to adjust at the right time and tell the stakeholders the state of the company's performance.</w:t>
      </w:r>
    </w:p>
    <w:p w14:paraId="0ECDB72F" w14:textId="2779AA6C" w:rsidR="001437EE"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No Triggering Event Occurrence</w:t>
      </w:r>
    </w:p>
    <w:p w14:paraId="079A9912" w14:textId="0D6155E3" w:rsidR="00CE6A5F" w:rsidRPr="008F754D" w:rsidRDefault="00000000" w:rsidP="005438C2">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 xml:space="preserve">In the absence of triggering events, goodwill is accounted for according to the accounting method elected but depends on the accounting method elected for the treatment of goodwill. Under the little-understood standard approach, entities are obliged to perform annual goodwill impairment tests to verify whether the carrying amount of goodwill is recoverable and reasonable. These tests make sure that any goodwill worth being realised gets adjusted straight away, even without straightaway indicators as Podhorska et al. (2019) explain. Conversely, companies using the PCC alternative are not required to perform impairment tests unless a triggering event occurs. The PCC alternative reduces entities’ administrative burden by allowing compliance with reporting standards without actually employing the PCC alternative. The certainty that the goodwill remains appropriately valued annually guarantees that the standard </w:t>
      </w:r>
      <w:r w:rsidRPr="00277ADC">
        <w:rPr>
          <w:rFonts w:ascii="Times New Roman" w:hAnsi="Times New Roman" w:cs="Times New Roman"/>
          <w:sz w:val="24"/>
          <w:szCs w:val="24"/>
        </w:rPr>
        <w:lastRenderedPageBreak/>
        <w:t>approach is credible and valid for assessing financial statements, which is useful for those who use the standard approach.</w:t>
      </w:r>
    </w:p>
    <w:p w14:paraId="25F46A59" w14:textId="677ECA68" w:rsidR="00CE6A5F" w:rsidRPr="008F754D" w:rsidRDefault="00000000" w:rsidP="000F1BF4">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t>Application of Research to AMMRC Inc. Scenario</w:t>
      </w:r>
    </w:p>
    <w:p w14:paraId="446A46DA" w14:textId="795910E5" w:rsidR="00CE6A5F"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 xml:space="preserve">Best Approach for Goodwill Impairment </w:t>
      </w:r>
    </w:p>
    <w:p w14:paraId="7D8C7183" w14:textId="77777777" w:rsid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The merger of AMMRC Inc., a U.S. manufacturer of greenhouses with the acquisitions of two other companies, TL and DJ creates a new segment, Greenhouse Parts and Accessories. The new segment of AMMRC Inc. is a unit that has economic characteristics on the one hand, since TL manufactures polycarbonate sheets for greenhouse construction, and on the other hand, since DJ produces heavy-duty greenhouse shelves. Although the companies operate in different aspects of greenhouse manufacturing, they complement AMMRC's broader product offering. Because of their differing operations, market dynamics and cash flows, AMMRC Inc. must test TL and DJ as separate reporting units for ASC 350 Standard required testing for goodwill impairment. Because the segment is not a small or privately held one, AMMRC Inc. is nowhere near to being able to choose its own PCC alternative. For the following company, the standard impairment testing process should take place (periodically, for example annually or upon occurrence of a triggering event). The very downturn (bagging decline) in the market values of both TL and DJ documented in the appraisal reports is one of the triggering events in the case. For each TL and DJ, it is given that these facts apply to AMMRC Inc., and these facts must be applied to the two-step loss test under ASC 350 to test their fair value to their carrying value to determine if impairment losses exist.</w:t>
      </w:r>
    </w:p>
    <w:p w14:paraId="0D4E651C" w14:textId="1EECCD4B" w:rsidR="0028475D"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Calculate Goodwill Impairment Loss for TL and DJ</w:t>
      </w:r>
    </w:p>
    <w:p w14:paraId="1B12851F" w14:textId="599BB0A1" w:rsidR="0028475D"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lastRenderedPageBreak/>
        <w:t>AMMRC Inc. needs to find out whether goodwill impairment has occurred for TL and DJ businesses based on the fair value assessment and carrying amounts.</w:t>
      </w:r>
    </w:p>
    <w:p w14:paraId="2F102900" w14:textId="44D3E442" w:rsidR="0028475D"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TL Corporation:</w:t>
      </w:r>
    </w:p>
    <w:p w14:paraId="1A01C3F0" w14:textId="77777777"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Goodwill Assigned to TL: $1,300,000</w:t>
      </w:r>
    </w:p>
    <w:p w14:paraId="50C686FC" w14:textId="77777777"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Fair Value of TL (Appraisal): $11,000,000</w:t>
      </w:r>
    </w:p>
    <w:p w14:paraId="74C83B96" w14:textId="7868D24F" w:rsidR="0028475D"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sz w:val="24"/>
          <w:szCs w:val="24"/>
        </w:rPr>
        <w:t xml:space="preserve">Carrying Amount of TL (Including Goodwill): Total Assets – Liabilities =  Equity; $15000000 - $8000000 = </w:t>
      </w:r>
      <w:r w:rsidRPr="008F754D">
        <w:rPr>
          <w:rFonts w:ascii="Times New Roman" w:hAnsi="Times New Roman" w:cs="Times New Roman"/>
          <w:b/>
          <w:bCs/>
          <w:sz w:val="24"/>
          <w:szCs w:val="24"/>
        </w:rPr>
        <w:t>$7000000</w:t>
      </w:r>
    </w:p>
    <w:p w14:paraId="3D9AF7BD" w14:textId="35E0E38A"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Goodwill Carrying Value for TL: $1300000</w:t>
      </w:r>
    </w:p>
    <w:p w14:paraId="416B4BC3" w14:textId="0F85EC3E" w:rsidR="0028475D"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Step 1: Fair value of TL ($11,000,000) vs its carrying amount ($7,000,000) As the carrying amount is less than the fair value, TL does not have an impairment and goodwill continues.</w:t>
      </w:r>
    </w:p>
    <w:p w14:paraId="3EE986B4" w14:textId="183B3377" w:rsidR="0028475D" w:rsidRPr="004F5CC5"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DJ Corporation:</w:t>
      </w:r>
    </w:p>
    <w:p w14:paraId="1FE18C19" w14:textId="77777777"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Goodwill Assigned to DJ: $550,000</w:t>
      </w:r>
    </w:p>
    <w:p w14:paraId="2AC8535B" w14:textId="77777777"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Fair Value of DJ (Appraisal): $1,800,000</w:t>
      </w:r>
    </w:p>
    <w:p w14:paraId="62328D58" w14:textId="77F77D8C"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Carrying Amount of DJ (Including Goodwill): (Total Assets)  $2,500,000 – (Liabilities) $1,500,000 = (Equity) $1,000,000</w:t>
      </w:r>
    </w:p>
    <w:p w14:paraId="48654727" w14:textId="77777777" w:rsidR="0028475D" w:rsidRPr="008F754D" w:rsidRDefault="00000000" w:rsidP="005438C2">
      <w:pPr>
        <w:spacing w:line="480" w:lineRule="auto"/>
        <w:rPr>
          <w:rFonts w:ascii="Times New Roman" w:hAnsi="Times New Roman" w:cs="Times New Roman"/>
          <w:sz w:val="24"/>
          <w:szCs w:val="24"/>
        </w:rPr>
      </w:pPr>
      <w:r w:rsidRPr="008F754D">
        <w:rPr>
          <w:rFonts w:ascii="Times New Roman" w:hAnsi="Times New Roman" w:cs="Times New Roman"/>
          <w:sz w:val="24"/>
          <w:szCs w:val="24"/>
        </w:rPr>
        <w:t>Goodwill Carrying Value for DJ: $550,000</w:t>
      </w:r>
    </w:p>
    <w:p w14:paraId="4F0DD20F" w14:textId="0F208591" w:rsidR="0028475D"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t>Step 1: Along with the carrying amount of DJ ($1,000,000), compare the fair value of DJ ($1,800,000). No impairment of DJ's goodwill, since the carrying amount is less than the fair value, and DJ's goodwill is intact.</w:t>
      </w:r>
    </w:p>
    <w:p w14:paraId="5107BE88" w14:textId="60406D7A" w:rsidR="0028475D" w:rsidRPr="008F754D" w:rsidRDefault="00000000" w:rsidP="005438C2">
      <w:pPr>
        <w:spacing w:line="480" w:lineRule="auto"/>
        <w:ind w:firstLine="720"/>
        <w:rPr>
          <w:rFonts w:ascii="Times New Roman" w:hAnsi="Times New Roman" w:cs="Times New Roman"/>
          <w:sz w:val="24"/>
          <w:szCs w:val="24"/>
        </w:rPr>
      </w:pPr>
      <w:r w:rsidRPr="008F754D">
        <w:rPr>
          <w:rFonts w:ascii="Times New Roman" w:hAnsi="Times New Roman" w:cs="Times New Roman"/>
          <w:sz w:val="24"/>
          <w:szCs w:val="24"/>
        </w:rPr>
        <w:lastRenderedPageBreak/>
        <w:t>With these results, TL and DJ do not need to record an impairment loss under ASC 350, where their fair values are greater than their corresponding carrying amounts.</w:t>
      </w:r>
    </w:p>
    <w:p w14:paraId="65F7F5A7" w14:textId="7810BFB6" w:rsidR="0028475D" w:rsidRPr="008F754D" w:rsidRDefault="00000000" w:rsidP="005438C2">
      <w:pPr>
        <w:spacing w:line="480" w:lineRule="auto"/>
        <w:rPr>
          <w:rFonts w:ascii="Times New Roman" w:hAnsi="Times New Roman" w:cs="Times New Roman"/>
          <w:b/>
          <w:bCs/>
          <w:sz w:val="24"/>
          <w:szCs w:val="24"/>
        </w:rPr>
      </w:pPr>
      <w:r w:rsidRPr="008F754D">
        <w:rPr>
          <w:rFonts w:ascii="Times New Roman" w:hAnsi="Times New Roman" w:cs="Times New Roman"/>
          <w:b/>
          <w:bCs/>
          <w:sz w:val="24"/>
          <w:szCs w:val="24"/>
        </w:rPr>
        <w:t>Decision Justification</w:t>
      </w:r>
    </w:p>
    <w:p w14:paraId="228BF01E" w14:textId="77777777" w:rsidR="00277ADC" w:rsidRPr="00277ADC" w:rsidRDefault="00000000" w:rsidP="00277ADC">
      <w:pPr>
        <w:spacing w:line="480" w:lineRule="auto"/>
        <w:jc w:val="center"/>
        <w:rPr>
          <w:rFonts w:ascii="Times New Roman" w:hAnsi="Times New Roman" w:cs="Times New Roman"/>
          <w:sz w:val="24"/>
          <w:szCs w:val="24"/>
        </w:rPr>
      </w:pPr>
      <w:r w:rsidRPr="00277ADC">
        <w:rPr>
          <w:rFonts w:ascii="Times New Roman" w:hAnsi="Times New Roman" w:cs="Times New Roman"/>
          <w:sz w:val="24"/>
          <w:szCs w:val="24"/>
        </w:rPr>
        <w:t>Decision Justification</w:t>
      </w:r>
    </w:p>
    <w:p w14:paraId="6D876332" w14:textId="77777777" w:rsidR="00277ADC" w:rsidRP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Some of the major reinforcing factors for deciding that the standard could be applied to goodwill impairment testing for AMMRC Inc. Second, the two acquired companies (TL and DJ) differ significantly in their economic characteristics so that separate impairment tests are justified. Despite occupying a bigger greenhouse manufacturing sector, both entities are run on polycarbonate sheets and heavy-duty shelf operations that need unique markets and cash flows. This distinction permits companies to undergo tests under different economic characteristics by demonstrating the companies as dissimilar.</w:t>
      </w:r>
    </w:p>
    <w:p w14:paraId="7DF56D1F" w14:textId="77777777" w:rsidR="00277ADC" w:rsidRP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AMMRC Inc. is a publicly held company, therefore, it is not eligible to select the Private Company Council (PCC) alternative. According to the full annual testing requirements of ASC 350 described by Podhorska et al. (2019), the company, thus, has to perform the impairment tests every year or whenever the triggering events occur. This case contains appraisal reports that show the market value of TL and DJ has declined significantly and this is a triggering event for an impairment test. In both these cases, however, the carrying values of TL and DJ are lower than their respective fair values, and we do not need to show any impairment loss.</w:t>
      </w:r>
    </w:p>
    <w:p w14:paraId="4B68371F" w14:textId="77777777" w:rsidR="00277ADC" w:rsidRPr="00277ADC" w:rsidRDefault="00000000" w:rsidP="00277ADC">
      <w:pPr>
        <w:spacing w:line="480" w:lineRule="auto"/>
        <w:ind w:firstLine="720"/>
        <w:rPr>
          <w:rFonts w:ascii="Times New Roman" w:hAnsi="Times New Roman" w:cs="Times New Roman"/>
          <w:sz w:val="24"/>
          <w:szCs w:val="24"/>
        </w:rPr>
      </w:pPr>
      <w:r w:rsidRPr="00277ADC">
        <w:rPr>
          <w:rFonts w:ascii="Times New Roman" w:hAnsi="Times New Roman" w:cs="Times New Roman"/>
          <w:sz w:val="24"/>
          <w:szCs w:val="24"/>
        </w:rPr>
        <w:t xml:space="preserve">The impairment tests of AMMRC Inc. performed in accordance with ASC 350 result in writing down goodwill to the correct value. Finally, the approach of providing triggering events and a fair value comparison approach enhances the transparency and confidence of all </w:t>
      </w:r>
      <w:r w:rsidRPr="00277ADC">
        <w:rPr>
          <w:rFonts w:ascii="Times New Roman" w:hAnsi="Times New Roman" w:cs="Times New Roman"/>
          <w:sz w:val="24"/>
          <w:szCs w:val="24"/>
        </w:rPr>
        <w:lastRenderedPageBreak/>
        <w:t>stakeholders about the financial health of the acquired companies so that not only goodwill is not overstated, but impairment potential is also addressed in a timely fashion.</w:t>
      </w:r>
    </w:p>
    <w:p w14:paraId="7B2821F1" w14:textId="77777777" w:rsidR="00277ADC" w:rsidRDefault="00000000" w:rsidP="00277ADC">
      <w:pPr>
        <w:spacing w:line="480" w:lineRule="auto"/>
        <w:jc w:val="center"/>
        <w:rPr>
          <w:rFonts w:ascii="Times New Roman" w:hAnsi="Times New Roman" w:cs="Times New Roman"/>
          <w:sz w:val="24"/>
          <w:szCs w:val="24"/>
        </w:rPr>
      </w:pPr>
      <w:r w:rsidRPr="00277ADC">
        <w:rPr>
          <w:rFonts w:ascii="Times New Roman" w:hAnsi="Times New Roman" w:cs="Times New Roman"/>
          <w:sz w:val="24"/>
          <w:szCs w:val="24"/>
        </w:rPr>
        <w:t> </w:t>
      </w:r>
    </w:p>
    <w:p w14:paraId="361A67DC" w14:textId="77777777" w:rsidR="00277ADC" w:rsidRDefault="00000000">
      <w:pPr>
        <w:rPr>
          <w:rFonts w:ascii="Times New Roman" w:hAnsi="Times New Roman" w:cs="Times New Roman"/>
          <w:sz w:val="24"/>
          <w:szCs w:val="24"/>
        </w:rPr>
      </w:pPr>
      <w:r>
        <w:rPr>
          <w:rFonts w:ascii="Times New Roman" w:hAnsi="Times New Roman" w:cs="Times New Roman"/>
          <w:sz w:val="24"/>
          <w:szCs w:val="24"/>
        </w:rPr>
        <w:br w:type="page"/>
      </w:r>
    </w:p>
    <w:p w14:paraId="69F1A0B2" w14:textId="4DAB0CE4" w:rsidR="0028475D" w:rsidRDefault="00000000" w:rsidP="00277ADC">
      <w:pPr>
        <w:spacing w:line="480" w:lineRule="auto"/>
        <w:jc w:val="center"/>
        <w:rPr>
          <w:rFonts w:ascii="Times New Roman" w:hAnsi="Times New Roman" w:cs="Times New Roman"/>
          <w:b/>
          <w:bCs/>
          <w:sz w:val="24"/>
          <w:szCs w:val="24"/>
        </w:rPr>
      </w:pPr>
      <w:r w:rsidRPr="008F754D">
        <w:rPr>
          <w:rFonts w:ascii="Times New Roman" w:hAnsi="Times New Roman" w:cs="Times New Roman"/>
          <w:b/>
          <w:bCs/>
          <w:sz w:val="24"/>
          <w:szCs w:val="24"/>
        </w:rPr>
        <w:lastRenderedPageBreak/>
        <w:t>References</w:t>
      </w:r>
    </w:p>
    <w:p w14:paraId="42FBCC0D" w14:textId="77777777" w:rsidR="005438C2" w:rsidRDefault="00000000" w:rsidP="005438C2">
      <w:pPr>
        <w:pStyle w:val="NormalWeb"/>
        <w:spacing w:before="0" w:beforeAutospacing="0" w:after="0" w:afterAutospacing="0" w:line="480" w:lineRule="auto"/>
        <w:ind w:left="720" w:hanging="720"/>
      </w:pPr>
      <w:r>
        <w:t xml:space="preserve">Aicpa. (2019). </w:t>
      </w:r>
      <w:r>
        <w:rPr>
          <w:i/>
          <w:iCs/>
        </w:rPr>
        <w:t>Audit and Accounting Guide: Revenue Recognition 2019</w:t>
      </w:r>
      <w:r>
        <w:t>. John Wiley &amp; Sons.</w:t>
      </w:r>
    </w:p>
    <w:p w14:paraId="50CFED95" w14:textId="77777777" w:rsidR="005438C2" w:rsidRDefault="00000000" w:rsidP="005438C2">
      <w:pPr>
        <w:pStyle w:val="NormalWeb"/>
        <w:spacing w:before="0" w:beforeAutospacing="0" w:after="0" w:afterAutospacing="0" w:line="480" w:lineRule="auto"/>
        <w:ind w:left="720" w:hanging="720"/>
      </w:pPr>
      <w:r>
        <w:t xml:space="preserve">Ferramosca, S., &amp; Allegrini, M. (2021). Impairment or amortization of goodwill? An analysis of CFO perceptions of goodwill accounting. </w:t>
      </w:r>
      <w:r>
        <w:rPr>
          <w:i/>
          <w:iCs/>
        </w:rPr>
        <w:t>European Management Journal</w:t>
      </w:r>
      <w:r>
        <w:t xml:space="preserve">, </w:t>
      </w:r>
      <w:r>
        <w:rPr>
          <w:i/>
          <w:iCs/>
        </w:rPr>
        <w:t>39</w:t>
      </w:r>
      <w:r>
        <w:t xml:space="preserve">(6), 816–828. </w:t>
      </w:r>
      <w:r>
        <w:rPr>
          <w:rStyle w:val="url"/>
          <w:rFonts w:eastAsiaTheme="majorEastAsia"/>
        </w:rPr>
        <w:t>https://doi.org/10.1016/j.emj.2021.03.001</w:t>
      </w:r>
    </w:p>
    <w:p w14:paraId="53DA4552" w14:textId="77777777" w:rsidR="005438C2" w:rsidRDefault="00000000" w:rsidP="005438C2">
      <w:pPr>
        <w:pStyle w:val="NormalWeb"/>
        <w:spacing w:before="0" w:beforeAutospacing="0" w:after="0" w:afterAutospacing="0" w:line="480" w:lineRule="auto"/>
        <w:ind w:left="720" w:hanging="720"/>
      </w:pPr>
      <w:r>
        <w:t xml:space="preserve">Franklin, M., Graybeal, P., &amp; Cooper, D. (2019). </w:t>
      </w:r>
      <w:r>
        <w:rPr>
          <w:i/>
          <w:iCs/>
        </w:rPr>
        <w:t>Principles of Accounting Volume 1 - Financial Accounting</w:t>
      </w:r>
      <w:r>
        <w:t>.</w:t>
      </w:r>
    </w:p>
    <w:p w14:paraId="77A22C9C" w14:textId="77777777" w:rsidR="005438C2" w:rsidRDefault="00000000" w:rsidP="005438C2">
      <w:pPr>
        <w:pStyle w:val="NormalWeb"/>
        <w:spacing w:before="0" w:beforeAutospacing="0" w:after="0" w:afterAutospacing="0" w:line="480" w:lineRule="auto"/>
        <w:ind w:left="720" w:hanging="720"/>
      </w:pPr>
      <w:r>
        <w:t xml:space="preserve">McNellis, C. J., Barone, G. J., &amp; Herbold, J. (2020). Larson Industries: A case on identifying and Researching revenue recognition issues. </w:t>
      </w:r>
      <w:r>
        <w:rPr>
          <w:i/>
          <w:iCs/>
        </w:rPr>
        <w:t>Issues in Accounting Education</w:t>
      </w:r>
      <w:r>
        <w:t xml:space="preserve">, </w:t>
      </w:r>
      <w:r>
        <w:rPr>
          <w:i/>
          <w:iCs/>
        </w:rPr>
        <w:t>35</w:t>
      </w:r>
      <w:r>
        <w:t xml:space="preserve">(2), 65–75. </w:t>
      </w:r>
      <w:r>
        <w:rPr>
          <w:rStyle w:val="url"/>
          <w:rFonts w:eastAsiaTheme="majorEastAsia"/>
        </w:rPr>
        <w:t>https://doi.org/10.2308/issues-19-016</w:t>
      </w:r>
    </w:p>
    <w:p w14:paraId="23964400" w14:textId="77777777" w:rsidR="005438C2" w:rsidRDefault="00000000" w:rsidP="005438C2">
      <w:pPr>
        <w:pStyle w:val="NormalWeb"/>
        <w:spacing w:before="0" w:beforeAutospacing="0" w:after="0" w:afterAutospacing="0" w:line="480" w:lineRule="auto"/>
        <w:ind w:left="720" w:hanging="720"/>
      </w:pPr>
      <w:r>
        <w:t xml:space="preserve">Podhorska, I., Gajanova, L., Kliestikova, J., &amp; Popescu, G. H. (2019). Analysis of internally generated goodwill indicators: A case study of the Slovak Republic. </w:t>
      </w:r>
      <w:r>
        <w:rPr>
          <w:i/>
          <w:iCs/>
        </w:rPr>
        <w:t>Organizacija</w:t>
      </w:r>
      <w:r>
        <w:t xml:space="preserve">, </w:t>
      </w:r>
      <w:r>
        <w:rPr>
          <w:i/>
          <w:iCs/>
        </w:rPr>
        <w:t>52</w:t>
      </w:r>
      <w:r>
        <w:t xml:space="preserve">(4), 271–285. </w:t>
      </w:r>
      <w:r>
        <w:rPr>
          <w:rStyle w:val="url"/>
          <w:rFonts w:eastAsiaTheme="majorEastAsia"/>
        </w:rPr>
        <w:t>https://doi.org/10.2478/orga-2019-0017</w:t>
      </w:r>
    </w:p>
    <w:p w14:paraId="314EEEF9" w14:textId="77777777" w:rsidR="001437EE" w:rsidRPr="005438C2" w:rsidRDefault="001437EE" w:rsidP="005438C2">
      <w:pPr>
        <w:spacing w:line="480" w:lineRule="auto"/>
        <w:rPr>
          <w:rFonts w:ascii="Times New Roman" w:hAnsi="Times New Roman" w:cs="Times New Roman"/>
          <w:sz w:val="24"/>
          <w:szCs w:val="24"/>
        </w:rPr>
      </w:pPr>
    </w:p>
    <w:sectPr w:rsidR="001437EE" w:rsidRPr="005438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FC7EE" w14:textId="77777777" w:rsidR="008B0058" w:rsidRDefault="008B0058">
      <w:pPr>
        <w:spacing w:after="0" w:line="240" w:lineRule="auto"/>
      </w:pPr>
      <w:r>
        <w:separator/>
      </w:r>
    </w:p>
  </w:endnote>
  <w:endnote w:type="continuationSeparator" w:id="0">
    <w:p w14:paraId="7D01CBAF" w14:textId="77777777" w:rsidR="008B0058" w:rsidRDefault="008B0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98D00B" w14:textId="77777777" w:rsidR="008B0058" w:rsidRDefault="008B0058">
      <w:pPr>
        <w:spacing w:after="0" w:line="240" w:lineRule="auto"/>
      </w:pPr>
      <w:r>
        <w:separator/>
      </w:r>
    </w:p>
  </w:footnote>
  <w:footnote w:type="continuationSeparator" w:id="0">
    <w:p w14:paraId="0745A636" w14:textId="77777777" w:rsidR="008B0058" w:rsidRDefault="008B0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2038803263"/>
      <w:docPartObj>
        <w:docPartGallery w:val="Page Numbers (Top of Page)"/>
        <w:docPartUnique/>
      </w:docPartObj>
    </w:sdtPr>
    <w:sdtEndPr>
      <w:rPr>
        <w:noProof/>
      </w:rPr>
    </w:sdtEndPr>
    <w:sdtContent>
      <w:p w14:paraId="7724B07E" w14:textId="28CA7A59" w:rsidR="005438C2" w:rsidRPr="005438C2" w:rsidRDefault="00000000">
        <w:pPr>
          <w:pStyle w:val="Header"/>
          <w:jc w:val="right"/>
          <w:rPr>
            <w:rFonts w:ascii="Times New Roman" w:hAnsi="Times New Roman" w:cs="Times New Roman"/>
            <w:sz w:val="24"/>
            <w:szCs w:val="24"/>
          </w:rPr>
        </w:pPr>
        <w:r w:rsidRPr="005438C2">
          <w:rPr>
            <w:rFonts w:ascii="Times New Roman" w:hAnsi="Times New Roman" w:cs="Times New Roman"/>
            <w:sz w:val="24"/>
            <w:szCs w:val="24"/>
          </w:rPr>
          <w:fldChar w:fldCharType="begin"/>
        </w:r>
        <w:r w:rsidRPr="005438C2">
          <w:rPr>
            <w:rFonts w:ascii="Times New Roman" w:hAnsi="Times New Roman" w:cs="Times New Roman"/>
            <w:sz w:val="24"/>
            <w:szCs w:val="24"/>
          </w:rPr>
          <w:instrText xml:space="preserve"> PAGE   \* MERGEFORMAT </w:instrText>
        </w:r>
        <w:r w:rsidRPr="005438C2">
          <w:rPr>
            <w:rFonts w:ascii="Times New Roman" w:hAnsi="Times New Roman" w:cs="Times New Roman"/>
            <w:sz w:val="24"/>
            <w:szCs w:val="24"/>
          </w:rPr>
          <w:fldChar w:fldCharType="separate"/>
        </w:r>
        <w:r w:rsidRPr="005438C2">
          <w:rPr>
            <w:rFonts w:ascii="Times New Roman" w:hAnsi="Times New Roman" w:cs="Times New Roman"/>
            <w:noProof/>
            <w:sz w:val="24"/>
            <w:szCs w:val="24"/>
          </w:rPr>
          <w:t>2</w:t>
        </w:r>
        <w:r w:rsidRPr="005438C2">
          <w:rPr>
            <w:rFonts w:ascii="Times New Roman" w:hAnsi="Times New Roman" w:cs="Times New Roman"/>
            <w:noProof/>
            <w:sz w:val="24"/>
            <w:szCs w:val="24"/>
          </w:rPr>
          <w:fldChar w:fldCharType="end"/>
        </w:r>
      </w:p>
    </w:sdtContent>
  </w:sdt>
  <w:p w14:paraId="7DC235C1" w14:textId="77777777" w:rsidR="005438C2" w:rsidRPr="005438C2" w:rsidRDefault="005438C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A2515"/>
    <w:multiLevelType w:val="hybridMultilevel"/>
    <w:tmpl w:val="09428874"/>
    <w:lvl w:ilvl="0" w:tplc="CE3A1B86">
      <w:start w:val="1"/>
      <w:numFmt w:val="bullet"/>
      <w:lvlText w:val=""/>
      <w:lvlJc w:val="left"/>
      <w:pPr>
        <w:ind w:left="720" w:hanging="360"/>
      </w:pPr>
      <w:rPr>
        <w:rFonts w:ascii="Symbol" w:hAnsi="Symbol" w:hint="default"/>
      </w:rPr>
    </w:lvl>
    <w:lvl w:ilvl="1" w:tplc="3B569C7C" w:tentative="1">
      <w:start w:val="1"/>
      <w:numFmt w:val="bullet"/>
      <w:lvlText w:val="o"/>
      <w:lvlJc w:val="left"/>
      <w:pPr>
        <w:ind w:left="1440" w:hanging="360"/>
      </w:pPr>
      <w:rPr>
        <w:rFonts w:ascii="Courier New" w:hAnsi="Courier New" w:cs="Courier New" w:hint="default"/>
      </w:rPr>
    </w:lvl>
    <w:lvl w:ilvl="2" w:tplc="BB067C0C" w:tentative="1">
      <w:start w:val="1"/>
      <w:numFmt w:val="bullet"/>
      <w:lvlText w:val=""/>
      <w:lvlJc w:val="left"/>
      <w:pPr>
        <w:ind w:left="2160" w:hanging="360"/>
      </w:pPr>
      <w:rPr>
        <w:rFonts w:ascii="Wingdings" w:hAnsi="Wingdings" w:hint="default"/>
      </w:rPr>
    </w:lvl>
    <w:lvl w:ilvl="3" w:tplc="6EA41A6C" w:tentative="1">
      <w:start w:val="1"/>
      <w:numFmt w:val="bullet"/>
      <w:lvlText w:val=""/>
      <w:lvlJc w:val="left"/>
      <w:pPr>
        <w:ind w:left="2880" w:hanging="360"/>
      </w:pPr>
      <w:rPr>
        <w:rFonts w:ascii="Symbol" w:hAnsi="Symbol" w:hint="default"/>
      </w:rPr>
    </w:lvl>
    <w:lvl w:ilvl="4" w:tplc="E812946C" w:tentative="1">
      <w:start w:val="1"/>
      <w:numFmt w:val="bullet"/>
      <w:lvlText w:val="o"/>
      <w:lvlJc w:val="left"/>
      <w:pPr>
        <w:ind w:left="3600" w:hanging="360"/>
      </w:pPr>
      <w:rPr>
        <w:rFonts w:ascii="Courier New" w:hAnsi="Courier New" w:cs="Courier New" w:hint="default"/>
      </w:rPr>
    </w:lvl>
    <w:lvl w:ilvl="5" w:tplc="95986C3C" w:tentative="1">
      <w:start w:val="1"/>
      <w:numFmt w:val="bullet"/>
      <w:lvlText w:val=""/>
      <w:lvlJc w:val="left"/>
      <w:pPr>
        <w:ind w:left="4320" w:hanging="360"/>
      </w:pPr>
      <w:rPr>
        <w:rFonts w:ascii="Wingdings" w:hAnsi="Wingdings" w:hint="default"/>
      </w:rPr>
    </w:lvl>
    <w:lvl w:ilvl="6" w:tplc="95B8263A" w:tentative="1">
      <w:start w:val="1"/>
      <w:numFmt w:val="bullet"/>
      <w:lvlText w:val=""/>
      <w:lvlJc w:val="left"/>
      <w:pPr>
        <w:ind w:left="5040" w:hanging="360"/>
      </w:pPr>
      <w:rPr>
        <w:rFonts w:ascii="Symbol" w:hAnsi="Symbol" w:hint="default"/>
      </w:rPr>
    </w:lvl>
    <w:lvl w:ilvl="7" w:tplc="C58AEF30" w:tentative="1">
      <w:start w:val="1"/>
      <w:numFmt w:val="bullet"/>
      <w:lvlText w:val="o"/>
      <w:lvlJc w:val="left"/>
      <w:pPr>
        <w:ind w:left="5760" w:hanging="360"/>
      </w:pPr>
      <w:rPr>
        <w:rFonts w:ascii="Courier New" w:hAnsi="Courier New" w:cs="Courier New" w:hint="default"/>
      </w:rPr>
    </w:lvl>
    <w:lvl w:ilvl="8" w:tplc="9378CE6C" w:tentative="1">
      <w:start w:val="1"/>
      <w:numFmt w:val="bullet"/>
      <w:lvlText w:val=""/>
      <w:lvlJc w:val="left"/>
      <w:pPr>
        <w:ind w:left="6480" w:hanging="360"/>
      </w:pPr>
      <w:rPr>
        <w:rFonts w:ascii="Wingdings" w:hAnsi="Wingdings" w:hint="default"/>
      </w:rPr>
    </w:lvl>
  </w:abstractNum>
  <w:abstractNum w:abstractNumId="1" w15:restartNumberingAfterBreak="0">
    <w:nsid w:val="2BF21158"/>
    <w:multiLevelType w:val="hybridMultilevel"/>
    <w:tmpl w:val="6D086522"/>
    <w:lvl w:ilvl="0" w:tplc="1F045870">
      <w:start w:val="1"/>
      <w:numFmt w:val="bullet"/>
      <w:lvlText w:val=""/>
      <w:lvlJc w:val="left"/>
      <w:pPr>
        <w:ind w:left="1440" w:hanging="360"/>
      </w:pPr>
      <w:rPr>
        <w:rFonts w:ascii="Symbol" w:hAnsi="Symbol" w:hint="default"/>
      </w:rPr>
    </w:lvl>
    <w:lvl w:ilvl="1" w:tplc="178A6D1C" w:tentative="1">
      <w:start w:val="1"/>
      <w:numFmt w:val="bullet"/>
      <w:lvlText w:val="o"/>
      <w:lvlJc w:val="left"/>
      <w:pPr>
        <w:ind w:left="2160" w:hanging="360"/>
      </w:pPr>
      <w:rPr>
        <w:rFonts w:ascii="Courier New" w:hAnsi="Courier New" w:cs="Courier New" w:hint="default"/>
      </w:rPr>
    </w:lvl>
    <w:lvl w:ilvl="2" w:tplc="2E087070" w:tentative="1">
      <w:start w:val="1"/>
      <w:numFmt w:val="bullet"/>
      <w:lvlText w:val=""/>
      <w:lvlJc w:val="left"/>
      <w:pPr>
        <w:ind w:left="2880" w:hanging="360"/>
      </w:pPr>
      <w:rPr>
        <w:rFonts w:ascii="Wingdings" w:hAnsi="Wingdings" w:hint="default"/>
      </w:rPr>
    </w:lvl>
    <w:lvl w:ilvl="3" w:tplc="E2DCC602" w:tentative="1">
      <w:start w:val="1"/>
      <w:numFmt w:val="bullet"/>
      <w:lvlText w:val=""/>
      <w:lvlJc w:val="left"/>
      <w:pPr>
        <w:ind w:left="3600" w:hanging="360"/>
      </w:pPr>
      <w:rPr>
        <w:rFonts w:ascii="Symbol" w:hAnsi="Symbol" w:hint="default"/>
      </w:rPr>
    </w:lvl>
    <w:lvl w:ilvl="4" w:tplc="B57ABF68" w:tentative="1">
      <w:start w:val="1"/>
      <w:numFmt w:val="bullet"/>
      <w:lvlText w:val="o"/>
      <w:lvlJc w:val="left"/>
      <w:pPr>
        <w:ind w:left="4320" w:hanging="360"/>
      </w:pPr>
      <w:rPr>
        <w:rFonts w:ascii="Courier New" w:hAnsi="Courier New" w:cs="Courier New" w:hint="default"/>
      </w:rPr>
    </w:lvl>
    <w:lvl w:ilvl="5" w:tplc="74EAB0B2" w:tentative="1">
      <w:start w:val="1"/>
      <w:numFmt w:val="bullet"/>
      <w:lvlText w:val=""/>
      <w:lvlJc w:val="left"/>
      <w:pPr>
        <w:ind w:left="5040" w:hanging="360"/>
      </w:pPr>
      <w:rPr>
        <w:rFonts w:ascii="Wingdings" w:hAnsi="Wingdings" w:hint="default"/>
      </w:rPr>
    </w:lvl>
    <w:lvl w:ilvl="6" w:tplc="43F44434" w:tentative="1">
      <w:start w:val="1"/>
      <w:numFmt w:val="bullet"/>
      <w:lvlText w:val=""/>
      <w:lvlJc w:val="left"/>
      <w:pPr>
        <w:ind w:left="5760" w:hanging="360"/>
      </w:pPr>
      <w:rPr>
        <w:rFonts w:ascii="Symbol" w:hAnsi="Symbol" w:hint="default"/>
      </w:rPr>
    </w:lvl>
    <w:lvl w:ilvl="7" w:tplc="DD744158" w:tentative="1">
      <w:start w:val="1"/>
      <w:numFmt w:val="bullet"/>
      <w:lvlText w:val="o"/>
      <w:lvlJc w:val="left"/>
      <w:pPr>
        <w:ind w:left="6480" w:hanging="360"/>
      </w:pPr>
      <w:rPr>
        <w:rFonts w:ascii="Courier New" w:hAnsi="Courier New" w:cs="Courier New" w:hint="default"/>
      </w:rPr>
    </w:lvl>
    <w:lvl w:ilvl="8" w:tplc="17E07322" w:tentative="1">
      <w:start w:val="1"/>
      <w:numFmt w:val="bullet"/>
      <w:lvlText w:val=""/>
      <w:lvlJc w:val="left"/>
      <w:pPr>
        <w:ind w:left="7200" w:hanging="360"/>
      </w:pPr>
      <w:rPr>
        <w:rFonts w:ascii="Wingdings" w:hAnsi="Wingdings" w:hint="default"/>
      </w:rPr>
    </w:lvl>
  </w:abstractNum>
  <w:abstractNum w:abstractNumId="2" w15:restartNumberingAfterBreak="0">
    <w:nsid w:val="787C6E55"/>
    <w:multiLevelType w:val="hybridMultilevel"/>
    <w:tmpl w:val="E540581A"/>
    <w:lvl w:ilvl="0" w:tplc="8C8C57A2">
      <w:start w:val="1"/>
      <w:numFmt w:val="bullet"/>
      <w:lvlText w:val=""/>
      <w:lvlJc w:val="left"/>
      <w:pPr>
        <w:ind w:left="720" w:hanging="360"/>
      </w:pPr>
      <w:rPr>
        <w:rFonts w:ascii="Symbol" w:hAnsi="Symbol" w:hint="default"/>
      </w:rPr>
    </w:lvl>
    <w:lvl w:ilvl="1" w:tplc="39AABE52" w:tentative="1">
      <w:start w:val="1"/>
      <w:numFmt w:val="bullet"/>
      <w:lvlText w:val="o"/>
      <w:lvlJc w:val="left"/>
      <w:pPr>
        <w:ind w:left="1440" w:hanging="360"/>
      </w:pPr>
      <w:rPr>
        <w:rFonts w:ascii="Courier New" w:hAnsi="Courier New" w:cs="Courier New" w:hint="default"/>
      </w:rPr>
    </w:lvl>
    <w:lvl w:ilvl="2" w:tplc="F3A008C0" w:tentative="1">
      <w:start w:val="1"/>
      <w:numFmt w:val="bullet"/>
      <w:lvlText w:val=""/>
      <w:lvlJc w:val="left"/>
      <w:pPr>
        <w:ind w:left="2160" w:hanging="360"/>
      </w:pPr>
      <w:rPr>
        <w:rFonts w:ascii="Wingdings" w:hAnsi="Wingdings" w:hint="default"/>
      </w:rPr>
    </w:lvl>
    <w:lvl w:ilvl="3" w:tplc="F7B6CAFE" w:tentative="1">
      <w:start w:val="1"/>
      <w:numFmt w:val="bullet"/>
      <w:lvlText w:val=""/>
      <w:lvlJc w:val="left"/>
      <w:pPr>
        <w:ind w:left="2880" w:hanging="360"/>
      </w:pPr>
      <w:rPr>
        <w:rFonts w:ascii="Symbol" w:hAnsi="Symbol" w:hint="default"/>
      </w:rPr>
    </w:lvl>
    <w:lvl w:ilvl="4" w:tplc="E6643E64" w:tentative="1">
      <w:start w:val="1"/>
      <w:numFmt w:val="bullet"/>
      <w:lvlText w:val="o"/>
      <w:lvlJc w:val="left"/>
      <w:pPr>
        <w:ind w:left="3600" w:hanging="360"/>
      </w:pPr>
      <w:rPr>
        <w:rFonts w:ascii="Courier New" w:hAnsi="Courier New" w:cs="Courier New" w:hint="default"/>
      </w:rPr>
    </w:lvl>
    <w:lvl w:ilvl="5" w:tplc="D1A0660A" w:tentative="1">
      <w:start w:val="1"/>
      <w:numFmt w:val="bullet"/>
      <w:lvlText w:val=""/>
      <w:lvlJc w:val="left"/>
      <w:pPr>
        <w:ind w:left="4320" w:hanging="360"/>
      </w:pPr>
      <w:rPr>
        <w:rFonts w:ascii="Wingdings" w:hAnsi="Wingdings" w:hint="default"/>
      </w:rPr>
    </w:lvl>
    <w:lvl w:ilvl="6" w:tplc="F4D2E0DC" w:tentative="1">
      <w:start w:val="1"/>
      <w:numFmt w:val="bullet"/>
      <w:lvlText w:val=""/>
      <w:lvlJc w:val="left"/>
      <w:pPr>
        <w:ind w:left="5040" w:hanging="360"/>
      </w:pPr>
      <w:rPr>
        <w:rFonts w:ascii="Symbol" w:hAnsi="Symbol" w:hint="default"/>
      </w:rPr>
    </w:lvl>
    <w:lvl w:ilvl="7" w:tplc="12B059CC" w:tentative="1">
      <w:start w:val="1"/>
      <w:numFmt w:val="bullet"/>
      <w:lvlText w:val="o"/>
      <w:lvlJc w:val="left"/>
      <w:pPr>
        <w:ind w:left="5760" w:hanging="360"/>
      </w:pPr>
      <w:rPr>
        <w:rFonts w:ascii="Courier New" w:hAnsi="Courier New" w:cs="Courier New" w:hint="default"/>
      </w:rPr>
    </w:lvl>
    <w:lvl w:ilvl="8" w:tplc="51F0F1FE" w:tentative="1">
      <w:start w:val="1"/>
      <w:numFmt w:val="bullet"/>
      <w:lvlText w:val=""/>
      <w:lvlJc w:val="left"/>
      <w:pPr>
        <w:ind w:left="6480" w:hanging="360"/>
      </w:pPr>
      <w:rPr>
        <w:rFonts w:ascii="Wingdings" w:hAnsi="Wingdings" w:hint="default"/>
      </w:rPr>
    </w:lvl>
  </w:abstractNum>
  <w:num w:numId="1" w16cid:durableId="362635788">
    <w:abstractNumId w:val="1"/>
  </w:num>
  <w:num w:numId="2" w16cid:durableId="1251501172">
    <w:abstractNumId w:val="0"/>
  </w:num>
  <w:num w:numId="3" w16cid:durableId="156307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83"/>
    <w:rsid w:val="00014F98"/>
    <w:rsid w:val="0002414B"/>
    <w:rsid w:val="000F1BF4"/>
    <w:rsid w:val="001437EE"/>
    <w:rsid w:val="00277ADC"/>
    <w:rsid w:val="0028475D"/>
    <w:rsid w:val="002F4160"/>
    <w:rsid w:val="0032094E"/>
    <w:rsid w:val="00395844"/>
    <w:rsid w:val="00425F74"/>
    <w:rsid w:val="004F5CC5"/>
    <w:rsid w:val="005438C2"/>
    <w:rsid w:val="00677B30"/>
    <w:rsid w:val="00685AE2"/>
    <w:rsid w:val="007408C8"/>
    <w:rsid w:val="008B0058"/>
    <w:rsid w:val="008F754D"/>
    <w:rsid w:val="008F757C"/>
    <w:rsid w:val="00924939"/>
    <w:rsid w:val="00996116"/>
    <w:rsid w:val="00A525B0"/>
    <w:rsid w:val="00AE3CF1"/>
    <w:rsid w:val="00CE6A5F"/>
    <w:rsid w:val="00D92112"/>
    <w:rsid w:val="00DD4D83"/>
    <w:rsid w:val="00F86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4B09"/>
  <w15:chartTrackingRefBased/>
  <w15:docId w15:val="{DFD8FB05-8C2F-4DE2-85A9-C4A715FF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83"/>
    <w:rPr>
      <w:rFonts w:eastAsiaTheme="majorEastAsia" w:cstheme="majorBidi"/>
      <w:color w:val="272727" w:themeColor="text1" w:themeTint="D8"/>
    </w:rPr>
  </w:style>
  <w:style w:type="paragraph" w:styleId="Title">
    <w:name w:val="Title"/>
    <w:basedOn w:val="Normal"/>
    <w:next w:val="Normal"/>
    <w:link w:val="TitleChar"/>
    <w:uiPriority w:val="10"/>
    <w:qFormat/>
    <w:rsid w:val="00DD4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83"/>
    <w:pPr>
      <w:spacing w:before="160"/>
      <w:jc w:val="center"/>
    </w:pPr>
    <w:rPr>
      <w:i/>
      <w:iCs/>
      <w:color w:val="404040" w:themeColor="text1" w:themeTint="BF"/>
    </w:rPr>
  </w:style>
  <w:style w:type="character" w:customStyle="1" w:styleId="QuoteChar">
    <w:name w:val="Quote Char"/>
    <w:basedOn w:val="DefaultParagraphFont"/>
    <w:link w:val="Quote"/>
    <w:uiPriority w:val="29"/>
    <w:rsid w:val="00DD4D83"/>
    <w:rPr>
      <w:i/>
      <w:iCs/>
      <w:color w:val="404040" w:themeColor="text1" w:themeTint="BF"/>
    </w:rPr>
  </w:style>
  <w:style w:type="paragraph" w:styleId="ListParagraph">
    <w:name w:val="List Paragraph"/>
    <w:basedOn w:val="Normal"/>
    <w:uiPriority w:val="34"/>
    <w:qFormat/>
    <w:rsid w:val="00DD4D83"/>
    <w:pPr>
      <w:ind w:left="720"/>
      <w:contextualSpacing/>
    </w:pPr>
  </w:style>
  <w:style w:type="character" w:styleId="IntenseEmphasis">
    <w:name w:val="Intense Emphasis"/>
    <w:basedOn w:val="DefaultParagraphFont"/>
    <w:uiPriority w:val="21"/>
    <w:qFormat/>
    <w:rsid w:val="00DD4D83"/>
    <w:rPr>
      <w:i/>
      <w:iCs/>
      <w:color w:val="0F4761" w:themeColor="accent1" w:themeShade="BF"/>
    </w:rPr>
  </w:style>
  <w:style w:type="paragraph" w:styleId="IntenseQuote">
    <w:name w:val="Intense Quote"/>
    <w:basedOn w:val="Normal"/>
    <w:next w:val="Normal"/>
    <w:link w:val="IntenseQuoteChar"/>
    <w:uiPriority w:val="30"/>
    <w:qFormat/>
    <w:rsid w:val="00DD4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D83"/>
    <w:rPr>
      <w:i/>
      <w:iCs/>
      <w:color w:val="0F4761" w:themeColor="accent1" w:themeShade="BF"/>
    </w:rPr>
  </w:style>
  <w:style w:type="character" w:styleId="IntenseReference">
    <w:name w:val="Intense Reference"/>
    <w:basedOn w:val="DefaultParagraphFont"/>
    <w:uiPriority w:val="32"/>
    <w:qFormat/>
    <w:rsid w:val="00DD4D83"/>
    <w:rPr>
      <w:b/>
      <w:bCs/>
      <w:smallCaps/>
      <w:color w:val="0F4761" w:themeColor="accent1" w:themeShade="BF"/>
      <w:spacing w:val="5"/>
    </w:rPr>
  </w:style>
  <w:style w:type="paragraph" w:styleId="NormalWeb">
    <w:name w:val="Normal (Web)"/>
    <w:basedOn w:val="Normal"/>
    <w:uiPriority w:val="99"/>
    <w:semiHidden/>
    <w:unhideWhenUsed/>
    <w:rsid w:val="005438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5438C2"/>
  </w:style>
  <w:style w:type="paragraph" w:styleId="Header">
    <w:name w:val="header"/>
    <w:basedOn w:val="Normal"/>
    <w:link w:val="HeaderChar"/>
    <w:uiPriority w:val="99"/>
    <w:unhideWhenUsed/>
    <w:rsid w:val="00543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8C2"/>
  </w:style>
  <w:style w:type="paragraph" w:styleId="Footer">
    <w:name w:val="footer"/>
    <w:basedOn w:val="Normal"/>
    <w:link w:val="FooterChar"/>
    <w:uiPriority w:val="99"/>
    <w:unhideWhenUsed/>
    <w:rsid w:val="00543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18</Pages>
  <Words>3566</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 kidiga</dc:creator>
  <cp:lastModifiedBy>claud kidiga</cp:lastModifiedBy>
  <cp:revision>8</cp:revision>
  <dcterms:created xsi:type="dcterms:W3CDTF">2024-12-10T10:19:00Z</dcterms:created>
  <dcterms:modified xsi:type="dcterms:W3CDTF">2024-12-11T12:34:00Z</dcterms:modified>
</cp:coreProperties>
</file>