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MIETVERTRAG</w:t>
      </w:r>
    </w:p>
    <w:p>
      <w:pPr>
        <w:spacing w:after="240"/>
        <w:jc w:val="center"/>
      </w:pPr>
      <w:r>
        <w:rPr>
          <w:sz w:val="28"/>
          <w:szCs w:val="28"/>
        </w:rPr>
        <w:t xml:space="preserve">über Wohnraum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F2EFD9" w:val="clear"/>
            <w:tcMar>
              <w:top w:type="dxa" w:w="120"/>
              <w:left w:type="dxa" w:w="160"/>
              <w:bottom w:type="dxa" w:w="120"/>
              <w:right w:type="dxa" w:w="160"/>
            </w:tcMar>
          </w:tcPr>
          <w:p>
            <w:pPr>
              <w:spacing w:after="80"/>
            </w:pPr>
            <w:r>
              <w:rPr>
                <w:b/>
                <w:bCs/>
                <w:sz w:val="22"/>
                <w:szCs w:val="22"/>
              </w:rPr>
              <w:t xml:space="preserve">Wichtiger Hinweis zur Verwendung</w:t>
            </w:r>
          </w:p>
          <w:p>
            <w:pPr>
              <w:spacing w:after="0" w:line="252"/>
              <w:jc w:val="both"/>
            </w:pPr>
            <w:r>
              <w:rPr>
                <w:sz w:val="20"/>
                <w:szCs w:val="20"/>
              </w:rPr>
              <w:t xml:space="preserve">Dieses Muster fasst gängige Formularmietverträge (u. a. nach dem Vorbild von Haus &amp; Grund, Mietervereinen und juristischen Fachverlagen) zusammen und ist auf den Rechtsstand 2026 abgestimmt. Es wurde bewusst so formuliert, dass die häufig von Gerichten beanstandeten Klauseln (insb. zu Schönheits- und Kleinreparaturen) vermieden bzw. wirksam gefasst sind. Ersetzt jedoch keine Rechtsberatung. Bitte vor Verwendung auf den Einzelfall anpassen und im Zweifel anwaltlich oder durch Haus &amp; Grund bzw. einen Mieterverein prüfen lassen. Grau hinterlegte oder kursive Hinweise und die Erläuterungen am Ende sind nicht Vertragsbestandteil und vor dem Druck zu entfernen.</w:t>
            </w:r>
          </w:p>
        </w:tc>
      </w:tr>
    </w:tbl>
    <w:p>
      <w:pPr>
        <w:spacing w:after="200"/>
      </w:pPr>
      <w:r>
        <w:t xml:space="preserve"/>
      </w:r>
    </w:p>
    <w:p>
      <w:pPr>
        <w:pStyle w:val="Heading2"/>
        <w:keepNext/>
        <w:spacing w:after="130" w:before="260"/>
      </w:pPr>
      <w:r>
        <w:t xml:space="preserve">§ 1  Vertragsparteien</w:t>
      </w:r>
    </w:p>
    <w:p>
      <w:pPr>
        <w:spacing w:after="60" w:line="264"/>
        <w:jc w:val="both"/>
      </w:pPr>
      <w:r>
        <w:t xml:space="preserve">Zwischen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200"/>
        <w:gridCol w:w="5826"/>
      </w:tblGrid>
      <w:tr>
        <w:tc>
          <w:tcPr>
            <w:tcW w:type="dxa" w:w="3200"/>
            <w:tcMar>
              <w:top w:type="dxa" w:w="40"/>
              <w:left w:type="dxa" w:w="0"/>
              <w:bottom w:type="dxa" w:w="40"/>
              <w:right w:type="dxa" w:w="120"/>
            </w:tcMar>
            <w:vAlign w:val="bottom"/>
          </w:tcPr>
          <w:p>
            <w:r>
              <w:t xml:space="preserve">Name / Firma:</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Anschrift:</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ggf. vertreten durch:</w:t>
            </w:r>
          </w:p>
        </w:tc>
        <w:tc>
          <w:tcPr>
            <w:tcW w:type="dxa" w:w="5826"/>
            <w:tcMar>
              <w:top w:type="dxa" w:w="40"/>
              <w:left w:type="dxa" w:w="0"/>
              <w:bottom w:type="dxa" w:w="40"/>
              <w:right w:type="dxa" w:w="0"/>
            </w:tcMar>
            <w:vAlign w:val="bottom"/>
          </w:tcPr>
          <w:p>
            <w:pPr>
              <w:pBdr>
                <w:bottom w:val="single" w:color="888888" w:sz="4" w:space="1"/>
              </w:pBdr>
            </w:pPr>
            <w:r>
              <w:t xml:space="preserve"> </w:t>
            </w:r>
          </w:p>
        </w:tc>
      </w:tr>
    </w:tbl>
    <w:p>
      <w:pPr>
        <w:spacing w:after="120" w:line="264"/>
        <w:jc w:val="both"/>
      </w:pPr>
      <w:r>
        <w:t xml:space="preserve">– nachstehend „Vermieter“ genannt –</w:t>
      </w:r>
    </w:p>
    <w:p>
      <w:pPr>
        <w:spacing w:after="60" w:line="264"/>
        <w:jc w:val="both"/>
      </w:pPr>
      <w:r>
        <w:t xml:space="preserve">und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200"/>
        <w:gridCol w:w="5826"/>
      </w:tblGrid>
      <w:tr>
        <w:tc>
          <w:tcPr>
            <w:tcW w:type="dxa" w:w="3200"/>
            <w:tcMar>
              <w:top w:type="dxa" w:w="40"/>
              <w:left w:type="dxa" w:w="0"/>
              <w:bottom w:type="dxa" w:w="40"/>
              <w:right w:type="dxa" w:w="120"/>
            </w:tcMar>
            <w:vAlign w:val="bottom"/>
          </w:tcPr>
          <w:p>
            <w:r>
              <w:t xml:space="preserve">Name, Vorname:</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geb. am:</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bisherige Anschrift:</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weitere/r Mieter/in:</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geb. am:</w:t>
            </w:r>
          </w:p>
        </w:tc>
        <w:tc>
          <w:tcPr>
            <w:tcW w:type="dxa" w:w="5826"/>
            <w:tcMar>
              <w:top w:type="dxa" w:w="40"/>
              <w:left w:type="dxa" w:w="0"/>
              <w:bottom w:type="dxa" w:w="40"/>
              <w:right w:type="dxa" w:w="0"/>
            </w:tcMar>
            <w:vAlign w:val="bottom"/>
          </w:tcPr>
          <w:p>
            <w:pPr>
              <w:pBdr>
                <w:bottom w:val="single" w:color="888888" w:sz="4" w:space="1"/>
              </w:pBdr>
            </w:pPr>
            <w:r>
              <w:t xml:space="preserve"> </w:t>
            </w:r>
          </w:p>
        </w:tc>
      </w:tr>
    </w:tbl>
    <w:p>
      <w:pPr>
        <w:spacing w:after="100" w:line="264"/>
        <w:jc w:val="both"/>
      </w:pPr>
      <w:r>
        <w:t xml:space="preserve">– nachstehend „Mieter“ genannt –</w:t>
      </w:r>
    </w:p>
    <w:p>
      <w:pPr>
        <w:spacing w:after="120" w:line="264"/>
        <w:jc w:val="both"/>
      </w:pPr>
      <w:r>
        <w:t xml:space="preserve">wird folgender Mietvertrag geschlossen. Sind mehrere Personen Mieter, so haften sie für alle Verpflichtungen aus diesem Vertrag als Gesamtschuldner (siehe § 19).</w:t>
      </w:r>
    </w:p>
    <w:p>
      <w:pPr>
        <w:pStyle w:val="Heading2"/>
        <w:keepNext/>
        <w:spacing w:after="130" w:before="260"/>
      </w:pPr>
      <w:r>
        <w:t xml:space="preserve">§ 2  Mieträume und Mietgegenstand</w:t>
      </w:r>
    </w:p>
    <w:p>
      <w:pPr>
        <w:spacing w:after="80" w:line="264"/>
        <w:jc w:val="both"/>
      </w:pPr>
      <w:r>
        <w:t xml:space="preserve">(1) Vermietet werden die nachstehend bezeichneten Räume in: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200"/>
        <w:gridCol w:w="5826"/>
      </w:tblGrid>
      <w:tr>
        <w:tc>
          <w:tcPr>
            <w:tcW w:type="dxa" w:w="3200"/>
            <w:tcMar>
              <w:top w:type="dxa" w:w="40"/>
              <w:left w:type="dxa" w:w="0"/>
              <w:bottom w:type="dxa" w:w="40"/>
              <w:right w:type="dxa" w:w="120"/>
            </w:tcMar>
            <w:vAlign w:val="bottom"/>
          </w:tcPr>
          <w:p>
            <w:r>
              <w:t xml:space="preserve">Anschrift / Lage:</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Geschoss / Lage im Haus:</w:t>
            </w:r>
          </w:p>
        </w:tc>
        <w:tc>
          <w:tcPr>
            <w:tcW w:type="dxa" w:w="5826"/>
            <w:tcMar>
              <w:top w:type="dxa" w:w="40"/>
              <w:left w:type="dxa" w:w="0"/>
              <w:bottom w:type="dxa" w:w="40"/>
              <w:right w:type="dxa" w:w="0"/>
            </w:tcMar>
            <w:vAlign w:val="bottom"/>
          </w:tcPr>
          <w:p>
            <w:pPr>
              <w:pBdr>
                <w:bottom w:val="single" w:color="888888" w:sz="4" w:space="1"/>
              </w:pBdr>
            </w:pPr>
            <w:r>
              <w:t xml:space="preserve"> </w:t>
            </w:r>
          </w:p>
        </w:tc>
      </w:tr>
      <w:tr>
        <w:tc>
          <w:tcPr>
            <w:tcW w:type="dxa" w:w="3200"/>
            <w:tcMar>
              <w:top w:type="dxa" w:w="40"/>
              <w:left w:type="dxa" w:w="0"/>
              <w:bottom w:type="dxa" w:w="40"/>
              <w:right w:type="dxa" w:w="120"/>
            </w:tcMar>
            <w:vAlign w:val="bottom"/>
          </w:tcPr>
          <w:p>
            <w:r>
              <w:t xml:space="preserve">Wohnungs-Nr.:</w:t>
            </w:r>
          </w:p>
        </w:tc>
        <w:tc>
          <w:tcPr>
            <w:tcW w:type="dxa" w:w="5826"/>
            <w:tcMar>
              <w:top w:type="dxa" w:w="40"/>
              <w:left w:type="dxa" w:w="0"/>
              <w:bottom w:type="dxa" w:w="40"/>
              <w:right w:type="dxa" w:w="0"/>
            </w:tcMar>
            <w:vAlign w:val="bottom"/>
          </w:tcPr>
          <w:p>
            <w:pPr>
              <w:pBdr>
                <w:bottom w:val="single" w:color="888888" w:sz="4" w:space="1"/>
              </w:pBdr>
            </w:pPr>
            <w:r>
              <w:t xml:space="preserve"> </w:t>
            </w:r>
          </w:p>
        </w:tc>
      </w:tr>
    </w:tbl>
    <w:p>
      <w:pPr>
        <w:spacing w:after="120" w:line="264"/>
        <w:jc w:val="both"/>
      </w:pPr>
      <w:r>
        <w:t xml:space="preserve">(2) Die Wohnung besteht aus </w:t>
      </w:r>
      <w:r>
        <w:t xml:space="preserve">______ Zimmern, ______ Küche/Kochnische, ______ Bad/WC, ______ </w:t>
      </w:r>
      <w:r>
        <w:t xml:space="preserve">sowie folgenden weiteren Räumen: ____________________________________.</w:t>
      </w:r>
    </w:p>
    <w:p>
      <w:pPr>
        <w:spacing w:after="120" w:line="264"/>
        <w:jc w:val="both"/>
      </w:pPr>
      <w:r>
        <w:t xml:space="preserve">(3) Die Wohnfläche beträgt ca. </w:t>
      </w:r>
      <w:r>
        <w:rPr>
          <w:b w:val="false"/>
          <w:bCs w:val="false"/>
        </w:rPr>
        <w:t xml:space="preserve">________ m². </w:t>
      </w:r>
      <w:r>
        <w:rPr>
          <w:i/>
          <w:iCs/>
          <w:sz w:val="20"/>
          <w:szCs w:val="20"/>
        </w:rPr>
        <w:t xml:space="preserve">Diese Angabe dient der Beschreibung; eine bestimmte Beschaffenheit oder Eignung wird damit nicht zugesichert.</w:t>
      </w:r>
    </w:p>
    <w:p>
      <w:pPr>
        <w:spacing w:after="60" w:line="264"/>
        <w:jc w:val="both"/>
      </w:pPr>
      <w:r>
        <w:t xml:space="preserve">(4) Mitvermietet sind (Zutreffendes ankreuzen):</w:t>
      </w:r>
    </w:p>
    <w:p>
      <w:pPr>
        <w:spacing w:after="40" w:line="264"/>
        <w:jc w:val="both"/>
      </w:pPr>
      <w:r>
        <w:t xml:space="preserve">☐ Keller-/Bodenraum Nr. ______   ☐ Garage / Stellplatz Nr. ______   ☐ Garten(-anteil)</w:t>
      </w:r>
    </w:p>
    <w:p>
      <w:pPr>
        <w:spacing w:after="100" w:line="264"/>
        <w:jc w:val="both"/>
      </w:pPr>
      <w:r>
        <w:t xml:space="preserve">☐ Einbauküche   ☐ Gemeinschaftseinrichtungen (Waschküche, Trockenraum)   ☐ Sonstiges: ______________</w:t>
      </w:r>
    </w:p>
    <w:p>
      <w:pPr>
        <w:spacing w:after="60" w:line="264"/>
        <w:jc w:val="both"/>
      </w:pPr>
      <w:r>
        <w:t xml:space="preserve">(5) Dem Mieter werden bei Übergabe folgende Schlüssel ausgehändigt:</w:t>
      </w:r>
    </w:p>
    <w:p>
      <w:pPr>
        <w:spacing w:after="100" w:line="264"/>
        <w:jc w:val="both"/>
      </w:pPr>
      <w:r>
        <w:t xml:space="preserve">______ Haustür   ______ Wohnungstür   ______ Briefkasten   ______ Keller   ______ Sonstige: __________</w:t>
      </w:r>
    </w:p>
    <w:p>
      <w:pPr>
        <w:spacing w:after="120" w:line="264"/>
        <w:jc w:val="both"/>
      </w:pPr>
      <w:r>
        <w:rPr>
          <w:b/>
          <w:bCs/>
        </w:rPr>
        <w:t xml:space="preserve">(6) Zustand bei Übergabe (für die Schönheitsreparaturen nach § 9 maßgeblich): </w:t>
      </w:r>
    </w:p>
    <w:p>
      <w:pPr>
        <w:spacing w:after="30" w:line="264"/>
        <w:jc w:val="both"/>
      </w:pPr>
      <w:r>
        <w:t xml:space="preserve">☐ Die Wohnung wird renoviert / frisch gestrichen übergeben.</w:t>
      </w:r>
    </w:p>
    <w:p>
      <w:pPr>
        <w:spacing w:after="80" w:line="264"/>
        <w:jc w:val="both"/>
      </w:pPr>
      <w:r>
        <w:t xml:space="preserve">☐ Die Wohnung wird unrenoviert übergeben. (In diesem Fall greift § 9 Abs. 6.)</w:t>
      </w:r>
    </w:p>
    <w:p>
      <w:pPr>
        <w:spacing w:after="120" w:line="264"/>
        <w:jc w:val="both"/>
      </w:pPr>
      <w:r>
        <w:t xml:space="preserve">(7) Der Zustand der Mietsache wird bei Übergabe in einem gesonderten Übergabeprotokoll (Anlage 1) festgehalten, das Zählerstände, Schlüsselanzahl und etwaige Mängel dokumentiert.</w:t>
      </w:r>
    </w:p>
    <w:p>
      <w:pPr>
        <w:spacing w:after="120" w:line="264"/>
        <w:jc w:val="both"/>
      </w:pPr>
      <w:r>
        <w:t xml:space="preserve">(8) Ein gültiger Energieausweis wurde dem Mieter spätestens bei Vertragsabschluss vorgelegt; eine Kopie ist als Anlage 3 beigefügt (§ 80 GEG).</w:t>
      </w:r>
    </w:p>
    <w:p>
      <w:pPr>
        <w:pStyle w:val="Heading2"/>
        <w:keepNext/>
        <w:spacing w:after="130" w:before="260"/>
      </w:pPr>
      <w:r>
        <w:t xml:space="preserve">§ 3  Mietzeit und Kündigung im Überblick</w:t>
      </w:r>
    </w:p>
    <w:p>
      <w:pPr>
        <w:spacing w:after="120" w:line="264"/>
        <w:jc w:val="both"/>
      </w:pPr>
      <w:r>
        <w:t xml:space="preserve">(1) Das Mietverhältnis beginnt am </w:t>
      </w:r>
      <w:r>
        <w:t xml:space="preserve">________________ (Mietbeginn). </w:t>
      </w:r>
    </w:p>
    <w:p>
      <w:pPr>
        <w:spacing w:after="60" w:line="264"/>
        <w:jc w:val="both"/>
      </w:pPr>
      <w:r>
        <w:t xml:space="preserve">(2) Die Mietdauer ist (Zutreffendes ankreuzen):</w:t>
      </w:r>
    </w:p>
    <w:p>
      <w:pPr>
        <w:spacing w:after="120" w:line="264"/>
        <w:jc w:val="both"/>
      </w:pPr>
      <w:r>
        <w:rPr>
          <w:b/>
          <w:bCs/>
        </w:rPr>
        <w:t xml:space="preserve">☐ unbefristet. </w:t>
      </w:r>
      <w:r>
        <w:t xml:space="preserve">Das Mietverhältnis läuft auf unbestimmte Zeit und endet durch Kündigung nach den gesetzlichen Vorschriften (siehe § 17).</w:t>
      </w:r>
    </w:p>
    <w:p>
      <w:pPr>
        <w:spacing w:after="120" w:line="264"/>
        <w:jc w:val="both"/>
      </w:pPr>
      <w:r>
        <w:rPr>
          <w:b/>
          <w:bCs/>
        </w:rPr>
        <w:t xml:space="preserve">☐ befristet </w:t>
      </w:r>
      <w:r>
        <w:t xml:space="preserve">bis zum ________________. Eine Befristung ist nur bei Vorliegen eines gesetzlichen Befristungsgrundes wirksam (§ 575 BGB). Der Grund ist anzugeben:</w:t>
      </w:r>
    </w:p>
    <w:p>
      <w:pPr>
        <w:spacing w:after="40" w:line="264"/>
        <w:ind w:left="360"/>
        <w:jc w:val="both"/>
      </w:pPr>
      <w:r>
        <w:t xml:space="preserve">☐ Eigennutzung   ☐ Abriss/wesentliche Umbauten/Sanierung   ☐ Vermietung an Betriebsangehörige</w:t>
      </w:r>
    </w:p>
    <w:p>
      <w:pPr>
        <w:spacing w:after="100" w:line="264"/>
        <w:ind w:left="360"/>
        <w:jc w:val="both"/>
      </w:pPr>
      <w:r>
        <w:t xml:space="preserve">Erläuterung des Befristungsgrundes: ___________________________________________________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EEEEEE" w:val="clear"/>
            <w:tcMar>
              <w:top w:type="dxa" w:w="120"/>
              <w:left w:type="dxa" w:w="160"/>
              <w:bottom w:type="dxa" w:w="120"/>
              <w:right w:type="dxa" w:w="160"/>
            </w:tcMar>
          </w:tcPr>
          <w:p>
            <w:pPr>
              <w:spacing w:after="0" w:line="252"/>
              <w:jc w:val="both"/>
            </w:pPr>
            <w:r>
              <w:rPr>
                <w:b/>
                <w:bCs/>
                <w:i/>
                <w:iCs/>
                <w:sz w:val="20"/>
                <w:szCs w:val="20"/>
              </w:rPr>
              <w:t xml:space="preserve">Hinweis: </w:t>
            </w:r>
            <w:r>
              <w:rPr>
                <w:i/>
                <w:iCs/>
                <w:sz w:val="20"/>
                <w:szCs w:val="20"/>
              </w:rPr>
              <w:t xml:space="preserve">Ohne qualifizierten Befristungsgrund nach § 575 BGB gilt der Vertrag automatisch als unbefristet. Nach dem Referentenentwurf „Mietrecht II“ (2026) sollen reine Kurzzeitbefristungen ohne Sachgrund zudem auf höchstens sechs Monate begrenzt werden – die endgültige Fassung bleibt abzuwarten.</w:t>
            </w:r>
          </w:p>
        </w:tc>
      </w:tr>
    </w:tbl>
    <w:p>
      <w:pPr>
        <w:pStyle w:val="Heading2"/>
        <w:keepNext/>
        <w:spacing w:after="130" w:before="260"/>
      </w:pPr>
      <w:r>
        <w:t xml:space="preserve">§ 4  Miete und Nebenkosten</w:t>
      </w:r>
    </w:p>
    <w:p>
      <w:pPr>
        <w:spacing w:after="100" w:line="264"/>
        <w:jc w:val="both"/>
      </w:pPr>
      <w:r>
        <w:t xml:space="preserve">(1) Die monatliche Miete setzt sich wie folgt zusammen: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BBBBB" w:sz="2"/>
              <w:left w:val="single" w:color="BBBBBB" w:sz="2"/>
              <w:bottom w:val="single" w:color="BBBBBB" w:sz="2"/>
              <w:right w:val="single" w:color="BBBBBB" w:sz="2"/>
            </w:tcBorders>
            <w:shd w:fill="D9E2EC" w:val="clear"/>
            <w:tcMar>
              <w:top w:type="dxa" w:w="70"/>
              <w:left w:type="dxa" w:w="120"/>
              <w:bottom w:type="dxa" w:w="70"/>
              <w:right w:type="dxa" w:w="120"/>
            </w:tcMar>
          </w:tcPr>
          <w:p>
            <w:r>
              <w:rPr>
                <w:b/>
                <w:bCs/>
              </w:rPr>
              <w:t xml:space="preserve">Position</w:t>
            </w:r>
          </w:p>
        </w:tc>
        <w:tc>
          <w:tcPr>
            <w:tcW w:type="dxa" w:w="2400"/>
            <w:tcBorders>
              <w:top w:val="single" w:color="BBBBBB" w:sz="2"/>
              <w:left w:val="single" w:color="BBBBBB" w:sz="2"/>
              <w:bottom w:val="single" w:color="BBBBBB" w:sz="2"/>
              <w:right w:val="single" w:color="BBBBBB" w:sz="2"/>
            </w:tcBorders>
            <w:shd w:fill="D9E2EC" w:val="clear"/>
            <w:tcMar>
              <w:top w:type="dxa" w:w="70"/>
              <w:left w:type="dxa" w:w="120"/>
              <w:bottom w:type="dxa" w:w="70"/>
              <w:right w:type="dxa" w:w="120"/>
            </w:tcMar>
            <w:vAlign w:val="center"/>
          </w:tcPr>
          <w:p>
            <w:pPr>
              <w:jc w:val="right"/>
            </w:pPr>
            <w:r>
              <w:rPr>
                <w:b/>
                <w:bCs/>
              </w:rPr>
              <w:t xml:space="preserve">Betrag in €</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Nettokaltmiete (Grundmiete)</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Vorauszahlung Betriebskosten (§ 5)</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Vorauszahlung Heizung/Warmwasser (§ 5)</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ggf. Möblierungszuschlag (gesondert ausgewiesen)</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ggf. Miete Garage/Stellplatz</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shd w:fill="D9E2EC" w:val="clear"/>
            <w:tcMar>
              <w:top w:type="dxa" w:w="70"/>
              <w:left w:type="dxa" w:w="120"/>
              <w:bottom w:type="dxa" w:w="70"/>
              <w:right w:type="dxa" w:w="120"/>
            </w:tcMar>
          </w:tcPr>
          <w:p>
            <w:r>
              <w:rPr>
                <w:b/>
                <w:bCs/>
              </w:rPr>
              <w:t xml:space="preserve">Gesamtmiete (monatlich)</w:t>
            </w:r>
          </w:p>
        </w:tc>
        <w:tc>
          <w:tcPr>
            <w:tcW w:type="dxa" w:w="2400"/>
            <w:tcBorders>
              <w:top w:val="single" w:color="BBBBBB" w:sz="2"/>
              <w:left w:val="single" w:color="BBBBBB" w:sz="2"/>
              <w:bottom w:val="single" w:color="BBBBBB" w:sz="2"/>
              <w:right w:val="single" w:color="BBBBBB" w:sz="2"/>
            </w:tcBorders>
            <w:shd w:fill="D9E2EC" w:val="clear"/>
            <w:tcMar>
              <w:top w:type="dxa" w:w="70"/>
              <w:left w:type="dxa" w:w="120"/>
              <w:bottom w:type="dxa" w:w="70"/>
              <w:right w:type="dxa" w:w="120"/>
            </w:tcMar>
            <w:vAlign w:val="center"/>
          </w:tcPr>
          <w:p>
            <w:pPr>
              <w:jc w:val="right"/>
            </w:pPr>
            <w:r>
              <w:rPr>
                <w:b/>
                <w:bCs/>
              </w:rPr>
              <w:t xml:space="preserve">______________</w:t>
            </w:r>
          </w:p>
        </w:tc>
      </w:tr>
    </w:tbl>
    <w:p>
      <w:pPr>
        <w:spacing w:after="80"/>
      </w:pPr>
      <w:r>
        <w:t xml:space="preserve"/>
      </w:r>
    </w:p>
    <w:p>
      <w:pPr>
        <w:spacing w:after="120" w:line="264"/>
        <w:jc w:val="both"/>
      </w:pPr>
      <w:r>
        <w:rPr>
          <w:b/>
          <w:bCs/>
        </w:rPr>
        <w:t xml:space="preserve">(2) Möblierungszuschlag: </w:t>
      </w:r>
      <w:r>
        <w:t xml:space="preserve">Ein etwaiger Zuschlag für mitvermietete Möbel/Ausstattung wird gemäß den ab 2026 geltenden Transparenzanforderungen gesondert ausgewiesen und ist nicht Bestandteil der Nettokaltmiete.</w:t>
      </w:r>
    </w:p>
    <w:p>
      <w:pPr>
        <w:spacing w:after="120" w:line="264"/>
        <w:jc w:val="both"/>
      </w:pPr>
      <w:r>
        <w:rPr>
          <w:b/>
          <w:bCs/>
        </w:rPr>
        <w:t xml:space="preserve">(3) Mietpreisbremse: </w:t>
      </w:r>
      <w:r>
        <w:t xml:space="preserve">Liegt die Wohnung in einem Gebiet mit angespanntem Wohnungsmarkt, darf die Nettokaltmiete zu Mietbeginn die ortsübliche Vergleichsmiete um höchstens 10 % übersteigen (§§ 556d ff. BGB). Auf eine etwaige zulässige Ausnahme (z. B. Vormiete, Modernisierung, Neubau ab 01.10.2014) sowie die Höhe der Vormiete wird der Mieter vor Vertragsschluss in Textform hingewiesen (§ 556g BGB).</w:t>
      </w:r>
    </w:p>
    <w:p>
      <w:pPr>
        <w:pStyle w:val="Heading2"/>
        <w:keepNext/>
        <w:spacing w:after="130" w:before="260"/>
      </w:pPr>
      <w:r>
        <w:t xml:space="preserve">§ 5  Betriebskosten</w:t>
      </w:r>
    </w:p>
    <w:p>
      <w:pPr>
        <w:spacing w:after="120" w:line="264"/>
        <w:jc w:val="both"/>
      </w:pPr>
      <w:r>
        <w:t xml:space="preserve">(1) Neben der Nettokaltmiete trägt der Mieter die Betriebskosten im Sinne des § 556 BGB i. V. m. der Betriebskostenverordnung (BetrKV). Umgelegt werden die folgenden Betriebskosten, soweit sie anfallen:</w:t>
      </w:r>
    </w:p>
    <w:p>
      <w:pPr>
        <w:pStyle w:val="ListParagraph"/>
        <w:numPr>
          <w:ilvl w:val="0"/>
          <w:numId w:val="2"/>
        </w:numPr>
        <w:spacing w:after="40" w:line="252"/>
        <w:jc w:val="both"/>
      </w:pPr>
      <w:r>
        <w:rPr>
          <w:sz w:val="21"/>
          <w:szCs w:val="21"/>
        </w:rPr>
        <w:t xml:space="preserve">laufende öffentliche Lasten des Grundstücks (z. B. Grundsteuer)</w:t>
      </w:r>
    </w:p>
    <w:p>
      <w:pPr>
        <w:pStyle w:val="ListParagraph"/>
        <w:numPr>
          <w:ilvl w:val="0"/>
          <w:numId w:val="2"/>
        </w:numPr>
        <w:spacing w:after="40" w:line="252"/>
        <w:jc w:val="both"/>
      </w:pPr>
      <w:r>
        <w:rPr>
          <w:sz w:val="21"/>
          <w:szCs w:val="21"/>
        </w:rPr>
        <w:t xml:space="preserve">Kosten der Wasserversorgung und Entwässerung</w:t>
      </w:r>
    </w:p>
    <w:p>
      <w:pPr>
        <w:pStyle w:val="ListParagraph"/>
        <w:numPr>
          <w:ilvl w:val="0"/>
          <w:numId w:val="2"/>
        </w:numPr>
        <w:spacing w:after="40" w:line="252"/>
        <w:jc w:val="both"/>
      </w:pPr>
      <w:r>
        <w:rPr>
          <w:sz w:val="21"/>
          <w:szCs w:val="21"/>
        </w:rPr>
        <w:t xml:space="preserve">Kosten des Betriebs der zentralen Heizungs- und Warmwasseranlage (siehe Abs. 4)</w:t>
      </w:r>
    </w:p>
    <w:p>
      <w:pPr>
        <w:pStyle w:val="ListParagraph"/>
        <w:numPr>
          <w:ilvl w:val="0"/>
          <w:numId w:val="2"/>
        </w:numPr>
        <w:spacing w:after="40" w:line="252"/>
        <w:jc w:val="both"/>
      </w:pPr>
      <w:r>
        <w:rPr>
          <w:sz w:val="21"/>
          <w:szCs w:val="21"/>
        </w:rPr>
        <w:t xml:space="preserve">Kosten des Betriebs des Aufzugs</w:t>
      </w:r>
    </w:p>
    <w:p>
      <w:pPr>
        <w:pStyle w:val="ListParagraph"/>
        <w:numPr>
          <w:ilvl w:val="0"/>
          <w:numId w:val="2"/>
        </w:numPr>
        <w:spacing w:after="40" w:line="252"/>
        <w:jc w:val="both"/>
      </w:pPr>
      <w:r>
        <w:rPr>
          <w:sz w:val="21"/>
          <w:szCs w:val="21"/>
        </w:rPr>
        <w:t xml:space="preserve">Kosten der Straßenreinigung und Müllbeseitigung</w:t>
      </w:r>
    </w:p>
    <w:p>
      <w:pPr>
        <w:pStyle w:val="ListParagraph"/>
        <w:numPr>
          <w:ilvl w:val="0"/>
          <w:numId w:val="2"/>
        </w:numPr>
        <w:spacing w:after="40" w:line="252"/>
        <w:jc w:val="both"/>
      </w:pPr>
      <w:r>
        <w:rPr>
          <w:sz w:val="21"/>
          <w:szCs w:val="21"/>
        </w:rPr>
        <w:t xml:space="preserve">Kosten der Gebäudereinigung und Ungezieferbekämpfung</w:t>
      </w:r>
    </w:p>
    <w:p>
      <w:pPr>
        <w:pStyle w:val="ListParagraph"/>
        <w:numPr>
          <w:ilvl w:val="0"/>
          <w:numId w:val="2"/>
        </w:numPr>
        <w:spacing w:after="40" w:line="252"/>
        <w:jc w:val="both"/>
      </w:pPr>
      <w:r>
        <w:rPr>
          <w:sz w:val="21"/>
          <w:szCs w:val="21"/>
        </w:rPr>
        <w:t xml:space="preserve">Kosten der Gartenpflege</w:t>
      </w:r>
    </w:p>
    <w:p>
      <w:pPr>
        <w:pStyle w:val="ListParagraph"/>
        <w:numPr>
          <w:ilvl w:val="0"/>
          <w:numId w:val="2"/>
        </w:numPr>
        <w:spacing w:after="40" w:line="252"/>
        <w:jc w:val="both"/>
      </w:pPr>
      <w:r>
        <w:rPr>
          <w:sz w:val="21"/>
          <w:szCs w:val="21"/>
        </w:rPr>
        <w:t xml:space="preserve">Kosten der Beleuchtung (Allgemeinstrom)</w:t>
      </w:r>
    </w:p>
    <w:p>
      <w:pPr>
        <w:pStyle w:val="ListParagraph"/>
        <w:numPr>
          <w:ilvl w:val="0"/>
          <w:numId w:val="2"/>
        </w:numPr>
        <w:spacing w:after="40" w:line="252"/>
        <w:jc w:val="both"/>
      </w:pPr>
      <w:r>
        <w:rPr>
          <w:sz w:val="21"/>
          <w:szCs w:val="21"/>
        </w:rPr>
        <w:t xml:space="preserve">Kosten der Schornsteinreinigung</w:t>
      </w:r>
    </w:p>
    <w:p>
      <w:pPr>
        <w:pStyle w:val="ListParagraph"/>
        <w:numPr>
          <w:ilvl w:val="0"/>
          <w:numId w:val="2"/>
        </w:numPr>
        <w:spacing w:after="40" w:line="252"/>
        <w:jc w:val="both"/>
      </w:pPr>
      <w:r>
        <w:rPr>
          <w:sz w:val="21"/>
          <w:szCs w:val="21"/>
        </w:rPr>
        <w:t xml:space="preserve">Kosten der Sach- und Haftpflichtversicherung des Gebäudes</w:t>
      </w:r>
    </w:p>
    <w:p>
      <w:pPr>
        <w:pStyle w:val="ListParagraph"/>
        <w:numPr>
          <w:ilvl w:val="0"/>
          <w:numId w:val="2"/>
        </w:numPr>
        <w:spacing w:after="40" w:line="252"/>
        <w:jc w:val="both"/>
      </w:pPr>
      <w:r>
        <w:rPr>
          <w:sz w:val="21"/>
          <w:szCs w:val="21"/>
        </w:rPr>
        <w:t xml:space="preserve">Kosten für Hauswart/Hausmeister</w:t>
      </w:r>
    </w:p>
    <w:p>
      <w:pPr>
        <w:pStyle w:val="ListParagraph"/>
        <w:numPr>
          <w:ilvl w:val="0"/>
          <w:numId w:val="2"/>
        </w:numPr>
        <w:spacing w:after="40" w:line="252"/>
        <w:jc w:val="both"/>
      </w:pPr>
      <w:r>
        <w:rPr>
          <w:sz w:val="21"/>
          <w:szCs w:val="21"/>
        </w:rPr>
        <w:t xml:space="preserve">Kosten für Gemeinschaftsantenne bzw. Breitbandanschluss (im gesetzlichen Rahmen)</w:t>
      </w:r>
    </w:p>
    <w:p>
      <w:pPr>
        <w:pStyle w:val="ListParagraph"/>
        <w:numPr>
          <w:ilvl w:val="0"/>
          <w:numId w:val="2"/>
        </w:numPr>
        <w:spacing w:after="40" w:line="252"/>
        <w:jc w:val="both"/>
      </w:pPr>
      <w:r>
        <w:rPr>
          <w:sz w:val="21"/>
          <w:szCs w:val="21"/>
        </w:rPr>
        <w:t xml:space="preserve">Kosten des Betriebs der Einrichtungen für die Wäschepflege</w:t>
      </w:r>
    </w:p>
    <w:p>
      <w:pPr>
        <w:pStyle w:val="ListParagraph"/>
        <w:numPr>
          <w:ilvl w:val="0"/>
          <w:numId w:val="2"/>
        </w:numPr>
        <w:spacing w:after="40" w:line="252"/>
        <w:jc w:val="both"/>
      </w:pPr>
      <w:r>
        <w:rPr>
          <w:sz w:val="21"/>
          <w:szCs w:val="21"/>
        </w:rPr>
        <w:t xml:space="preserve">sonstige Betriebskosten – nur, soweit nachstehend konkret benannt: ____________________</w:t>
      </w:r>
    </w:p>
    <w:p>
      <w:pPr>
        <w:spacing w:after="60"/>
      </w:pPr>
      <w:r>
        <w:t xml:space="preserve"/>
      </w:r>
    </w:p>
    <w:p>
      <w:pPr>
        <w:spacing w:after="120" w:line="264"/>
        <w:jc w:val="both"/>
      </w:pPr>
      <w:r>
        <w:t xml:space="preserve">(2) Abrechnung oder Pauschale (Zutreffendes ankreuzen): </w:t>
      </w:r>
    </w:p>
    <w:p>
      <w:pPr>
        <w:spacing w:after="30" w:line="264"/>
        <w:jc w:val="both"/>
      </w:pPr>
      <w:r>
        <w:t xml:space="preserve">☐ Die Betriebskosten werden als monatliche Vorauszahlung erhoben und jährlich abgerechnet.</w:t>
      </w:r>
    </w:p>
    <w:p>
      <w:pPr>
        <w:spacing w:after="80" w:line="264"/>
        <w:jc w:val="both"/>
      </w:pPr>
      <w:r>
        <w:t xml:space="preserve">☐ Die Betriebskosten werden als Pauschale erhoben (keine Abrechnung; Heizkosten siehe Abs. 4).</w:t>
      </w:r>
    </w:p>
    <w:p>
      <w:pPr>
        <w:spacing w:after="120" w:line="264"/>
        <w:jc w:val="both"/>
      </w:pPr>
      <w:r>
        <w:rPr>
          <w:b/>
          <w:bCs/>
        </w:rPr>
        <w:t xml:space="preserve">(3) Verteilerschlüssel: </w:t>
      </w:r>
      <w:r>
        <w:t xml:space="preserve">Soweit gesetzlich nichts anderes vorgeschrieben ist, werden die Betriebskosten nach </w:t>
      </w:r>
      <w:r>
        <w:t xml:space="preserve">☐ Wohnfläche   ☐ Personenzahl   ☐ Verbrauch/Erfassung </w:t>
      </w:r>
      <w:r>
        <w:t xml:space="preserve">umgelegt. Der Vermieter ist berechtigt, den Schlüssel aus sachlichem Grund anzupassen.</w:t>
      </w:r>
    </w:p>
    <w:p>
      <w:pPr>
        <w:spacing w:after="120" w:line="264"/>
        <w:jc w:val="both"/>
      </w:pPr>
      <w:r>
        <w:rPr>
          <w:b/>
          <w:bCs/>
        </w:rPr>
        <w:t xml:space="preserve">(4) Heiz- und Warmwasserkosten </w:t>
      </w:r>
      <w:r>
        <w:t xml:space="preserve">werden nach der Heizkostenverordnung (HeizkostenV) abgerechnet, d. h. überwiegend verbrauchsabhängig (mindestens 50 %, regelmäßig 70 %).</w:t>
      </w:r>
    </w:p>
    <w:p>
      <w:pPr>
        <w:spacing w:after="120" w:line="264"/>
        <w:jc w:val="both"/>
      </w:pPr>
      <w:r>
        <w:rPr>
          <w:b/>
          <w:bCs/>
        </w:rPr>
        <w:t xml:space="preserve">(5) Abrechnungsfrist: </w:t>
      </w:r>
      <w:r>
        <w:t xml:space="preserve">Über die Vorauszahlungen wird jährlich abgerechnet. Die Abrechnung ist dem Mieter spätestens zwölf Monate nach Ende des Abrechnungszeitraums mitzuteilen (§ 556 Abs. 3 BGB). Nach Abrechnung können beide Parteien die Vorauszahlungen durch Erklärung in Textform anpassen.</w:t>
      </w:r>
    </w:p>
    <w:p>
      <w:pPr>
        <w:pStyle w:val="Heading2"/>
        <w:keepNext/>
        <w:spacing w:after="130" w:before="260"/>
      </w:pPr>
      <w:r>
        <w:t xml:space="preserve">§ 6  Mietanpassung</w:t>
      </w:r>
    </w:p>
    <w:p>
      <w:pPr>
        <w:spacing w:after="100" w:line="264"/>
        <w:jc w:val="both"/>
      </w:pPr>
      <w:r>
        <w:t xml:space="preserve">Es gilt – falls nichts angekreuzt ist – die gesetzliche Regelung nach Variante a). Bitte nur eine Variante wählen:</w:t>
      </w:r>
    </w:p>
    <w:p>
      <w:pPr>
        <w:spacing w:after="120" w:line="264"/>
        <w:jc w:val="both"/>
      </w:pPr>
      <w:r>
        <w:rPr>
          <w:b/>
          <w:bCs/>
        </w:rPr>
        <w:t xml:space="preserve">a) Vergleichsmiete (gesetzlich). </w:t>
      </w:r>
      <w:r>
        <w:t xml:space="preserve">Mieterhöhungen richten sich nach den §§ 558 ff. BGB (Zustimmung zur ortsüblichen Vergleichsmiete, Kappungsgrenze, Mietspiegel).</w:t>
      </w:r>
    </w:p>
    <w:p>
      <w:pPr>
        <w:spacing w:after="120" w:line="264"/>
        <w:jc w:val="both"/>
      </w:pPr>
      <w:r>
        <w:rPr>
          <w:b/>
          <w:bCs/>
        </w:rPr>
        <w:t xml:space="preserve">☐ b) Staffelmiete (§ 557a BGB). </w:t>
      </w:r>
      <w:r>
        <w:t xml:space="preserve">Die Nettokaltmiete erhöht sich zu den folgenden Zeitpunkten auf die genannten Beträge. Zwischen zwei Staffeln liegt jeweils mindestens ein Jahr; die Mietpreisbremse gilt für jede Stufe.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BBBBB" w:sz="2"/>
              <w:left w:val="single" w:color="BBBBBB" w:sz="2"/>
              <w:bottom w:val="single" w:color="BBBBBB" w:sz="2"/>
              <w:right w:val="single" w:color="BBBBBB" w:sz="2"/>
            </w:tcBorders>
            <w:shd w:fill="D9E2EC" w:val="clear"/>
            <w:tcMar>
              <w:top w:type="dxa" w:w="70"/>
              <w:left w:type="dxa" w:w="120"/>
              <w:bottom w:type="dxa" w:w="70"/>
              <w:right w:type="dxa" w:w="120"/>
            </w:tcMar>
          </w:tcPr>
          <w:p>
            <w:r>
              <w:rPr>
                <w:b/>
                <w:bCs/>
              </w:rPr>
              <w:t xml:space="preserve">ab Datum</w:t>
            </w:r>
          </w:p>
        </w:tc>
        <w:tc>
          <w:tcPr>
            <w:tcW w:type="dxa" w:w="2400"/>
            <w:tcBorders>
              <w:top w:val="single" w:color="BBBBBB" w:sz="2"/>
              <w:left w:val="single" w:color="BBBBBB" w:sz="2"/>
              <w:bottom w:val="single" w:color="BBBBBB" w:sz="2"/>
              <w:right w:val="single" w:color="BBBBBB" w:sz="2"/>
            </w:tcBorders>
            <w:shd w:fill="D9E2EC" w:val="clear"/>
            <w:tcMar>
              <w:top w:type="dxa" w:w="70"/>
              <w:left w:type="dxa" w:w="120"/>
              <w:bottom w:type="dxa" w:w="70"/>
              <w:right w:type="dxa" w:w="120"/>
            </w:tcMar>
            <w:vAlign w:val="center"/>
          </w:tcPr>
          <w:p>
            <w:pPr>
              <w:jc w:val="right"/>
            </w:pPr>
            <w:r>
              <w:rPr>
                <w:b/>
                <w:bCs/>
              </w:rPr>
              <w:t xml:space="preserve">neue Nettokaltmiete €</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________________</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________________</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r>
        <w:tc>
          <w:tcPr>
            <w:tcW w:type="dxa" w:w="6626"/>
            <w:tcBorders>
              <w:top w:val="single" w:color="BBBBBB" w:sz="2"/>
              <w:left w:val="single" w:color="BBBBBB" w:sz="2"/>
              <w:bottom w:val="single" w:color="BBBBBB" w:sz="2"/>
              <w:right w:val="single" w:color="BBBBBB" w:sz="2"/>
            </w:tcBorders>
            <w:tcMar>
              <w:top w:type="dxa" w:w="70"/>
              <w:left w:type="dxa" w:w="120"/>
              <w:bottom w:type="dxa" w:w="70"/>
              <w:right w:type="dxa" w:w="120"/>
            </w:tcMar>
          </w:tcPr>
          <w:p>
            <w:r>
              <w:rPr>
                <w:b w:val="false"/>
                <w:bCs w:val="false"/>
              </w:rPr>
              <w:t xml:space="preserve">________________</w:t>
            </w:r>
          </w:p>
        </w:tc>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jc w:val="right"/>
            </w:pPr>
            <w:r>
              <w:rPr>
                <w:b w:val="false"/>
                <w:bCs w:val="false"/>
              </w:rPr>
              <w:t xml:space="preserve">______________</w:t>
            </w:r>
          </w:p>
        </w:tc>
      </w:tr>
    </w:tbl>
    <w:p>
      <w:pPr>
        <w:spacing w:after="60"/>
      </w:pPr>
      <w:r>
        <w:t xml:space="preserve"/>
      </w:r>
    </w:p>
    <w:p>
      <w:pPr>
        <w:spacing w:after="120" w:line="264"/>
        <w:jc w:val="both"/>
      </w:pPr>
      <w:r>
        <w:rPr>
          <w:b/>
          <w:bCs/>
        </w:rPr>
        <w:t xml:space="preserve">☐ c) Indexmiete (§ 557b BGB). </w:t>
      </w:r>
      <w:r>
        <w:t xml:space="preserve">Die Nettokaltmiete ist an den vom Statistischen Bundesamt ermittelten Verbraucherpreisindex (VPI) für Deutschland gekoppelt. Sie ändert sich – nach oben wie nach unten – im selben Verhältnis wie der Index; die Miete bleibt jeweils mindestens ein Jahr unverändert. Die Anpassung erfolgt durch Erklärung in Textform.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EEEEEE" w:val="clear"/>
            <w:tcMar>
              <w:top w:type="dxa" w:w="120"/>
              <w:left w:type="dxa" w:w="160"/>
              <w:bottom w:type="dxa" w:w="120"/>
              <w:right w:type="dxa" w:w="160"/>
            </w:tcMar>
          </w:tcPr>
          <w:p>
            <w:pPr>
              <w:spacing w:after="0" w:line="252"/>
              <w:jc w:val="both"/>
            </w:pPr>
            <w:r>
              <w:rPr>
                <w:b/>
                <w:bCs/>
                <w:i/>
                <w:iCs/>
                <w:sz w:val="20"/>
                <w:szCs w:val="20"/>
              </w:rPr>
              <w:t xml:space="preserve">Hinweis: </w:t>
            </w:r>
            <w:r>
              <w:rPr>
                <w:i/>
                <w:iCs/>
                <w:sz w:val="20"/>
                <w:szCs w:val="20"/>
              </w:rPr>
              <w:t xml:space="preserve">Eine Indexklausel, die nur Erhöhungen zulässt, ist unwirksam (sie muss beidseitig wirken). Nach der Mietrechtsreform 2026 gilt für Indexmieten eine Kappungsgrenze von 3,5 % pro Jahr. Index- und Staffelmiete schließen Mieterhöhungen nach § 558 BGB sowie i. d. R. Modernisierungsumlagen nach § 559 BGB aus.</w:t>
            </w:r>
          </w:p>
        </w:tc>
      </w:tr>
    </w:tbl>
    <w:p>
      <w:pPr>
        <w:pStyle w:val="Heading2"/>
        <w:keepNext/>
        <w:spacing w:after="130" w:before="260"/>
      </w:pPr>
      <w:r>
        <w:t xml:space="preserve">§ 7  Zahlung der Miete</w:t>
      </w:r>
    </w:p>
    <w:p>
      <w:pPr>
        <w:spacing w:after="120" w:line="264"/>
        <w:jc w:val="both"/>
      </w:pPr>
      <w:r>
        <w:t xml:space="preserve">(1) Die Gesamtmiete ist monatlich im Voraus, spätestens bis zum dritten Werktag eines Monats, kostenfrei auf folgendes Konto des Vermieters zu zahlen: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600"/>
        <w:gridCol w:w="6426"/>
      </w:tblGrid>
      <w:tr>
        <w:tc>
          <w:tcPr>
            <w:tcW w:type="dxa" w:w="2600"/>
            <w:tcMar>
              <w:top w:type="dxa" w:w="40"/>
              <w:left w:type="dxa" w:w="0"/>
              <w:bottom w:type="dxa" w:w="40"/>
              <w:right w:type="dxa" w:w="120"/>
            </w:tcMar>
            <w:vAlign w:val="bottom"/>
          </w:tcPr>
          <w:p>
            <w:r>
              <w:t xml:space="preserve">Kontoinhaber:</w:t>
            </w:r>
          </w:p>
        </w:tc>
        <w:tc>
          <w:tcPr>
            <w:tcW w:type="dxa" w:w="6426"/>
            <w:tcMar>
              <w:top w:type="dxa" w:w="40"/>
              <w:left w:type="dxa" w:w="0"/>
              <w:bottom w:type="dxa" w:w="40"/>
              <w:right w:type="dxa" w:w="0"/>
            </w:tcMar>
            <w:vAlign w:val="bottom"/>
          </w:tcPr>
          <w:p>
            <w:pPr>
              <w:pBdr>
                <w:bottom w:val="single" w:color="888888" w:sz="4" w:space="1"/>
              </w:pBdr>
            </w:pPr>
            <w:r>
              <w:t xml:space="preserve"> </w:t>
            </w:r>
          </w:p>
        </w:tc>
      </w:tr>
      <w:tr>
        <w:tc>
          <w:tcPr>
            <w:tcW w:type="dxa" w:w="2600"/>
            <w:tcMar>
              <w:top w:type="dxa" w:w="40"/>
              <w:left w:type="dxa" w:w="0"/>
              <w:bottom w:type="dxa" w:w="40"/>
              <w:right w:type="dxa" w:w="120"/>
            </w:tcMar>
            <w:vAlign w:val="bottom"/>
          </w:tcPr>
          <w:p>
            <w:r>
              <w:t xml:space="preserve">IBAN:</w:t>
            </w:r>
          </w:p>
        </w:tc>
        <w:tc>
          <w:tcPr>
            <w:tcW w:type="dxa" w:w="6426"/>
            <w:tcMar>
              <w:top w:type="dxa" w:w="40"/>
              <w:left w:type="dxa" w:w="0"/>
              <w:bottom w:type="dxa" w:w="40"/>
              <w:right w:type="dxa" w:w="0"/>
            </w:tcMar>
            <w:vAlign w:val="bottom"/>
          </w:tcPr>
          <w:p>
            <w:pPr>
              <w:pBdr>
                <w:bottom w:val="single" w:color="888888" w:sz="4" w:space="1"/>
              </w:pBdr>
            </w:pPr>
            <w:r>
              <w:t xml:space="preserve"> </w:t>
            </w:r>
          </w:p>
        </w:tc>
      </w:tr>
      <w:tr>
        <w:tc>
          <w:tcPr>
            <w:tcW w:type="dxa" w:w="2600"/>
            <w:tcMar>
              <w:top w:type="dxa" w:w="40"/>
              <w:left w:type="dxa" w:w="0"/>
              <w:bottom w:type="dxa" w:w="40"/>
              <w:right w:type="dxa" w:w="120"/>
            </w:tcMar>
            <w:vAlign w:val="bottom"/>
          </w:tcPr>
          <w:p>
            <w:r>
              <w:t xml:space="preserve">Bank / BIC:</w:t>
            </w:r>
          </w:p>
        </w:tc>
        <w:tc>
          <w:tcPr>
            <w:tcW w:type="dxa" w:w="6426"/>
            <w:tcMar>
              <w:top w:type="dxa" w:w="40"/>
              <w:left w:type="dxa" w:w="0"/>
              <w:bottom w:type="dxa" w:w="40"/>
              <w:right w:type="dxa" w:w="0"/>
            </w:tcMar>
            <w:vAlign w:val="bottom"/>
          </w:tcPr>
          <w:p>
            <w:pPr>
              <w:pBdr>
                <w:bottom w:val="single" w:color="888888" w:sz="4" w:space="1"/>
              </w:pBdr>
            </w:pPr>
            <w:r>
              <w:t xml:space="preserve"> </w:t>
            </w:r>
          </w:p>
        </w:tc>
      </w:tr>
    </w:tbl>
    <w:p>
      <w:pPr>
        <w:spacing w:after="120" w:line="264"/>
        <w:jc w:val="both"/>
      </w:pPr>
      <w:r>
        <w:t xml:space="preserve">(2) Für die Rechtzeitigkeit der Zahlung kommt es nicht auf den Eingang beim Vermieter an, sondern darauf, dass der Mieter bei einem Zahlungsdienstleister rechtzeitig den Überweisungsauftrag erteilt und sein Konto ausreichend gedeckt ist.</w:t>
      </w:r>
    </w:p>
    <w:p>
      <w:pPr>
        <w:pStyle w:val="Heading2"/>
        <w:keepNext/>
        <w:spacing w:after="130" w:before="260"/>
      </w:pPr>
      <w:r>
        <w:t xml:space="preserve">§ 8  Mietsicherheit (Kaution)</w:t>
      </w:r>
    </w:p>
    <w:p>
      <w:pPr>
        <w:spacing w:after="120" w:line="264"/>
        <w:jc w:val="both"/>
      </w:pPr>
      <w:r>
        <w:t xml:space="preserve">(1) Der Mieter leistet eine Sicherheit in Höhe von </w:t>
      </w:r>
      <w:r>
        <w:rPr>
          <w:b/>
          <w:bCs/>
        </w:rPr>
        <w:t xml:space="preserve">________________ € </w:t>
      </w:r>
      <w:r>
        <w:t xml:space="preserve">(höchstens drei Nettokaltmieten, § 551 BGB).</w:t>
      </w:r>
    </w:p>
    <w:p>
      <w:pPr>
        <w:spacing w:after="120" w:line="264"/>
        <w:jc w:val="both"/>
      </w:pPr>
      <w:r>
        <w:t xml:space="preserve">(2) Der Mieter ist berechtigt, die Kaution in drei gleichen monatlichen Teilbeträgen zu zahlen. Die erste Rate ist zu Beginn des Mietverhältnisses fällig, die weiteren mit den beiden folgenden Mietzahlungen.</w:t>
      </w:r>
    </w:p>
    <w:p>
      <w:pPr>
        <w:spacing w:after="120" w:line="264"/>
        <w:jc w:val="both"/>
      </w:pPr>
      <w:r>
        <w:t xml:space="preserve">(3) Der Vermieter legt die Kaution getrennt von seinem Vermögen insolvenzfest und verzinslich an (Anlage zum üblichen Zinssatz für Spareinlagen mit dreimonatiger Kündigungsfrist). Die Zinsen stehen dem Mieter zu und erhöhen die Sicherheit.</w:t>
      </w:r>
    </w:p>
    <w:p>
      <w:pPr>
        <w:spacing w:after="120" w:line="264"/>
        <w:jc w:val="both"/>
      </w:pPr>
      <w:r>
        <w:t xml:space="preserve">(4) Nach Beendigung des Mietverhältnisses und Rückgabe der Wohnung rechnet der Vermieter über die Kaution ab und zahlt sie nebst Zinsen innerhalb einer angemessenen Prüfungsfrist zurück, soweit ihm keine fälligen Ansprüche aus dem Mietverhältnis zustehen. Wegen noch nicht abgerechneter Betriebskosten kann ein angemessener Teilbetrag vorübergehend einbehalten werden.</w:t>
      </w:r>
    </w:p>
    <w:p>
      <w:pPr>
        <w:pStyle w:val="Heading2"/>
        <w:keepNext/>
        <w:spacing w:after="130" w:before="260"/>
      </w:pPr>
      <w:r>
        <w:t xml:space="preserve">§ 9  Schönheitsreparaturen</w:t>
      </w:r>
    </w:p>
    <w:p>
      <w:pPr>
        <w:spacing w:after="120" w:line="264"/>
        <w:jc w:val="both"/>
      </w:pPr>
      <w:r>
        <w:t xml:space="preserve">(1) Schönheitsreparaturen umfassen das Tapezieren, Anstreichen oder Kalken der Wände und Decken, das Streichen der Fußböden, der Heizkörper einschließlich Heizrohre, der Innentüren sowie der Fenster und Außentüren von innen (vgl. § 28 Abs. 4 II. BV).</w:t>
      </w:r>
    </w:p>
    <w:p>
      <w:pPr>
        <w:spacing w:after="120" w:line="264"/>
        <w:jc w:val="both"/>
      </w:pPr>
      <w:r>
        <w:t xml:space="preserve">(2) Wird die Wohnung renoviert übergeben (§ 2 Abs. 6), so übernimmt der Mieter die Schönheitsreparaturen während der Mietzeit auf eigene Kosten, soweit sie durch seinen Gebrauch erforderlich werden.</w:t>
      </w:r>
    </w:p>
    <w:p>
      <w:pPr>
        <w:spacing w:after="120" w:line="264"/>
        <w:jc w:val="both"/>
      </w:pPr>
      <w:r>
        <w:t xml:space="preserve">(3) Maßgeblich ist der tatsächliche Renovierungsbedarf. Die Arbeiten sind im Allgemeinen – bei normaler Nutzung und soweit erforderlich – in folgenden Zeitabständen zu erwarten: in Küche, Bad und Dusche etwa alle 3 Jahre, in Wohn- und Schlafräumen, Fluren und Toiletten etwa alle 5 Jahre, in Nebenräumen etwa alle 7 Jahre. </w:t>
      </w:r>
      <w:r>
        <w:rPr>
          <w:i/>
          <w:iCs/>
          <w:sz w:val="20"/>
          <w:szCs w:val="20"/>
        </w:rPr>
        <w:t xml:space="preserve">Diese Zeiträume sind unverbindliche Richtwerte; bei geringerem Bedarf besteht keine Renovierungspflicht.</w:t>
      </w:r>
    </w:p>
    <w:p>
      <w:pPr>
        <w:spacing w:after="120" w:line="264"/>
        <w:jc w:val="both"/>
      </w:pPr>
      <w:r>
        <w:t xml:space="preserve">(4) Der Mieter darf die Arbeiten in mittlerer Art und Güte selbst ausführen; die Beauftragung einer Fachfirma kann nicht verlangt werden. Während der Mietzeit ist der Mieter in der Farbwahl frei.</w:t>
      </w:r>
    </w:p>
    <w:p>
      <w:pPr>
        <w:spacing w:after="120" w:line="264"/>
        <w:jc w:val="both"/>
      </w:pPr>
      <w:r>
        <w:t xml:space="preserve">(5) Bei Rückgabe schuldet der Mieter keine Endrenovierung allein wegen des Auszugs. Fällige Schönheitsreparaturen sind auszuführen; wird gestrichen, ist in hellen, neutralen und allgemein üblichen Farbtönen zu dekorieren, damit eine Weitervermietung möglich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EEEEEE" w:val="clear"/>
            <w:tcMar>
              <w:top w:type="dxa" w:w="120"/>
              <w:left w:type="dxa" w:w="160"/>
              <w:bottom w:type="dxa" w:w="120"/>
              <w:right w:type="dxa" w:w="160"/>
            </w:tcMar>
          </w:tcPr>
          <w:p>
            <w:pPr>
              <w:spacing w:after="0" w:line="252"/>
              <w:jc w:val="both"/>
            </w:pPr>
            <w:r>
              <w:rPr>
                <w:b/>
                <w:bCs/>
              </w:rPr>
              <w:t xml:space="preserve">(6) Unrenovierte Übergabe: </w:t>
            </w:r>
            <w:r>
              <w:t xml:space="preserve">Wird die Wohnung unrenoviert oder mit Gebrauchsspuren übergeben, ist die Übertragung der Schönheitsreparaturen auf den Mieter ohne angemessenen Ausgleich unwirksam (BGH, VIII ZR 185/14). In diesem Fall trägt der Vermieter die Schönheitsreparaturen, sofern die Parteien nicht ausdrücklich einen angemessenen Ausgleich (z. B. reduzierte Anfangsmiete oder Kostenbeteiligung) vereinbaren: ____________________________________.</w:t>
            </w:r>
          </w:p>
        </w:tc>
      </w:tr>
    </w:tbl>
    <w:p>
      <w:pPr>
        <w:pStyle w:val="Heading2"/>
        <w:keepNext/>
        <w:spacing w:after="130" w:before="260"/>
      </w:pPr>
      <w:r>
        <w:t xml:space="preserve">§ 10  Kleinreparaturen (Bagatellschäden)</w:t>
      </w:r>
    </w:p>
    <w:p>
      <w:pPr>
        <w:spacing w:after="120" w:line="264"/>
        <w:jc w:val="both"/>
      </w:pPr>
      <w:r>
        <w:t xml:space="preserve">(1) Der Mieter trägt die Kosten – nicht die Durchführung – kleiner Instandsetzungen an Teilen der Mietsache, die seinem häufigen und unmittelbaren Zugriff unterliegen. Dazu gehören insbesondere die Installationsgegenstände für Elektrizität, Wasser und Gas, die Heiz- und Kocheinrichtungen, Fenster- und Türverschlüsse sowie die Verschlussvorrichtungen von Fensterläden/Rollläden.</w:t>
      </w:r>
    </w:p>
    <w:p>
      <w:pPr>
        <w:spacing w:after="120" w:line="264"/>
        <w:jc w:val="both"/>
      </w:pPr>
      <w:r>
        <w:t xml:space="preserve">(2) Die Kostentragung ist doppelt begrenzt:</w:t>
      </w:r>
    </w:p>
    <w:p>
      <w:pPr>
        <w:spacing w:after="30" w:line="264"/>
        <w:ind w:left="360"/>
        <w:jc w:val="both"/>
      </w:pPr>
      <w:r>
        <w:t xml:space="preserve">a) je Einzelfall auf höchstens ________ € (empfohlen: 100–120 €), und</w:t>
      </w:r>
    </w:p>
    <w:p>
      <w:pPr>
        <w:spacing w:after="80" w:line="264"/>
        <w:ind w:left="360"/>
        <w:jc w:val="both"/>
      </w:pPr>
      <w:r>
        <w:t xml:space="preserve">b) je Kalenderjahr auf höchstens 8 % der Jahres-Nettokaltmiete.</w:t>
      </w:r>
    </w:p>
    <w:p>
      <w:pPr>
        <w:spacing w:after="120" w:line="264"/>
        <w:jc w:val="both"/>
      </w:pPr>
      <w:r>
        <w:t xml:space="preserve">(3) Übersteigen die Kosten einer einzelnen Reparatur den Betrag nach Abs. 2 a), trägt der Vermieter die gesamten Kosten dieser Reparatur; eine anteilige Beteiligung des Mieters findet nicht statt.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EEEEEE" w:val="clear"/>
            <w:tcMar>
              <w:top w:type="dxa" w:w="120"/>
              <w:left w:type="dxa" w:w="160"/>
              <w:bottom w:type="dxa" w:w="120"/>
              <w:right w:type="dxa" w:w="160"/>
            </w:tcMar>
          </w:tcPr>
          <w:p>
            <w:pPr>
              <w:spacing w:after="0" w:line="252"/>
              <w:jc w:val="both"/>
            </w:pPr>
            <w:r>
              <w:rPr>
                <w:b/>
                <w:bCs/>
                <w:i/>
                <w:iCs/>
                <w:sz w:val="20"/>
                <w:szCs w:val="20"/>
              </w:rPr>
              <w:t xml:space="preserve">Hinweis: </w:t>
            </w:r>
            <w:r>
              <w:rPr>
                <w:i/>
                <w:iCs/>
                <w:sz w:val="20"/>
                <w:szCs w:val="20"/>
              </w:rPr>
              <w:t xml:space="preserve">Fehlt eine der beiden Obergrenzen oder werden dem Mieter Durchführung/Beauftragung auferlegt, ist die gesamte Klausel unwirksam – dann trägt der Vermieter sämtliche Kleinreparaturkosten.</w:t>
            </w:r>
          </w:p>
        </w:tc>
      </w:tr>
    </w:tbl>
    <w:p>
      <w:pPr>
        <w:pStyle w:val="Heading2"/>
        <w:keepNext/>
        <w:spacing w:after="130" w:before="260"/>
      </w:pPr>
      <w:r>
        <w:t xml:space="preserve">§ 11  Obhut, Instandhaltung und Anzeigepflichten</w:t>
      </w:r>
    </w:p>
    <w:p>
      <w:pPr>
        <w:spacing w:after="120" w:line="264"/>
        <w:jc w:val="both"/>
      </w:pPr>
      <w:r>
        <w:t xml:space="preserve">(1) Der Mieter hat die Mieträume pfleglich zu behandeln und ausreichend zu lüften und zu heizen, um Schäden – insbesondere Feuchtigkeit und Schimmel – zu vermeiden.</w:t>
      </w:r>
    </w:p>
    <w:p>
      <w:pPr>
        <w:spacing w:after="120" w:line="264"/>
        <w:jc w:val="both"/>
      </w:pPr>
      <w:r>
        <w:t xml:space="preserve">(2) Mängel und Schäden an der Mietsache hat der Mieter dem Vermieter unverzüglich anzuzeigen (§ 536c BGB). Unterbleibt die Anzeige, haftet der Mieter für daraus entstehende weitere Schäden.</w:t>
      </w:r>
    </w:p>
    <w:p>
      <w:pPr>
        <w:spacing w:after="120" w:line="264"/>
        <w:jc w:val="both"/>
      </w:pPr>
      <w:r>
        <w:t xml:space="preserve">(3) Die laufende Instandhaltung und Instandsetzung der Mietsache obliegt – vorbehaltlich §§ 9 und 10 – dem Vermieter (§ 535 BGB).</w:t>
      </w:r>
    </w:p>
    <w:p>
      <w:pPr>
        <w:pStyle w:val="Heading2"/>
        <w:keepNext/>
        <w:spacing w:after="130" w:before="260"/>
      </w:pPr>
      <w:r>
        <w:t xml:space="preserve">§ 12  Bauliche Veränderungen durch den Mieter</w:t>
      </w:r>
    </w:p>
    <w:p>
      <w:pPr>
        <w:spacing w:after="120" w:line="264"/>
        <w:jc w:val="both"/>
      </w:pPr>
      <w:r>
        <w:t xml:space="preserve">(1) Bauliche Veränderungen der Mietsache (z. B. Um- und Einbauten, Durchbrüche) bedürfen der vorherigen Zustimmung des Vermieters in Textform. Bei Auszug kann der Vermieter die Wiederherstellung des ursprünglichen Zustands verlangen, soweit nichts anderes vereinbart ist.</w:t>
      </w:r>
    </w:p>
    <w:p>
      <w:pPr>
        <w:spacing w:after="120" w:line="264"/>
        <w:jc w:val="both"/>
      </w:pPr>
      <w:r>
        <w:t xml:space="preserve">(2) Unberührt bleiben gesetzliche Ansprüche des Mieters auf Zustimmung zu Maßnahmen der Barrierereduzierung, der Lademöglichkeit für Elektrofahrzeuge sowie des Einbruchsschutzes (§ 554 BGB).</w:t>
      </w:r>
    </w:p>
    <w:p>
      <w:pPr>
        <w:pStyle w:val="Heading2"/>
        <w:keepNext/>
        <w:spacing w:after="130" w:before="260"/>
      </w:pPr>
      <w:r>
        <w:t xml:space="preserve">§ 13  Gebrauchsüberlassung an Dritte / Untervermietung</w:t>
      </w:r>
    </w:p>
    <w:p>
      <w:pPr>
        <w:spacing w:after="120" w:line="264"/>
        <w:jc w:val="both"/>
      </w:pPr>
      <w:r>
        <w:t xml:space="preserve">Die Überlassung der Mietsache oder eines Teils an Dritte (Untervermietung) bedarf der Erlaubnis des Vermieters. Hat der Mieter ein berechtigtes Interesse, das nach Vertragsschluss entstanden ist, so kann er die Erlaubnis zur Untervermietung eines Teils der Wohnung verlangen (§ 553 BGB), sofern nicht in der Person des Dritten ein wichtiger Grund entgegensteht oder die Wohnung überbelegt würde.</w:t>
      </w:r>
    </w:p>
    <w:p>
      <w:pPr>
        <w:pStyle w:val="Heading2"/>
        <w:keepNext/>
        <w:spacing w:after="130" w:before="260"/>
      </w:pPr>
      <w:r>
        <w:t xml:space="preserve">§ 14  Tierhaltung</w:t>
      </w:r>
    </w:p>
    <w:p>
      <w:pPr>
        <w:spacing w:after="120" w:line="264"/>
        <w:jc w:val="both"/>
      </w:pPr>
      <w:r>
        <w:t xml:space="preserve">(1) Die Haltung von Kleintieren in üblichem Umfang (z. B. Zierfische, Ziervögel, Hamster) ist ohne besondere Erlaubnis gestattet, solange hiervon keine Belästigung oder Beschädigung ausgeht.</w:t>
      </w:r>
    </w:p>
    <w:p>
      <w:pPr>
        <w:spacing w:after="120" w:line="264"/>
        <w:jc w:val="both"/>
      </w:pPr>
      <w:r>
        <w:t xml:space="preserve">(2) Die Haltung von Hunden und Katzen bedarf der Erlaubnis des Vermieters. Über die Erlaubnis entscheidet der Vermieter nach Abwägung der Interessen im Einzelfall; sie darf nicht ohne sachlichen Grund verweigert werden. Ein bereits erteiltes Einverständnis kann nur aus wichtigem Grund widerrufen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EEEEEE" w:val="clear"/>
            <w:tcMar>
              <w:top w:type="dxa" w:w="120"/>
              <w:left w:type="dxa" w:w="160"/>
              <w:bottom w:type="dxa" w:w="120"/>
              <w:right w:type="dxa" w:w="160"/>
            </w:tcMar>
          </w:tcPr>
          <w:p>
            <w:pPr>
              <w:spacing w:after="0" w:line="252"/>
              <w:jc w:val="both"/>
            </w:pPr>
            <w:r>
              <w:rPr>
                <w:b/>
                <w:bCs/>
                <w:i/>
                <w:iCs/>
                <w:sz w:val="20"/>
                <w:szCs w:val="20"/>
              </w:rPr>
              <w:t xml:space="preserve">Hinweis: </w:t>
            </w:r>
            <w:r>
              <w:rPr>
                <w:i/>
                <w:iCs/>
                <w:sz w:val="20"/>
                <w:szCs w:val="20"/>
              </w:rPr>
              <w:t xml:space="preserve">Ein generelles, ausnahmsloses Verbot der Hunde- und Katzenhaltung ist nach der Rechtsprechung des BGH unwirksam.</w:t>
            </w:r>
          </w:p>
        </w:tc>
      </w:tr>
    </w:tbl>
    <w:p>
      <w:pPr>
        <w:pStyle w:val="Heading2"/>
        <w:keepNext/>
        <w:spacing w:after="130" w:before="260"/>
      </w:pPr>
      <w:r>
        <w:t xml:space="preserve">§ 15  Benutzung der Mieträume und Hausordnung</w:t>
      </w:r>
    </w:p>
    <w:p>
      <w:pPr>
        <w:spacing w:after="120" w:line="264"/>
        <w:jc w:val="both"/>
      </w:pPr>
      <w:r>
        <w:t xml:space="preserve">(1) Die Räume dürfen nur zu Wohnzwecken genutzt werden. Eine teilgewerbliche oder berufliche Nutzung, die nach außen in Erscheinung tritt oder Publikumsverkehr auslöst, bedarf der Zustimmung des Vermieters.</w:t>
      </w:r>
    </w:p>
    <w:p>
      <w:pPr>
        <w:spacing w:after="120" w:line="264"/>
        <w:jc w:val="both"/>
      </w:pPr>
      <w:r>
        <w:t xml:space="preserve">(2) Der Mieter nimmt auf die übrigen Hausbewohner Rücksicht und beachtet die üblichen Ruhezeiten. Eine etwaige Hausordnung (Anlage 2) ist Bestandteil dieses Vertrages, soweit sie keine über die gesetzlichen Pflichten hinausgehenden Belastungen begründet.</w:t>
      </w:r>
    </w:p>
    <w:p>
      <w:pPr>
        <w:pStyle w:val="Heading2"/>
        <w:keepNext/>
        <w:spacing w:after="130" w:before="260"/>
      </w:pPr>
      <w:r>
        <w:t xml:space="preserve">§ 16  Betreten der Mietsache durch den Vermieter</w:t>
      </w:r>
    </w:p>
    <w:p>
      <w:pPr>
        <w:spacing w:after="120" w:line="264"/>
        <w:jc w:val="both"/>
      </w:pPr>
      <w:r>
        <w:t xml:space="preserve">Der Vermieter oder ein Beauftragter darf die Wohnung bei berechtigtem Anlass (z. B. Ablesung, Wartung, erforderliche Besichtigung, beabsichtigter Verkauf oder Neuvermietung) nach rechtzeitiger Ankündigung – in der Regel mindestens 24 bis 48 Stunden vorher – zu angemessenen Zeiten betreten. Ein anlassloses Betretungsrecht oder ein Anspruch auf Hinterlegung eines Schlüssels besteht nicht. Bei Gefahr im Verzug ist der Zutritt jederzeit zulässig.</w:t>
      </w:r>
    </w:p>
    <w:p>
      <w:pPr>
        <w:pStyle w:val="Heading2"/>
        <w:keepNext/>
        <w:spacing w:after="130" w:before="260"/>
      </w:pPr>
      <w:r>
        <w:t xml:space="preserve">§ 17  Beendigung des Mietverhältnisses</w:t>
      </w:r>
    </w:p>
    <w:p>
      <w:pPr>
        <w:spacing w:after="120" w:line="264"/>
        <w:jc w:val="both"/>
      </w:pPr>
      <w:r>
        <w:t xml:space="preserve">(1) Jede Kündigung bedarf der Schriftform (§ 568 BGB). Die elektronische Form ist ausgeschlossen.</w:t>
      </w:r>
    </w:p>
    <w:p>
      <w:pPr>
        <w:spacing w:after="120" w:line="264"/>
        <w:jc w:val="both"/>
      </w:pPr>
      <w:r>
        <w:rPr>
          <w:b/>
          <w:bCs/>
        </w:rPr>
        <w:t xml:space="preserve">(2) Ordentliche Kündigung des Mieters: </w:t>
      </w:r>
      <w:r>
        <w:t xml:space="preserve">Der Mieter kann mit einer Frist von drei Monaten kündigen; die Kündigung muss spätestens am dritten Werktag eines Kalendermonats zum Ablauf des übernächsten Monats zugehen.</w:t>
      </w:r>
    </w:p>
    <w:p>
      <w:pPr>
        <w:spacing w:after="120" w:line="264"/>
        <w:jc w:val="both"/>
      </w:pPr>
      <w:r>
        <w:rPr>
          <w:b/>
          <w:bCs/>
        </w:rPr>
        <w:t xml:space="preserve">(3) Ordentliche Kündigung des Vermieters: </w:t>
      </w:r>
      <w:r>
        <w:t xml:space="preserve">Der Vermieter kann nur kündigen, wenn er ein berechtigtes Interesse hat (§ 573 BGB, z. B. Eigenbedarf). Die Kündigungsfrist verlängert sich mit der Mietdauer: nach 5 Jahren auf 6 Monate, nach 8 Jahren auf 9 Monate; bis dahin beträgt sie 3 Monate.</w:t>
      </w:r>
    </w:p>
    <w:p>
      <w:pPr>
        <w:spacing w:after="120" w:line="264"/>
        <w:jc w:val="both"/>
      </w:pPr>
      <w:r>
        <w:rPr>
          <w:b/>
          <w:bCs/>
        </w:rPr>
        <w:t xml:space="preserve">(4) Außerordentliche fristlose Kündigung: </w:t>
      </w:r>
      <w:r>
        <w:t xml:space="preserve">Das Recht zur fristlosen Kündigung aus wichtigem Grund (insbesondere bei erheblichem Zahlungsverzug) bleibt für beide Seiten unberührt (§§ 543, 569 BGB).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EEEEEE" w:val="clear"/>
            <w:tcMar>
              <w:top w:type="dxa" w:w="120"/>
              <w:left w:type="dxa" w:w="160"/>
              <w:bottom w:type="dxa" w:w="120"/>
              <w:right w:type="dxa" w:w="160"/>
            </w:tcMar>
          </w:tcPr>
          <w:p>
            <w:pPr>
              <w:spacing w:after="0" w:line="252"/>
              <w:jc w:val="both"/>
            </w:pPr>
            <w:r>
              <w:rPr>
                <w:b/>
                <w:bCs/>
                <w:i/>
                <w:iCs/>
                <w:sz w:val="20"/>
                <w:szCs w:val="20"/>
              </w:rPr>
              <w:t xml:space="preserve">Hinweis: </w:t>
            </w:r>
            <w:r>
              <w:rPr>
                <w:i/>
                <w:iCs/>
                <w:sz w:val="20"/>
                <w:szCs w:val="20"/>
              </w:rPr>
              <w:t xml:space="preserve">Eine fristlose Kündigung wegen Zahlungsverzugs wird unwirksam, wenn der Rückstand fristgerecht ausgeglichen wird (Schonfristzahlung, § 569 Abs. 3 BGB). Nach dem Entwurf „Mietrecht II“ (2026) soll diese Heilung künftig auch die ordentliche Kündigung erfassen.</w:t>
            </w:r>
          </w:p>
        </w:tc>
      </w:tr>
    </w:tbl>
    <w:p>
      <w:pPr>
        <w:pStyle w:val="Heading2"/>
        <w:keepNext/>
        <w:spacing w:after="130" w:before="260"/>
      </w:pPr>
      <w:r>
        <w:t xml:space="preserve">§ 18  Rückgabe der Mietsache</w:t>
      </w:r>
    </w:p>
    <w:p>
      <w:pPr>
        <w:spacing w:after="120" w:line="264"/>
        <w:jc w:val="both"/>
      </w:pPr>
      <w:r>
        <w:t xml:space="preserve">(1) Bei Beendigung des Mietverhältnisses gibt der Mieter die Wohnung vollständig geräumt und besenrein mit sämtlichen Schlüsseln (auch selbst beschafften) zurück. Der Zustand wird in einem Rückgabeprotokoll mit Zählerständen festgehalten.</w:t>
      </w:r>
    </w:p>
    <w:p>
      <w:pPr>
        <w:spacing w:after="120" w:line="264"/>
        <w:jc w:val="both"/>
      </w:pPr>
      <w:r>
        <w:t xml:space="preserve">(2) Vom Mieter vorgenommene Einrichtungen kann er wegnehmen; er hat die Mietsache in den vertragsgemäßen Zustand zurückzuversetzen, soweit § 12 dies vorsieht.</w:t>
      </w:r>
    </w:p>
    <w:p>
      <w:pPr>
        <w:pStyle w:val="Heading2"/>
        <w:keepNext/>
        <w:spacing w:after="130" w:before="260"/>
      </w:pPr>
      <w:r>
        <w:t xml:space="preserve">§ 19  Mehrheit von Mietern</w:t>
      </w:r>
    </w:p>
    <w:p>
      <w:pPr>
        <w:spacing w:after="120" w:line="264"/>
        <w:jc w:val="both"/>
      </w:pPr>
      <w:r>
        <w:t xml:space="preserve">(1) Mehrere Mieter haften für alle Verpflichtungen aus diesem Vertrag als Gesamtschuldner.</w:t>
      </w:r>
    </w:p>
    <w:p>
      <w:pPr>
        <w:spacing w:after="120" w:line="264"/>
        <w:jc w:val="both"/>
      </w:pPr>
      <w:r>
        <w:t xml:space="preserve">(2) Die Mieter bevollmächtigen sich gegenseitig zur Entgegennahme von Erklärungen des Vermieters (Empfangsvollmacht). Eine Kündigung des Mietverhältnisses muss jedoch von allen bzw. gegenüber allen Mietern erklärt werden, um wirksam zu sein.</w:t>
      </w:r>
    </w:p>
    <w:p>
      <w:pPr>
        <w:pStyle w:val="Heading2"/>
        <w:keepNext/>
        <w:spacing w:after="130" w:before="260"/>
      </w:pPr>
      <w:r>
        <w:t xml:space="preserve">§ 20  Wohnungsgeberbestätigung</w:t>
      </w:r>
    </w:p>
    <w:p>
      <w:pPr>
        <w:spacing w:after="120" w:line="264"/>
        <w:jc w:val="both"/>
      </w:pPr>
      <w:r>
        <w:t xml:space="preserve">Der Vermieter stellt dem Mieter die zur Anmeldung bei der Meldebehörde erforderliche Wohnungsgeberbestätigung nach § 19 Bundesmeldegesetz (BMG) aus.</w:t>
      </w:r>
    </w:p>
    <w:p>
      <w:pPr>
        <w:pStyle w:val="Heading2"/>
        <w:keepNext/>
        <w:spacing w:after="130" w:before="260"/>
      </w:pPr>
      <w:r>
        <w:t xml:space="preserve">§ 21  Sonstige Vereinbarungen</w:t>
      </w:r>
    </w:p>
    <w:p>
      <w:pPr>
        <w:spacing w:after="80" w:line="264"/>
        <w:jc w:val="both"/>
      </w:pPr>
      <w:r>
        <w:t xml:space="preserve">Folgende ergänzende Vereinbarungen werden getroffen (z. B. Renovierungsausgleich, Stellplatz, Gartenpflege, Rauchwarnmelder-Wartung):</w:t>
      </w:r>
    </w:p>
    <w:p>
      <w:pPr>
        <w:spacing w:after="80" w:line="300"/>
      </w:pPr>
      <w:r>
        <w:t xml:space="preserve"/>
      </w:r>
      <w:r>
        <w:t xml:space="preserve">  </w:t>
      </w:r>
      <w:r>
        <w:t xml:space="preserve">____________________________________________________________</w:t>
      </w:r>
    </w:p>
    <w:p>
      <w:pPr>
        <w:spacing w:after="80" w:line="300"/>
      </w:pPr>
      <w:r>
        <w:t xml:space="preserve"/>
      </w:r>
      <w:r>
        <w:t xml:space="preserve">  </w:t>
      </w:r>
      <w:r>
        <w:t xml:space="preserve">____________________________________________________________</w:t>
      </w:r>
    </w:p>
    <w:p>
      <w:pPr>
        <w:spacing w:after="80" w:line="300"/>
      </w:pPr>
      <w:r>
        <w:t xml:space="preserve"/>
      </w:r>
      <w:r>
        <w:t xml:space="preserve">  </w:t>
      </w:r>
      <w:r>
        <w:t xml:space="preserve">____________________________________________________________</w:t>
      </w:r>
    </w:p>
    <w:p>
      <w:pPr>
        <w:pStyle w:val="Heading2"/>
        <w:keepNext/>
        <w:spacing w:after="130" w:before="260"/>
      </w:pPr>
      <w:r>
        <w:t xml:space="preserve">§ 22  Schlussbestimmungen</w:t>
      </w:r>
    </w:p>
    <w:p>
      <w:pPr>
        <w:spacing w:after="120" w:line="264"/>
        <w:jc w:val="both"/>
      </w:pPr>
      <w:r>
        <w:t xml:space="preserve">(1) Änderungen und Ergänzungen dieses Vertrages bedürfen der Schriftform. Mündliche Nebenabreden bestehen nicht.</w:t>
      </w:r>
    </w:p>
    <w:p>
      <w:pPr>
        <w:spacing w:after="120" w:line="264"/>
        <w:jc w:val="both"/>
      </w:pPr>
      <w:r>
        <w:t xml:space="preserve">(2) Sollte eine Bestimmung dieses Vertrages unwirksam sein oder werden, so bleibt der Vertrag im Übrigen wirksam. An die Stelle der unwirksamen Bestimmung tritt die gesetzliche Regelung.</w:t>
      </w:r>
    </w:p>
    <w:p>
      <w:pPr>
        <w:spacing w:after="120" w:line="264"/>
        <w:jc w:val="both"/>
      </w:pPr>
      <w:r>
        <w:t xml:space="preserve">(3) Für Streitigkeiten aus diesem Wohnraummietverhältnis ist das Gericht zuständig, in dessen Bezirk die Wohnung liegt (§ 29a ZPO).</w:t>
      </w:r>
    </w:p>
    <w:p>
      <w:pPr>
        <w:spacing w:after="220"/>
      </w:pPr>
      <w:r>
        <w:t xml:space="preserve"/>
      </w:r>
    </w:p>
    <w:p>
      <w:pPr>
        <w:spacing w:after="240" w:line="264"/>
        <w:jc w:val="both"/>
      </w:pPr>
      <w:r>
        <w:t xml:space="preserve">Ort, Datum: ________________________________</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313"/>
        <w:gridCol w:w="400"/>
        <w:gridCol w:w="4313"/>
      </w:tblGrid>
      <w:tr>
        <w:tc>
          <w:tcPr>
            <w:tcW w:type="dxa" w:w="4313"/>
            <w:tcBorders>
              <w:top w:val="single" w:color="000000" w:sz="6"/>
              <w:left w:val="none" w:color="FFFFFF" w:sz="0"/>
              <w:bottom w:val="none" w:color="FFFFFF" w:sz="0"/>
              <w:right w:val="none" w:color="FFFFFF" w:sz="0"/>
            </w:tcBorders>
            <w:tcMar>
              <w:top w:type="dxa" w:w="40"/>
              <w:left w:type="dxa" w:w="0"/>
              <w:bottom w:type="dxa" w:w="0"/>
              <w:right w:type="dxa" w:w="0"/>
            </w:tcMar>
          </w:tcPr>
          <w:p>
            <w:r>
              <w:rPr>
                <w:sz w:val="20"/>
                <w:szCs w:val="20"/>
              </w:rPr>
              <w:t xml:space="preserve">Unterschrift Vermieter</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single" w:color="000000" w:sz="6"/>
              <w:left w:val="none" w:color="FFFFFF" w:sz="0"/>
              <w:bottom w:val="none" w:color="FFFFFF" w:sz="0"/>
              <w:right w:val="none" w:color="FFFFFF" w:sz="0"/>
            </w:tcBorders>
            <w:tcMar>
              <w:top w:type="dxa" w:w="40"/>
              <w:left w:type="dxa" w:w="0"/>
              <w:bottom w:type="dxa" w:w="0"/>
              <w:right w:type="dxa" w:w="0"/>
            </w:tcMar>
          </w:tcPr>
          <w:p>
            <w:r>
              <w:rPr>
                <w:sz w:val="20"/>
                <w:szCs w:val="20"/>
              </w:rPr>
              <w:t xml:space="preserve">Unterschrift Mieter 1</w:t>
            </w:r>
          </w:p>
        </w:tc>
      </w:tr>
    </w:tbl>
    <w:p>
      <w:pPr>
        <w:spacing w:after="360"/>
      </w:pPr>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313"/>
        <w:gridCol w:w="400"/>
        <w:gridCol w:w="4313"/>
      </w:tblGrid>
      <w:tr>
        <w:tc>
          <w:tcPr>
            <w:tcW w:type="dxa" w:w="4313"/>
            <w:tcBorders>
              <w:top w:val="single" w:color="000000" w:sz="6"/>
              <w:left w:val="none" w:color="FFFFFF" w:sz="0"/>
              <w:bottom w:val="none" w:color="FFFFFF" w:sz="0"/>
              <w:right w:val="none" w:color="FFFFFF" w:sz="0"/>
            </w:tcBorders>
            <w:tcMar>
              <w:top w:type="dxa" w:w="40"/>
              <w:left w:type="dxa" w:w="0"/>
              <w:bottom w:type="dxa" w:w="0"/>
              <w:right w:type="dxa" w:w="0"/>
            </w:tcMar>
          </w:tcPr>
          <w:p>
            <w:r>
              <w:rPr>
                <w:sz w:val="20"/>
                <w:szCs w:val="20"/>
              </w:rPr>
              <w:t xml:space="preserve">ggf. weiterer Vermieter</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single" w:color="000000" w:sz="6"/>
              <w:left w:val="none" w:color="FFFFFF" w:sz="0"/>
              <w:bottom w:val="none" w:color="FFFFFF" w:sz="0"/>
              <w:right w:val="none" w:color="FFFFFF" w:sz="0"/>
            </w:tcBorders>
            <w:tcMar>
              <w:top w:type="dxa" w:w="40"/>
              <w:left w:type="dxa" w:w="0"/>
              <w:bottom w:type="dxa" w:w="0"/>
              <w:right w:type="dxa" w:w="0"/>
            </w:tcMar>
          </w:tcPr>
          <w:p>
            <w:r>
              <w:rPr>
                <w:sz w:val="20"/>
                <w:szCs w:val="20"/>
              </w:rPr>
              <w:t xml:space="preserve">ggf. Unterschrift Mieter 2</w:t>
            </w:r>
          </w:p>
        </w:tc>
      </w:tr>
    </w:tbl>
    <w:p>
      <w:pPr>
        <w:spacing w:after="260"/>
      </w:pPr>
      <w:r>
        <w:t xml:space="preserve"/>
      </w:r>
    </w:p>
    <w:p>
      <w:pPr>
        <w:pStyle w:val="Heading2"/>
        <w:keepNext/>
        <w:spacing w:after="130" w:before="260"/>
      </w:pPr>
      <w:r>
        <w:t xml:space="preserve">  Anlagen</w:t>
      </w:r>
    </w:p>
    <w:p>
      <w:pPr>
        <w:spacing w:after="30" w:line="264"/>
        <w:jc w:val="both"/>
      </w:pPr>
      <w:r>
        <w:t xml:space="preserve">Anlage 1: Übergabe-/Rückgabeprotokoll</w:t>
      </w:r>
    </w:p>
    <w:p>
      <w:pPr>
        <w:spacing w:after="30" w:line="264"/>
        <w:jc w:val="both"/>
      </w:pPr>
      <w:r>
        <w:t xml:space="preserve">Anlage 2: Hausordnung</w:t>
      </w:r>
    </w:p>
    <w:p>
      <w:pPr>
        <w:spacing w:after="30" w:line="264"/>
        <w:jc w:val="both"/>
      </w:pPr>
      <w:r>
        <w:t xml:space="preserve">Anlage 3: Energieausweis (Kopie)</w:t>
      </w:r>
    </w:p>
    <w:p>
      <w:pPr>
        <w:spacing w:after="30" w:line="264"/>
        <w:jc w:val="both"/>
      </w:pPr>
      <w:r>
        <w:t xml:space="preserve">Anlage 4: Aufstellung der umlagefähigen Betriebskosten</w:t>
      </w:r>
    </w:p>
    <w:p>
      <w:r>
        <w:br w:type="page"/>
      </w:r>
    </w:p>
    <w:p>
      <w:pPr>
        <w:pStyle w:val="Heading1"/>
        <w:spacing w:after="160"/>
      </w:pPr>
      <w:r>
        <w:t xml:space="preserve">Ausfüll- und Rechtshinweise</w:t>
      </w:r>
    </w:p>
    <w:p>
      <w:pPr>
        <w:spacing w:after="160" w:line="264"/>
        <w:jc w:val="both"/>
      </w:pPr>
      <w:r>
        <w:rPr>
          <w:i/>
          <w:iCs/>
        </w:rPr>
        <w:t xml:space="preserve">Die folgenden Erläuterungen sind nicht Vertragsbestandteil. Sie sollen das Ausfüllen erleichtern und die wichtigsten Fallstricke erklären. Vor dem Druck des fertigen Vertrages bitte entfernen.</w:t>
      </w:r>
    </w:p>
    <w:p>
      <w:pPr>
        <w:spacing w:after="60" w:before="160"/>
      </w:pPr>
      <w:r>
        <w:rPr>
          <w:b/>
          <w:bCs/>
          <w:sz w:val="24"/>
          <w:szCs w:val="24"/>
        </w:rPr>
        <w:t xml:space="preserve">Schriftform und Vollständigkeit (§ 1, § 22)</w:t>
      </w:r>
    </w:p>
    <w:p>
      <w:pPr>
        <w:spacing w:after="80" w:line="264"/>
        <w:jc w:val="both"/>
      </w:pPr>
      <w:r>
        <w:t xml:space="preserve">Alle Mieter und Vermieter müssen mit vollständigem Namen aufgeführt sein und unterschreiben – auch bei Ehepaaren oder mehreren Eigentümern. Ein mündlicher Mietvertrag ist zwar gültig, aber im Streit kaum beweisbar und gilt stets als unbefristet. Verwenden Sie daher immer die Schriftform.</w:t>
      </w:r>
    </w:p>
    <w:p>
      <w:pPr>
        <w:spacing w:after="60" w:before="160"/>
      </w:pPr>
      <w:r>
        <w:rPr>
          <w:b/>
          <w:bCs/>
          <w:sz w:val="24"/>
          <w:szCs w:val="24"/>
        </w:rPr>
        <w:t xml:space="preserve">Wohnfläche (§ 2 Abs. 3)</w:t>
      </w:r>
    </w:p>
    <w:p>
      <w:pPr>
        <w:spacing w:after="80" w:line="264"/>
        <w:jc w:val="both"/>
      </w:pPr>
      <w:r>
        <w:t xml:space="preserve">Geben Sie die Wohnfläche möglichst korrekt an. Weicht die tatsächliche Fläche erheblich von der vereinbarten ab, kann das die Miethöhe und Betriebskostenabrechnung beeinflussen. Das Wort „ca.“ schützt nur begrenzt.</w:t>
      </w:r>
    </w:p>
    <w:p>
      <w:pPr>
        <w:spacing w:after="60" w:before="160"/>
      </w:pPr>
      <w:r>
        <w:rPr>
          <w:b/>
          <w:bCs/>
          <w:sz w:val="24"/>
          <w:szCs w:val="24"/>
        </w:rPr>
        <w:t xml:space="preserve">Renoviert oder unrenoviert übergeben? (§ 2 Abs. 6, § 9)</w:t>
      </w:r>
    </w:p>
    <w:p>
      <w:pPr>
        <w:spacing w:after="80" w:line="264"/>
        <w:jc w:val="both"/>
      </w:pPr>
      <w:r>
        <w:t xml:space="preserve">Dieses Kreuz ist entscheidend: Nur wenn die Wohnung renoviert übergeben wird, kann die Pflicht zu Schönheitsreparaturen wirksam auf den Mieter übertragen werden. Bei unrenovierter Übergabe ist die Übertragung ohne angemessenen Ausgleich unwirksam – dann trägt der Vermieter die Schönheitsreparaturen (BGH VIII ZR 185/14).</w:t>
      </w:r>
    </w:p>
    <w:p>
      <w:pPr>
        <w:spacing w:after="60" w:before="160"/>
      </w:pPr>
      <w:r>
        <w:rPr>
          <w:b/>
          <w:bCs/>
          <w:sz w:val="24"/>
          <w:szCs w:val="24"/>
        </w:rPr>
        <w:t xml:space="preserve">Mietpreisbremse (§ 4 Abs. 3)</w:t>
      </w:r>
    </w:p>
    <w:p>
      <w:pPr>
        <w:spacing w:after="80" w:line="264"/>
        <w:jc w:val="both"/>
      </w:pPr>
      <w:r>
        <w:t xml:space="preserve">In Gebieten mit angespanntem Wohnungsmarkt darf die Anfangsmiete höchstens 10 % über der ortsüblichen Vergleichsmiete liegen. Wollen Sie sich auf eine Ausnahme berufen (z. B. höhere Vormiete oder Modernisierung), müssen Sie den Mieter darüber vor Vertragsschluss in Textform informieren – sonst ist die überhöhte Miete angreifbar.</w:t>
      </w:r>
    </w:p>
    <w:p>
      <w:pPr>
        <w:spacing w:after="60" w:before="160"/>
      </w:pPr>
      <w:r>
        <w:rPr>
          <w:b/>
          <w:bCs/>
          <w:sz w:val="24"/>
          <w:szCs w:val="24"/>
        </w:rPr>
        <w:t xml:space="preserve">Staffel- und Indexmiete (§ 6)</w:t>
      </w:r>
    </w:p>
    <w:p>
      <w:pPr>
        <w:spacing w:after="80" w:line="264"/>
        <w:jc w:val="both"/>
      </w:pPr>
      <w:r>
        <w:t xml:space="preserve">Bei der Staffelmiete müssen die künftigen Beträge (nicht nur Prozentsätze) feststehen und zwischen zwei Stufen mindestens ein Jahr liegen. Eine Indexklausel muss in beide Richtungen wirken; seit 2026 gilt für Indexmieten eine Kappungsgrenze von 3,5 % pro Jahr. Beide Modelle schließen Mieterhöhungen nach § 558 BGB aus.</w:t>
      </w:r>
    </w:p>
    <w:p>
      <w:pPr>
        <w:spacing w:after="60" w:before="160"/>
      </w:pPr>
      <w:r>
        <w:rPr>
          <w:b/>
          <w:bCs/>
          <w:sz w:val="24"/>
          <w:szCs w:val="24"/>
        </w:rPr>
        <w:t xml:space="preserve">Kaution (§ 8)</w:t>
      </w:r>
    </w:p>
    <w:p>
      <w:pPr>
        <w:spacing w:after="80" w:line="264"/>
        <w:jc w:val="both"/>
      </w:pPr>
      <w:r>
        <w:t xml:space="preserve">Maximal drei Nettokaltmieten. Der Mieter darf in drei Raten zahlen. Die Kaution ist getrennt vom Vermögen des Vermieters und verzinslich anzulegen; die Zinsen gehören dem Mieter. Nach Auszug steht dem Vermieter eine angemessene Prüfungsfrist zu, bevor er zurückzahlt.</w:t>
      </w:r>
    </w:p>
    <w:p>
      <w:pPr>
        <w:spacing w:after="60" w:before="160"/>
      </w:pPr>
      <w:r>
        <w:rPr>
          <w:b/>
          <w:bCs/>
          <w:sz w:val="24"/>
          <w:szCs w:val="24"/>
        </w:rPr>
        <w:t xml:space="preserve">Schönheitsreparaturen – die häufigste Fehlerquelle (§ 9)</w:t>
      </w:r>
    </w:p>
    <w:p>
      <w:pPr>
        <w:spacing w:after="80" w:line="264"/>
        <w:jc w:val="both"/>
      </w:pPr>
      <w:r>
        <w:t xml:space="preserve">Unwirksam und daher hier bewusst vermieden sind: starre Fristen ohne Einschränkung, Endrenovierungsklauseln unabhängig vom Zustand, Quotenabgeltungsklauseln (anteilige Kosten bei vorzeitigem Auszug) sowie Vorgaben zur Farbe während der Mietzeit oder die Pflicht, eine Fachfirma zu beauftragen. Die hier verwendeten Formulierungen („soweit erforderlich“, weiche Richtwerte, Selbstvornahme erlaubt) entsprechen der aktuellen BGH-Rechtsprechung.</w:t>
      </w:r>
    </w:p>
    <w:p>
      <w:pPr>
        <w:spacing w:after="60" w:before="160"/>
      </w:pPr>
      <w:r>
        <w:rPr>
          <w:b/>
          <w:bCs/>
          <w:sz w:val="24"/>
          <w:szCs w:val="24"/>
        </w:rPr>
        <w:t xml:space="preserve">Kleinreparaturen (§ 10)</w:t>
      </w:r>
    </w:p>
    <w:p>
      <w:pPr>
        <w:spacing w:after="80" w:line="264"/>
        <w:jc w:val="both"/>
      </w:pPr>
      <w:r>
        <w:t xml:space="preserve">Die Klausel ist nur wirksam mit beiden Obergrenzen: einer Grenze je Einzelreparatur (empfohlen 100–120 €) UND einer Jahresobergrenze (hier 8 % der Jahres-Nettokaltmiete). Der Mieter darf nur zur Kostentragung verpflichtet werden, nicht zur Durchführung. Übersteigt eine Reparatur die Einzelgrenze, zahlt der Vermieter den vollen Betrag.</w:t>
      </w:r>
    </w:p>
    <w:p>
      <w:pPr>
        <w:spacing w:after="60" w:before="160"/>
      </w:pPr>
      <w:r>
        <w:rPr>
          <w:b/>
          <w:bCs/>
          <w:sz w:val="24"/>
          <w:szCs w:val="24"/>
        </w:rPr>
        <w:t xml:space="preserve">Tierhaltung (§ 14)</w:t>
      </w:r>
    </w:p>
    <w:p>
      <w:pPr>
        <w:spacing w:after="80" w:line="264"/>
        <w:jc w:val="both"/>
      </w:pPr>
      <w:r>
        <w:t xml:space="preserve">Kleintiere sind immer erlaubt. Für Hunde und Katzen ist ein Erlaubnisvorbehalt zulässig – ein pauschales Verbot dagegen nicht. Der Vermieter muss im Einzelfall abwägen und darf die Erlaubnis nicht ohne sachlichen Grund verweigern.</w:t>
      </w:r>
    </w:p>
    <w:p>
      <w:pPr>
        <w:spacing w:after="60" w:before="160"/>
      </w:pPr>
      <w:r>
        <w:rPr>
          <w:b/>
          <w:bCs/>
          <w:sz w:val="24"/>
          <w:szCs w:val="24"/>
        </w:rPr>
        <w:t xml:space="preserve">Kündigungsfristen (§ 17)</w:t>
      </w:r>
    </w:p>
    <w:p>
      <w:pPr>
        <w:spacing w:after="80" w:line="264"/>
        <w:jc w:val="both"/>
      </w:pPr>
      <w:r>
        <w:t xml:space="preserve">Mieter: immer drei Monate. Vermieter: nur mit berechtigtem Interesse und mit verlängerten Fristen (3 / 6 / 9 Monate je nach Mietdauer). Jede Kündigung muss schriftlich (eigenhändig unterschrieben) erfolgen – nicht per E-Mail.</w:t>
      </w:r>
    </w:p>
    <w:p>
      <w:pPr>
        <w:spacing w:after="60" w:before="160"/>
      </w:pPr>
      <w:r>
        <w:rPr>
          <w:b/>
          <w:bCs/>
          <w:sz w:val="24"/>
          <w:szCs w:val="24"/>
        </w:rPr>
        <w:t xml:space="preserve">Reform 2026 im Blick behalten</w:t>
      </w:r>
    </w:p>
    <w:p>
      <w:pPr>
        <w:spacing w:after="80" w:line="264"/>
        <w:jc w:val="both"/>
      </w:pPr>
      <w:r>
        <w:t xml:space="preserve">Der Referentenentwurf „Mietrecht II“ (Stand 2026) sieht u. a. vor: Begrenzung sachgrundloser Kurzzeitbefristungen auf sechs Monate, gesonderte Ausweisung von Möblierungszuschlägen (Obergrenze), Kappungsgrenze für Indexmieten und eine Ausweitung der Schonfristzahlung auf die ordentliche Kündigung. Prüfen Sie vor Vertragsschluss, ob diese Regelungen bereits in Kraft getreten sind, und passen Sie den Vertrag gegebenenfalls 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B458" w:sz="4"/>
              <w:left w:val="single" w:color="C9B458" w:sz="4"/>
              <w:bottom w:val="single" w:color="C9B458" w:sz="4"/>
              <w:right w:val="single" w:color="C9B458" w:sz="4"/>
            </w:tcBorders>
            <w:shd w:fill="F2EFD9" w:val="clear"/>
            <w:tcMar>
              <w:top w:type="dxa" w:w="120"/>
              <w:left w:type="dxa" w:w="160"/>
              <w:bottom w:type="dxa" w:w="120"/>
              <w:right w:type="dxa" w:w="160"/>
            </w:tcMar>
          </w:tcPr>
          <w:p>
            <w:pPr>
              <w:spacing w:after="0" w:line="252"/>
              <w:jc w:val="both"/>
            </w:pPr>
            <w:r>
              <w:rPr>
                <w:b/>
                <w:bCs/>
              </w:rPr>
              <w:t xml:space="preserve">Kein Ersatz für Rechtsberatung. </w:t>
            </w:r>
            <w:r>
              <w:t xml:space="preserve">Dieses Muster bildet den allgemeinen Rechtsstand 2026 ab und kann den Einzelfall nicht vollständig erfassen. Für eine verbindliche Prüfung wenden Sie sich an eine Rechtsanwältin/einen Rechtsanwalt, an Haus &amp; Grund (Vermieterseite) oder an einen Mieterverein (Mieterseite).</w:t>
            </w:r>
          </w:p>
        </w:tc>
      </w:tr>
    </w:tbl>
    <w:sectPr>
      <w:footerReference w:type="default" r:id="rId7"/>
      <w:pgSz w:w="11906" w:h="16838" w:orient="portrait"/>
      <w:pgMar w:top="144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777777"/>
        <w:sz w:val="16"/>
        <w:szCs w:val="16"/>
      </w:rPr>
      <w:t xml:space="preserve">Wohnraummietvertrag</w:t>
    </w:r>
    <w:r>
      <w:rPr>
        <w:color w:val="777777"/>
        <w:sz w:val="16"/>
        <w:szCs w:val="16"/>
      </w:rPr>
      <w:t xml:space="preserve">	Seite </w:t>
    </w:r>
    <w:r>
      <w:rPr>
        <w:color w:val="777777"/>
        <w:sz w:val="16"/>
        <w:szCs w:val="16"/>
      </w:rPr>
      <w:fldChar w:fldCharType="begin"/>
      <w:instrText xml:space="preserve">PAGE</w:instrText>
      <w:fldChar w:fldCharType="separate"/>
      <w:fldChar w:fldCharType="end"/>
    </w:r>
    <w:r>
      <w:rPr>
        <w:color w:val="777777"/>
        <w:sz w:val="16"/>
        <w:szCs w:val="16"/>
      </w:rPr>
      <w:t xml:space="preserve"> von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2"/>
      <w:szCs w:val="32"/>
    </w:rPr>
  </w:style>
  <w:style w:type="paragraph" w:styleId="Heading2">
    <w:name w:val="Heading 2"/>
    <w:basedOn w:val="Normal"/>
    <w:next w:val="Normal"/>
    <w:qFormat/>
    <w:pPr>
      <w:pBdr>
        <w:bottom w:val="single" w:color="999999" w:sz="4" w:space="2"/>
      </w:pBdr>
      <w:spacing w:after="12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2026-06-17T19:54:03.791Z</dcterms:created>
  <dcterms:modified xsi:type="dcterms:W3CDTF">2026-06-17T19:54:03.791Z</dcterms:modified>
</cp:coreProperties>
</file>

<file path=docProps/custom.xml><?xml version="1.0" encoding="utf-8"?>
<Properties xmlns="http://schemas.openxmlformats.org/officeDocument/2006/custom-properties" xmlns:vt="http://schemas.openxmlformats.org/officeDocument/2006/docPropsVTypes"/>
</file>