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Helvetica Neue" w:cs="Helvetica Neue" w:eastAsia="Helvetica Neue" w:hAnsi="Helvetica Neue"/>
          <w:b w:val="1"/>
        </w:rPr>
      </w:pPr>
      <w:bookmarkStart w:colFirst="0" w:colLast="0" w:name="_grn3moxzb8" w:id="0"/>
      <w:bookmarkEnd w:id="0"/>
      <w:r w:rsidDel="00000000" w:rsidR="00000000" w:rsidRPr="00000000">
        <w:rPr>
          <w:rtl w:val="0"/>
        </w:rPr>
        <w:t xml:space="preserve">Instrucciones y Consideraciones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Helvetica Neue" w:cs="Helvetica Neue" w:eastAsia="Helvetica Neue" w:hAnsi="Helvetica Neue"/>
          <w:b w:val="1"/>
          <w:color w:val="e36c0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instrumento de evaluación tiene una calificación máxima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e36c0a"/>
          <w:sz w:val="24"/>
          <w:szCs w:val="24"/>
          <w:rtl w:val="0"/>
        </w:rPr>
        <w:t xml:space="preserve">100 </w:t>
      </w:r>
    </w:p>
    <w:p w:rsidR="00000000" w:rsidDel="00000000" w:rsidP="00000000" w:rsidRDefault="00000000" w:rsidRPr="00000000" w14:paraId="00000003">
      <w:pPr>
        <w:pStyle w:val="Heading3"/>
        <w:rPr>
          <w:i w:val="1"/>
        </w:rPr>
      </w:pPr>
      <w:bookmarkStart w:colFirst="0" w:colLast="0" w:name="_ixq4rnfkw30z" w:id="1"/>
      <w:bookmarkEnd w:id="1"/>
      <w:r w:rsidDel="00000000" w:rsidR="00000000" w:rsidRPr="00000000">
        <w:rPr>
          <w:b w:val="1"/>
          <w:rtl w:val="0"/>
        </w:rPr>
        <w:t xml:space="preserve">Parte 0 - </w:t>
      </w:r>
      <w:r w:rsidDel="00000000" w:rsidR="00000000" w:rsidRPr="00000000">
        <w:rPr>
          <w:i w:val="1"/>
          <w:rtl w:val="0"/>
        </w:rPr>
        <w:t xml:space="preserve">Sobre el problema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Implementar el clásico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TicTacToe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(o gato) considerando: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Existirá una constante: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BOARD_SIZE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que determina el tamaño del tablero (es cuadrado siempre)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Existirá una constante: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COUNT_TO_WIN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que determina el número de fichas que un jugador deberá conectar para ganar: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 ser horizontal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 ser vertical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Puede ser cualquier diagonal válida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Los 2 jugadores tomarán turnos hasta que el juego resulte en un empate, o alguno de los jugadores conecte las fichas necesarias para ganar.</w:t>
      </w:r>
    </w:p>
    <w:p w:rsidR="00000000" w:rsidDel="00000000" w:rsidP="00000000" w:rsidRDefault="00000000" w:rsidRPr="00000000" w14:paraId="0000000B">
      <w:pPr>
        <w:pStyle w:val="Heading3"/>
        <w:rPr>
          <w:rFonts w:ascii="Fira Code" w:cs="Fira Code" w:eastAsia="Fira Code" w:hAnsi="Fira Code"/>
          <w:color w:val="e36c0a"/>
          <w:sz w:val="20"/>
          <w:szCs w:val="20"/>
          <w:highlight w:val="white"/>
        </w:rPr>
      </w:pPr>
      <w:bookmarkStart w:colFirst="0" w:colLast="0" w:name="_d8o2bxk9c8sd" w:id="2"/>
      <w:bookmarkEnd w:id="2"/>
      <w:r w:rsidDel="00000000" w:rsidR="00000000" w:rsidRPr="00000000">
        <w:rPr>
          <w:b w:val="1"/>
          <w:rtl w:val="0"/>
        </w:rPr>
        <w:t xml:space="preserve">Parte I - </w:t>
      </w:r>
      <w:r w:rsidDel="00000000" w:rsidR="00000000" w:rsidRPr="00000000">
        <w:rPr>
          <w:i w:val="1"/>
          <w:rtl w:val="0"/>
        </w:rPr>
        <w:t xml:space="preserve">de detalles de implementación </w:t>
      </w:r>
      <w:r w:rsidDel="00000000" w:rsidR="00000000" w:rsidRPr="00000000">
        <w:rPr>
          <w:rFonts w:ascii="Fira Code" w:cs="Fira Code" w:eastAsia="Fira Code" w:hAnsi="Fira Code"/>
          <w:color w:val="e36c0a"/>
          <w:sz w:val="20"/>
          <w:szCs w:val="20"/>
          <w:highlight w:val="white"/>
          <w:rtl w:val="0"/>
        </w:rPr>
        <w:t xml:space="preserve">(∑ 80 pts)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Sobre el código fuente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Fira Code" w:cs="Fira Code" w:eastAsia="Fira Code" w:hAnsi="Fira Code"/>
          <w:color w:val="e36c0a"/>
          <w:sz w:val="20"/>
          <w:szCs w:val="20"/>
          <w:highlight w:val="white"/>
          <w:rtl w:val="0"/>
        </w:rPr>
        <w:t xml:space="preserve">(10 pts)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35"/>
        <w:gridCol w:w="2340"/>
        <w:gridCol w:w="2010"/>
        <w:gridCol w:w="825"/>
        <w:tblGridChange w:id="0">
          <w:tblGrid>
            <w:gridCol w:w="2190"/>
            <w:gridCol w:w="1935"/>
            <w:gridCol w:w="2340"/>
            <w:gridCol w:w="201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e1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100</w:t>
            </w:r>
          </w:p>
        </w:tc>
        <w:tc>
          <w:tcPr>
            <w:shd w:fill="deea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75</w:t>
            </w:r>
          </w:p>
        </w:tc>
        <w:tc>
          <w:tcPr>
            <w:shd w:fill="fff3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50</w:t>
            </w:r>
          </w:p>
        </w:tc>
        <w:tc>
          <w:tcPr>
            <w:shd w:fill="fbe4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Es claro, correctamente indentado y estructurado. Es evidente el dominio de conceptos de encapsulación y abstracción.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En su mayoría es claro, correctamente indentado y estructurado. Muestra nociones de encapsulación y abstracción.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Es parcialmente claro, con pequeños errores de indentación o estructura. Muestra conocimiento incompleto de encapsulación y abstracción.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Es poco claro, con varios errores de indentación o estructura. No muestra intento de encapsulación o abstracción.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Es ilegible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Sobre el producto entregable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Fira Code" w:cs="Fira Code" w:eastAsia="Fira Code" w:hAnsi="Fira Code"/>
          <w:color w:val="e36c0a"/>
          <w:sz w:val="20"/>
          <w:szCs w:val="20"/>
          <w:highlight w:val="white"/>
          <w:rtl w:val="0"/>
        </w:rPr>
        <w:t xml:space="preserve">(10 pts)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35"/>
        <w:gridCol w:w="2340"/>
        <w:gridCol w:w="2010"/>
        <w:gridCol w:w="825"/>
        <w:tblGridChange w:id="0">
          <w:tblGrid>
            <w:gridCol w:w="2190"/>
            <w:gridCol w:w="1935"/>
            <w:gridCol w:w="2340"/>
            <w:gridCol w:w="201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e1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100</w:t>
            </w:r>
          </w:p>
        </w:tc>
        <w:tc>
          <w:tcPr>
            <w:shd w:fill="deea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75</w:t>
            </w:r>
          </w:p>
        </w:tc>
        <w:tc>
          <w:tcPr>
            <w:shd w:fill="fff3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50</w:t>
            </w:r>
          </w:p>
        </w:tc>
        <w:tc>
          <w:tcPr>
            <w:shd w:fill="fbe4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Archivo comprimido con código fuente y README (o Makefile) que describe con precisión reglas de compilación y ambientes de ejecución razonables.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Archivo comprimido con código fuente y pobres o inexistentes instrucciones de compilación o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No compila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Sobre el programa entregable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Fira Code" w:cs="Fira Code" w:eastAsia="Fira Code" w:hAnsi="Fira Code"/>
          <w:color w:val="e36c0a"/>
          <w:sz w:val="20"/>
          <w:szCs w:val="20"/>
          <w:highlight w:val="white"/>
          <w:rtl w:val="0"/>
        </w:rPr>
        <w:t xml:space="preserve">(60 pts)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35"/>
        <w:gridCol w:w="2340"/>
        <w:gridCol w:w="2010"/>
        <w:gridCol w:w="825"/>
        <w:tblGridChange w:id="0">
          <w:tblGrid>
            <w:gridCol w:w="2190"/>
            <w:gridCol w:w="1935"/>
            <w:gridCol w:w="2340"/>
            <w:gridCol w:w="201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e1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100</w:t>
            </w:r>
          </w:p>
        </w:tc>
        <w:tc>
          <w:tcPr>
            <w:shd w:fill="deea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75</w:t>
            </w:r>
          </w:p>
        </w:tc>
        <w:tc>
          <w:tcPr>
            <w:shd w:fill="fff3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50</w:t>
            </w:r>
          </w:p>
        </w:tc>
        <w:tc>
          <w:tcPr>
            <w:shd w:fill="fbe4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El programa funciona correctamente en todos los casos, incluyendo casos interesantes/esquina.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El programa funciona correctamente en todos los casos, salvo aquellos casos esquina de un usuario malicioso.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El programa funciona la mayoría del tiempo, protegiendo al usuario en errores de ingreso de datos y reportando resultados correctos.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El programa funciona de forma parcial, reportando resultados frecuentemente erróneos, algunas veces “crasheando” o quedándose ciclado.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No funciona</w:t>
            </w:r>
          </w:p>
        </w:tc>
      </w:tr>
    </w:tbl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wb1ksotyzi24" w:id="3"/>
      <w:bookmarkEnd w:id="3"/>
      <w:r w:rsidDel="00000000" w:rsidR="00000000" w:rsidRPr="00000000">
        <w:rPr>
          <w:b w:val="1"/>
          <w:rtl w:val="0"/>
        </w:rPr>
        <w:t xml:space="preserve">Parte III - </w:t>
      </w:r>
      <w:r w:rsidDel="00000000" w:rsidR="00000000" w:rsidRPr="00000000">
        <w:rPr>
          <w:i w:val="1"/>
          <w:rtl w:val="0"/>
        </w:rPr>
        <w:t xml:space="preserve">sobre las conclusiones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36c0a"/>
          <w:sz w:val="20"/>
          <w:szCs w:val="20"/>
          <w:highlight w:val="white"/>
          <w:rtl w:val="0"/>
        </w:rPr>
        <w:t xml:space="preserve">(∑ 20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Las conclusiones son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individuales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con una extensión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máxima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de una cuartilla (sin contar diagramas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370"/>
        <w:gridCol w:w="1905"/>
        <w:gridCol w:w="2010"/>
        <w:gridCol w:w="825"/>
        <w:tblGridChange w:id="0">
          <w:tblGrid>
            <w:gridCol w:w="2190"/>
            <w:gridCol w:w="2370"/>
            <w:gridCol w:w="1905"/>
            <w:gridCol w:w="201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e1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100</w:t>
            </w:r>
          </w:p>
        </w:tc>
        <w:tc>
          <w:tcPr>
            <w:shd w:fill="deea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75</w:t>
            </w:r>
          </w:p>
        </w:tc>
        <w:tc>
          <w:tcPr>
            <w:shd w:fill="fff3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50</w:t>
            </w:r>
          </w:p>
        </w:tc>
        <w:tc>
          <w:tcPr>
            <w:shd w:fill="fbe4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Describen con profundidad las decisiones de diseño/implementación que se tomaron y cómo fueron evolucionando. Ejemplificadas con piezas selectas del código fuente.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Describen de forma general algunas decisiones de diseño y dificultades que surgieron en el transcurso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Describe de forma general el diseño final y la "experiencia"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La conclusión es: "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sz w:val="18"/>
                <w:szCs w:val="18"/>
                <w:rtl w:val="0"/>
              </w:rPr>
              <w:t xml:space="preserve">El proyecto estuvo muy interesante porque aprendimos mucho y trabajamos en equipo para lograrlo. Todo muy chido 10/10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18"/>
                <w:szCs w:val="1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18"/>
                <w:szCs w:val="18"/>
                <w:rtl w:val="0"/>
              </w:rPr>
              <w:t xml:space="preserve">No existen conclusiones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Fira Code" w:cs="Fira Code" w:eastAsia="Fira Code" w:hAnsi="Fira Code"/>
          <w:color w:val="e36c0a"/>
          <w:sz w:val="20"/>
          <w:szCs w:val="20"/>
          <w:highlight w:val="white"/>
          <w:rtl w:val="0"/>
        </w:rPr>
        <w:t xml:space="preserve">#endTest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Code">
    <w:embedRegular w:fontKey="{00000000-0000-0000-0000-000000000000}" r:id="rId5" w:subsetted="0"/>
    <w:embedBold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tbl>
    <w:tblPr>
      <w:tblStyle w:val="Table5"/>
      <w:tblW w:w="10635.0" w:type="dxa"/>
      <w:jc w:val="left"/>
      <w:tblInd w:w="-6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355"/>
      <w:gridCol w:w="5280"/>
      <w:tblGridChange w:id="0">
        <w:tblGrid>
          <w:gridCol w:w="5355"/>
          <w:gridCol w:w="5280"/>
        </w:tblGrid>
      </w:tblGridChange>
    </w:tblGrid>
    <w:tr>
      <w:trPr>
        <w:cantSplit w:val="0"/>
        <w:trHeight w:val="2055" w:hRule="atLeast"/>
        <w:tblHeader w:val="0"/>
      </w:trPr>
      <w:tc>
        <w:tcPr>
          <w:tcBorders>
            <w:top w:color="d9d9d9" w:space="0" w:sz="4" w:val="single"/>
            <w:left w:color="d9d9d9" w:space="0" w:sz="4" w:val="single"/>
            <w:bottom w:color="d9d9d9" w:space="0" w:sz="4" w:val="single"/>
            <w:right w:color="d9d9d9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1016000" cy="977900"/>
                <wp:effectExtent b="0" l="0" r="0" t="0"/>
                <wp:wrapSquare wrapText="bothSides" distB="114300" distT="114300" distL="114300" distR="114300"/>
                <wp:docPr descr="http://www.desi.iteso.mx/titulalic/guia_titula/escudo.jpg" id="1" name="image1.jpg"/>
                <a:graphic>
                  <a:graphicData uri="http://schemas.openxmlformats.org/drawingml/2006/picture">
                    <pic:pic>
                      <pic:nvPicPr>
                        <pic:cNvPr descr="http://www.desi.iteso.mx/titulalic/guia_titula/escud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Evaluación Asíncrona I</w:t>
          </w:r>
        </w:p>
      </w:tc>
      <w:tc>
        <w:tcPr>
          <w:tcBorders>
            <w:top w:color="d9d9d9" w:space="0" w:sz="4" w:val="single"/>
            <w:left w:color="d9d9d9" w:space="0" w:sz="4" w:val="single"/>
            <w:bottom w:color="d9d9d9" w:space="0" w:sz="4" w:val="single"/>
            <w:right w:color="d9d9d9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righ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16 de Marzo de 2023</w:t>
          </w:r>
        </w:p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righ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20 de Marzo de 2023</w:t>
          </w:r>
        </w:p>
        <w:p w:rsidR="00000000" w:rsidDel="00000000" w:rsidP="00000000" w:rsidRDefault="00000000" w:rsidRPr="00000000" w14:paraId="00000051">
          <w:pPr>
            <w:widowControl w:val="0"/>
            <w:spacing w:line="240" w:lineRule="auto"/>
            <w:jc w:val="righ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Programación Estructurada</w:t>
          </w:r>
        </w:p>
        <w:p w:rsidR="00000000" w:rsidDel="00000000" w:rsidP="00000000" w:rsidRDefault="00000000" w:rsidRPr="00000000" w14:paraId="00000052">
          <w:pPr>
            <w:widowControl w:val="0"/>
            <w:spacing w:line="240" w:lineRule="auto"/>
            <w:jc w:val="righ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spacing w:line="240" w:lineRule="auto"/>
            <w:jc w:val="righ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i w:val="1"/>
              <w:rtl w:val="0"/>
            </w:rPr>
            <w:t xml:space="preserve">SuperGato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ind w:left="-1440" w:right="-144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FiraCode-regular.ttf"/><Relationship Id="rId6" Type="http://schemas.openxmlformats.org/officeDocument/2006/relationships/font" Target="fonts/FiraCode-bold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