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Correlation analysis</w:t>
      </w:r>
    </w:p>
    <w:p>
      <w:pPr>
        <w:pStyle w:val="Normal"/>
        <w:bidi w:val="0"/>
        <w:jc w:val="left"/>
        <w:rPr/>
      </w:pPr>
      <w:r>
        <w:rPr/>
      </w:r>
    </w:p>
    <w:p>
      <w:pPr>
        <w:pStyle w:val="Ttulo3"/>
        <w:bidi w:val="0"/>
        <w:jc w:val="left"/>
        <w:rPr>
          <w:rFonts w:ascii="Google Sans;sans-serif" w:hAnsi="Google Sans;sans-serif"/>
        </w:rPr>
      </w:pPr>
      <w:r>
        <w:rPr>
          <w:rFonts w:ascii="Google Sans;sans-serif" w:hAnsi="Google Sans;sans-serif"/>
        </w:rPr>
        <w:t>The Phone Charging Multiplier</w:t>
      </w:r>
    </w:p>
    <w:p>
      <w:pPr>
        <w:pStyle w:val="Cuerpodetexto"/>
        <w:numPr>
          <w:ilvl w:val="0"/>
          <w:numId w:val="1"/>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w:t>
      </w:r>
      <w:r>
        <w:rPr>
          <w:rStyle w:val="Textooriginal"/>
          <w:rFonts w:ascii="Google Sans Text;sans-serif" w:hAnsi="Google Sans Text;sans-serif"/>
        </w:rPr>
        <w:t>family_type</w:t>
      </w:r>
      <w:r>
        <w:rPr>
          <w:rFonts w:ascii="Google Sans Text;sans-serif" w:hAnsi="Google Sans Text;sans-serif"/>
        </w:rPr>
        <w:t xml:space="preserve"> strongly drives </w:t>
      </w:r>
      <w:r>
        <w:rPr>
          <w:rStyle w:val="Textooriginal"/>
          <w:rFonts w:ascii="Google Sans Text;sans-serif" w:hAnsi="Google Sans Text;sans-serif"/>
        </w:rPr>
        <w:t>phone_2_time</w:t>
      </w:r>
      <w:r>
        <w:rPr>
          <w:rFonts w:ascii="Google Sans Text;sans-serif" w:hAnsi="Google Sans Text;sans-serif"/>
        </w:rPr>
        <w:t xml:space="preserve"> ($\eta = 0.76$) and </w:t>
      </w:r>
      <w:r>
        <w:rPr>
          <w:rStyle w:val="Textooriginal"/>
          <w:rFonts w:ascii="Google Sans Text;sans-serif" w:hAnsi="Google Sans Text;sans-serif"/>
        </w:rPr>
        <w:t>phone_1_time</w:t>
      </w:r>
      <w:r>
        <w:rPr>
          <w:rFonts w:ascii="Google Sans Text;sans-serif" w:hAnsi="Google Sans Text;sans-serif"/>
        </w:rPr>
        <w:t xml:space="preserve"> ($\eta = 0.72$).</w:t>
      </w:r>
    </w:p>
    <w:p>
      <w:pPr>
        <w:pStyle w:val="Cuerpodetexto"/>
        <w:numPr>
          <w:ilvl w:val="0"/>
          <w:numId w:val="1"/>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This goes far beyond just "more people equal more phones." It shows that the </w:t>
      </w:r>
      <w:r>
        <w:rPr>
          <w:rFonts w:ascii="Google Sans Text;sans-serif" w:hAnsi="Google Sans Text;sans-serif"/>
          <w:i/>
        </w:rPr>
        <w:t>structure</w:t>
      </w:r>
      <w:r>
        <w:rPr>
          <w:rFonts w:ascii="Google Sans Text;sans-serif" w:hAnsi="Google Sans Text;sans-serif"/>
        </w:rPr>
        <w:t xml:space="preserve"> of the family dictates charging behavior. An "extended" family (which might include grandparents, parents, and older teens) creates a chaotic charging environment where Phone 1 and Phone 2 are competing for the system's USB ports for extended hours. A "nuclear" or "single elder" family has a drastically different, much lower charging footprint.</w:t>
      </w:r>
    </w:p>
    <w:p>
      <w:pPr>
        <w:pStyle w:val="Cuerpodetexto"/>
        <w:numPr>
          <w:ilvl w:val="0"/>
          <w:numId w:val="1"/>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This is your trigger for modeling high-stress daytime loads.</w:t>
      </w:r>
    </w:p>
    <w:p>
      <w:pPr>
        <w:pStyle w:val="Ttulo3"/>
        <w:bidi w:val="0"/>
        <w:jc w:val="left"/>
        <w:rPr>
          <w:rFonts w:ascii="Google Sans;sans-serif" w:hAnsi="Google Sans;sans-serif"/>
        </w:rPr>
      </w:pPr>
      <w:r>
        <w:rPr>
          <w:rFonts w:ascii="Google Sans;sans-serif" w:hAnsi="Google Sans;sans-serif"/>
        </w:rPr>
        <w:t>The Agricultural Labor Pool</w:t>
      </w:r>
    </w:p>
    <w:p>
      <w:pPr>
        <w:pStyle w:val="Cuerpodetexto"/>
        <w:numPr>
          <w:ilvl w:val="0"/>
          <w:numId w:val="2"/>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w:t>
      </w:r>
      <w:r>
        <w:rPr>
          <w:rStyle w:val="Textooriginal"/>
          <w:rFonts w:ascii="Google Sans Text;sans-serif" w:hAnsi="Google Sans Text;sans-serif"/>
        </w:rPr>
        <w:t>family_type</w:t>
      </w:r>
      <w:r>
        <w:rPr>
          <w:rFonts w:ascii="Google Sans Text;sans-serif" w:hAnsi="Google Sans Text;sans-serif"/>
        </w:rPr>
        <w:t xml:space="preserve"> correlates heavily with </w:t>
      </w:r>
      <w:r>
        <w:rPr>
          <w:rStyle w:val="Textooriginal"/>
          <w:rFonts w:ascii="Google Sans Text;sans-serif" w:hAnsi="Google Sans Text;sans-serif"/>
        </w:rPr>
        <w:t>act_dl_agri</w:t>
      </w:r>
      <w:r>
        <w:rPr>
          <w:rFonts w:ascii="Google Sans Text;sans-serif" w:hAnsi="Google Sans Text;sans-serif"/>
        </w:rPr>
        <w:t xml:space="preserve"> (daily hours in agriculture) ($\eta = 0.67$) and </w:t>
      </w:r>
      <w:r>
        <w:rPr>
          <w:rStyle w:val="Textooriginal"/>
          <w:rFonts w:ascii="Google Sans Text;sans-serif" w:hAnsi="Google Sans Text;sans-serif"/>
        </w:rPr>
        <w:t>act_agriculture</w:t>
      </w:r>
      <w:r>
        <w:rPr>
          <w:rFonts w:ascii="Google Sans Text;sans-serif" w:hAnsi="Google Sans Text;sans-serif"/>
        </w:rPr>
        <w:t xml:space="preserve"> ($\eta = 0.67$).</w:t>
      </w:r>
    </w:p>
    <w:p>
      <w:pPr>
        <w:pStyle w:val="Cuerpodetexto"/>
        <w:numPr>
          <w:ilvl w:val="0"/>
          <w:numId w:val="2"/>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The type of family determines their labor capacity. Extended and large nuclear families can divide labor, sending people to the </w:t>
      </w:r>
      <w:r>
        <w:rPr>
          <w:rFonts w:ascii="Google Sans Text;sans-serif" w:hAnsi="Google Sans Text;sans-serif"/>
          <w:i/>
        </w:rPr>
        <w:t>monte</w:t>
      </w:r>
      <w:r>
        <w:rPr>
          <w:rFonts w:ascii="Google Sans Text;sans-serif" w:hAnsi="Google Sans Text;sans-serif"/>
        </w:rPr>
        <w:t xml:space="preserve"> (fields) for long hours. Conversely, isolated elderly households cannot sustain these long agricultural hours.</w:t>
      </w:r>
    </w:p>
    <w:p>
      <w:pPr>
        <w:pStyle w:val="Cuerpodetexto"/>
        <w:numPr>
          <w:ilvl w:val="0"/>
          <w:numId w:val="2"/>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This justifies why the "Seasonal Migrant" or "Agricultural Core" archetype needs the massive mid-day "demand valley" (because the whole family is out working), while the elderly archetype might have a flatter demand curve throughout the day.</w:t>
      </w:r>
    </w:p>
    <w:p>
      <w:pPr>
        <w:pStyle w:val="Ttulo3"/>
        <w:bidi w:val="0"/>
        <w:jc w:val="left"/>
        <w:rPr>
          <w:rFonts w:ascii="Google Sans;sans-serif" w:hAnsi="Google Sans;sans-serif"/>
        </w:rPr>
      </w:pPr>
      <w:r>
        <w:rPr>
          <w:rFonts w:ascii="Google Sans;sans-serif" w:hAnsi="Google Sans;sans-serif"/>
        </w:rPr>
        <w:t>The Kitchen Dictate (Cooking Time)</w:t>
      </w:r>
    </w:p>
    <w:p>
      <w:pPr>
        <w:pStyle w:val="Cuerpodetexto"/>
        <w:numPr>
          <w:ilvl w:val="0"/>
          <w:numId w:val="3"/>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w:t>
      </w:r>
      <w:r>
        <w:rPr>
          <w:rStyle w:val="Textooriginal"/>
          <w:rFonts w:ascii="Google Sans Text;sans-serif" w:hAnsi="Google Sans Text;sans-serif"/>
        </w:rPr>
        <w:t>family_type</w:t>
      </w:r>
      <w:r>
        <w:rPr>
          <w:rFonts w:ascii="Google Sans Text;sans-serif" w:hAnsi="Google Sans Text;sans-serif"/>
        </w:rPr>
        <w:t xml:space="preserve"> strongly shapes </w:t>
      </w:r>
      <w:r>
        <w:rPr>
          <w:rStyle w:val="Textooriginal"/>
          <w:rFonts w:ascii="Google Sans Text;sans-serif" w:hAnsi="Google Sans Text;sans-serif"/>
        </w:rPr>
        <w:t>cooking_time_min_d</w:t>
      </w:r>
      <w:r>
        <w:rPr>
          <w:rFonts w:ascii="Google Sans Text;sans-serif" w:hAnsi="Google Sans Text;sans-serif"/>
        </w:rPr>
        <w:t xml:space="preserve"> (minutes spent cooking per day) ($\eta = 0.56$).</w:t>
      </w:r>
    </w:p>
    <w:p>
      <w:pPr>
        <w:pStyle w:val="Cuerpodetexto"/>
        <w:numPr>
          <w:ilvl w:val="0"/>
          <w:numId w:val="3"/>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This is the missing piece for </w:t>
      </w:r>
      <w:r>
        <w:rPr>
          <w:rFonts w:ascii="Google Sans Text;sans-serif" w:hAnsi="Google Sans Text;sans-serif"/>
          <w:b/>
        </w:rPr>
        <w:t>Rule 3 (The Gendered Anchor of Domestic Operations)</w:t>
      </w:r>
      <w:r>
        <w:rPr>
          <w:rFonts w:ascii="Google Sans Text;sans-serif" w:hAnsi="Google Sans Text;sans-serif"/>
        </w:rPr>
        <w:t xml:space="preserve">! Because you correctly pointed out that light bulb correlations don't prove simultaneous use, </w:t>
      </w:r>
      <w:r>
        <w:rPr>
          <w:rFonts w:ascii="Google Sans Text;sans-serif" w:hAnsi="Google Sans Text;sans-serif"/>
          <w:i/>
        </w:rPr>
        <w:t>this</w:t>
      </w:r>
      <w:r>
        <w:rPr>
          <w:rFonts w:ascii="Google Sans Text;sans-serif" w:hAnsi="Google Sans Text;sans-serif"/>
        </w:rPr>
        <w:t xml:space="preserve"> is the variable that proves cooking time scales with family structure. Extended families require much more time to prepare food (like the </w:t>
      </w:r>
      <w:r>
        <w:rPr>
          <w:rFonts w:ascii="Google Sans Text;sans-serif" w:hAnsi="Google Sans Text;sans-serif"/>
          <w:i/>
        </w:rPr>
        <w:t>lawa</w:t>
      </w:r>
      <w:r>
        <w:rPr>
          <w:rFonts w:ascii="Google Sans Text;sans-serif" w:hAnsi="Google Sans Text;sans-serif"/>
        </w:rPr>
        <w:t xml:space="preserve"> or </w:t>
      </w:r>
      <w:r>
        <w:rPr>
          <w:rFonts w:ascii="Google Sans Text;sans-serif" w:hAnsi="Google Sans Text;sans-serif"/>
          <w:i/>
        </w:rPr>
        <w:t>mote</w:t>
      </w:r>
      <w:r>
        <w:rPr>
          <w:rFonts w:ascii="Google Sans Text;sans-serif" w:hAnsi="Google Sans Text;sans-serif"/>
        </w:rPr>
        <w:t xml:space="preserve"> we saw in the transcripts).</w:t>
      </w:r>
    </w:p>
    <w:p>
      <w:pPr>
        <w:pStyle w:val="Cuerpodetexto"/>
        <w:numPr>
          <w:ilvl w:val="0"/>
          <w:numId w:val="3"/>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For your "Extended Family" or "Educational Core" archetype, the evening lighting window tied to cooking must be wider and highly rigid, whereas an elderly individual living alone requires less cooking time, leading to a shorter baseline lighting window.</w:t>
      </w:r>
    </w:p>
    <w:p>
      <w:pPr>
        <w:pStyle w:val="Ttulo3"/>
        <w:bidi w:val="0"/>
        <w:jc w:val="left"/>
        <w:rPr>
          <w:rFonts w:ascii="Google Sans;sans-serif" w:hAnsi="Google Sans;sans-serif"/>
        </w:rPr>
      </w:pPr>
      <w:r>
        <w:rPr>
          <w:rFonts w:ascii="Google Sans;sans-serif" w:hAnsi="Google Sans;sans-serif"/>
        </w:rPr>
        <w:t>Proof of "The Empty Nest" (Demographic Isolation)</w:t>
      </w:r>
    </w:p>
    <w:p>
      <w:pPr>
        <w:pStyle w:val="Cuerpodetexto"/>
        <w:numPr>
          <w:ilvl w:val="0"/>
          <w:numId w:val="4"/>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w:t>
      </w:r>
      <w:r>
        <w:rPr>
          <w:rStyle w:val="Textooriginal"/>
          <w:rFonts w:ascii="Google Sans Text;sans-serif" w:hAnsi="Google Sans Text;sans-serif"/>
        </w:rPr>
        <w:t>adults_mas_60</w:t>
      </w:r>
      <w:r>
        <w:rPr>
          <w:rFonts w:ascii="Google Sans Text;sans-serif" w:hAnsi="Google Sans Text;sans-serif"/>
        </w:rPr>
        <w:t xml:space="preserve"> has a strong </w:t>
      </w:r>
      <w:r>
        <w:rPr>
          <w:rFonts w:ascii="Google Sans Text;sans-serif" w:hAnsi="Google Sans Text;sans-serif"/>
          <w:b/>
        </w:rPr>
        <w:t>negative correlation</w:t>
      </w:r>
      <w:r>
        <w:rPr>
          <w:rFonts w:ascii="Google Sans Text;sans-serif" w:hAnsi="Google Sans Text;sans-serif"/>
        </w:rPr>
        <w:t xml:space="preserve"> with both working-age adults </w:t>
      </w:r>
      <w:r>
        <w:rPr>
          <w:rStyle w:val="Textooriginal"/>
          <w:rFonts w:ascii="Google Sans Text;sans-serif" w:hAnsi="Google Sans Text;sans-serif"/>
        </w:rPr>
        <w:t>adults_18_59</w:t>
      </w:r>
      <w:r>
        <w:rPr>
          <w:rFonts w:ascii="Google Sans Text;sans-serif" w:hAnsi="Google Sans Text;sans-serif"/>
        </w:rPr>
        <w:t xml:space="preserve"> ($r = -0.441, p &lt; 0.001$) and young children </w:t>
      </w:r>
      <w:r>
        <w:rPr>
          <w:rStyle w:val="Textooriginal"/>
          <w:rFonts w:ascii="Google Sans Text;sans-serif" w:hAnsi="Google Sans Text;sans-serif"/>
        </w:rPr>
        <w:t>children_0_5</w:t>
      </w:r>
      <w:r>
        <w:rPr>
          <w:rFonts w:ascii="Google Sans Text;sans-serif" w:hAnsi="Google Sans Text;sans-serif"/>
        </w:rPr>
        <w:t xml:space="preserve"> ($r = -0.270, p = 0.030$).</w:t>
      </w:r>
    </w:p>
    <w:p>
      <w:pPr>
        <w:pStyle w:val="Cuerpodetexto"/>
        <w:numPr>
          <w:ilvl w:val="0"/>
          <w:numId w:val="4"/>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This is the hard mathematical footprint of rural out-migration. If a household has elderly individuals, it is highly likely that there are no working-age adults or young children living there. They are physically isolated.</w:t>
      </w:r>
    </w:p>
    <w:p>
      <w:pPr>
        <w:pStyle w:val="Cuerpodetexto"/>
        <w:numPr>
          <w:ilvl w:val="0"/>
          <w:numId w:val="4"/>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This perfectly justifies separating them from the "Educational/Agricultural Core" archetype. Their load curves will not be driven by heavy domestic cooking (Rule 3) or multiple cell phones (Rule 9).</w:t>
      </w:r>
    </w:p>
    <w:p>
      <w:pPr>
        <w:pStyle w:val="Ttulo3"/>
        <w:bidi w:val="0"/>
        <w:jc w:val="left"/>
        <w:rPr>
          <w:rFonts w:ascii="Google Sans;sans-serif" w:hAnsi="Google Sans;sans-serif"/>
        </w:rPr>
      </w:pPr>
      <w:r>
        <w:rPr>
          <w:rFonts w:ascii="Google Sans;sans-serif" w:hAnsi="Google Sans;sans-serif"/>
        </w:rPr>
        <w:t>The Altered Morning Routine</w:t>
      </w:r>
    </w:p>
    <w:p>
      <w:pPr>
        <w:pStyle w:val="Cuerpodetexto"/>
        <w:numPr>
          <w:ilvl w:val="0"/>
          <w:numId w:val="5"/>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w:t>
      </w:r>
      <w:r>
        <w:rPr>
          <w:rStyle w:val="Textooriginal"/>
          <w:rFonts w:ascii="Google Sans Text;sans-serif" w:hAnsi="Google Sans Text;sans-serif"/>
        </w:rPr>
        <w:t>adults_mas_60</w:t>
      </w:r>
      <w:r>
        <w:rPr>
          <w:rFonts w:ascii="Google Sans Text;sans-serif" w:hAnsi="Google Sans Text;sans-serif"/>
        </w:rPr>
        <w:t xml:space="preserve"> strongly influences the specific categorization of morning lighting: </w:t>
      </w:r>
      <w:r>
        <w:rPr>
          <w:rStyle w:val="Textooriginal"/>
          <w:rFonts w:ascii="Google Sans Text;sans-serif" w:hAnsi="Google Sans Text;sans-serif"/>
        </w:rPr>
        <w:t>light_2_morning</w:t>
      </w:r>
      <w:r>
        <w:rPr>
          <w:rFonts w:ascii="Google Sans Text;sans-serif" w:hAnsi="Google Sans Text;sans-serif"/>
        </w:rPr>
        <w:t xml:space="preserve"> ($\eta = 0.517$) and </w:t>
      </w:r>
      <w:r>
        <w:rPr>
          <w:rStyle w:val="Textooriginal"/>
          <w:rFonts w:ascii="Google Sans Text;sans-serif" w:hAnsi="Google Sans Text;sans-serif"/>
        </w:rPr>
        <w:t>light_1_morning</w:t>
      </w:r>
      <w:r>
        <w:rPr>
          <w:rFonts w:ascii="Google Sans Text;sans-serif" w:hAnsi="Google Sans Text;sans-serif"/>
        </w:rPr>
        <w:t xml:space="preserve"> ($\eta = 0.458$).</w:t>
      </w:r>
    </w:p>
    <w:p>
      <w:pPr>
        <w:pStyle w:val="Cuerpodetexto"/>
        <w:numPr>
          <w:ilvl w:val="0"/>
          <w:numId w:val="5"/>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Earlier, we saw that older family heads wake up significantly </w:t>
      </w:r>
      <w:r>
        <w:rPr>
          <w:rFonts w:ascii="Google Sans Text;sans-serif" w:hAnsi="Google Sans Text;sans-serif"/>
          <w:i/>
        </w:rPr>
        <w:t>later</w:t>
      </w:r>
      <w:r>
        <w:rPr>
          <w:rFonts w:ascii="Google Sans Text;sans-serif" w:hAnsi="Google Sans Text;sans-serif"/>
        </w:rPr>
        <w:t xml:space="preserve"> than younger agricultural workers. This correlation ratio ($\eta$) indicates that the presence of elderly people fundamentally restructures </w:t>
      </w:r>
      <w:r>
        <w:rPr>
          <w:rFonts w:ascii="Google Sans Text;sans-serif" w:hAnsi="Google Sans Text;sans-serif"/>
          <w:i/>
        </w:rPr>
        <w:t>how</w:t>
      </w:r>
      <w:r>
        <w:rPr>
          <w:rFonts w:ascii="Google Sans Text;sans-serif" w:hAnsi="Google Sans Text;sans-serif"/>
        </w:rPr>
        <w:t xml:space="preserve"> morning lighting is used. Because they aren't rushing out to the </w:t>
      </w:r>
      <w:r>
        <w:rPr>
          <w:rFonts w:ascii="Google Sans Text;sans-serif" w:hAnsi="Google Sans Text;sans-serif"/>
          <w:i/>
        </w:rPr>
        <w:t>monte</w:t>
      </w:r>
      <w:r>
        <w:rPr>
          <w:rFonts w:ascii="Google Sans Text;sans-serif" w:hAnsi="Google Sans Text;sans-serif"/>
        </w:rPr>
        <w:t xml:space="preserve"> for 10 hours of heavy labor before dawn, their morning lighting and radio routine is likely slower and more continuous.</w:t>
      </w:r>
    </w:p>
    <w:p>
      <w:pPr>
        <w:pStyle w:val="Cuerpodetexto"/>
        <w:numPr>
          <w:ilvl w:val="0"/>
          <w:numId w:val="5"/>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You will shift their morning lighting window. Instead of a sharp, intense spike at 04:00 AM (the "Agricultural Dictate"), the elderly archetype will have a smoother, potentially later, and less intense morning demand curve.</w:t>
      </w:r>
    </w:p>
    <w:p>
      <w:pPr>
        <w:pStyle w:val="Ttulo3"/>
        <w:bidi w:val="0"/>
        <w:jc w:val="left"/>
        <w:rPr>
          <w:rFonts w:ascii="Google Sans;sans-serif" w:hAnsi="Google Sans;sans-serif"/>
        </w:rPr>
      </w:pPr>
      <w:r>
        <w:rPr>
          <w:rFonts w:ascii="Google Sans;sans-serif" w:hAnsi="Google Sans;sans-serif"/>
        </w:rPr>
        <w:t>The "School Morning" Spike (Validating Temporal Anchors)</w:t>
      </w:r>
    </w:p>
    <w:p>
      <w:pPr>
        <w:pStyle w:val="Cuerpodetexto"/>
        <w:numPr>
          <w:ilvl w:val="0"/>
          <w:numId w:val="6"/>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The presence of school-aged children (</w:t>
      </w:r>
      <w:r>
        <w:rPr>
          <w:rStyle w:val="Textooriginal"/>
          <w:rFonts w:ascii="Google Sans Text;sans-serif" w:hAnsi="Google Sans Text;sans-serif"/>
        </w:rPr>
        <w:t>children_5_17</w:t>
      </w:r>
      <w:r>
        <w:rPr>
          <w:rFonts w:ascii="Google Sans Text;sans-serif" w:hAnsi="Google Sans Text;sans-serif"/>
        </w:rPr>
        <w:t>) heavily influences the use of the first morning light (</w:t>
      </w:r>
      <w:r>
        <w:rPr>
          <w:rStyle w:val="Textooriginal"/>
          <w:rFonts w:ascii="Google Sans Text;sans-serif" w:hAnsi="Google Sans Text;sans-serif"/>
        </w:rPr>
        <w:t>light_1_morning</w:t>
      </w:r>
      <w:r>
        <w:rPr>
          <w:rFonts w:ascii="Google Sans Text;sans-serif" w:hAnsi="Google Sans Text;sans-serif"/>
        </w:rPr>
        <w:t>, $\eta = 0.540$) and morning radio (</w:t>
      </w:r>
      <w:r>
        <w:rPr>
          <w:rStyle w:val="Textooriginal"/>
          <w:rFonts w:ascii="Google Sans Text;sans-serif" w:hAnsi="Google Sans Text;sans-serif"/>
        </w:rPr>
        <w:t>radio_morning</w:t>
      </w:r>
      <w:r>
        <w:rPr>
          <w:rFonts w:ascii="Google Sans Text;sans-serif" w:hAnsi="Google Sans Text;sans-serif"/>
        </w:rPr>
        <w:t xml:space="preserve">, $\eta = 0.491$). Furthermore, as we saw earlier, it creates a statistically significant </w:t>
      </w:r>
      <w:r>
        <w:rPr>
          <w:rFonts w:ascii="Google Sans Text;sans-serif" w:hAnsi="Google Sans Text;sans-serif"/>
          <w:i/>
        </w:rPr>
        <w:t>negative</w:t>
      </w:r>
      <w:r>
        <w:rPr>
          <w:rFonts w:ascii="Google Sans Text;sans-serif" w:hAnsi="Google Sans Text;sans-serif"/>
        </w:rPr>
        <w:t xml:space="preserve"> correlation with </w:t>
      </w:r>
      <w:r>
        <w:rPr>
          <w:rStyle w:val="Textooriginal"/>
          <w:rFonts w:ascii="Google Sans Text;sans-serif" w:hAnsi="Google Sans Text;sans-serif"/>
        </w:rPr>
        <w:t>wakeup_time_after</w:t>
      </w:r>
      <w:r>
        <w:rPr>
          <w:rFonts w:ascii="Google Sans Text;sans-serif" w:hAnsi="Google Sans Text;sans-serif"/>
        </w:rPr>
        <w:t xml:space="preserve"> ($r = -0.323, p = 0.019$).</w:t>
      </w:r>
    </w:p>
    <w:p>
      <w:pPr>
        <w:pStyle w:val="Cuerpodetexto"/>
        <w:numPr>
          <w:ilvl w:val="0"/>
          <w:numId w:val="6"/>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Households with school children have a highly rigid, earlier morning routine. The radio is turned on early (likely for news or timekeeping before school), and the first light is used earlier than in homes without school children.</w:t>
      </w:r>
    </w:p>
    <w:p>
      <w:pPr>
        <w:pStyle w:val="Cuerpodetexto"/>
        <w:numPr>
          <w:ilvl w:val="0"/>
          <w:numId w:val="6"/>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In your simulation, this justifies assigning a sharp, early morning probability window (e.g., 04:30–06:00 AM) for lights and radio specifically for the Educational archetype.</w:t>
      </w:r>
    </w:p>
    <w:p>
      <w:pPr>
        <w:pStyle w:val="Ttulo3"/>
        <w:bidi w:val="0"/>
        <w:jc w:val="left"/>
        <w:rPr>
          <w:rFonts w:ascii="Google Sans;sans-serif" w:hAnsi="Google Sans;sans-serif"/>
        </w:rPr>
      </w:pPr>
      <w:r>
        <w:rPr>
          <w:rFonts w:ascii="Google Sans;sans-serif" w:hAnsi="Google Sans;sans-serif"/>
        </w:rPr>
        <w:t>The Digital Aspiration Gap</w:t>
      </w:r>
    </w:p>
    <w:p>
      <w:pPr>
        <w:pStyle w:val="Cuerpodetexto"/>
        <w:numPr>
          <w:ilvl w:val="0"/>
          <w:numId w:val="7"/>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The Math:</w:t>
      </w:r>
      <w:r>
        <w:rPr>
          <w:rFonts w:ascii="Google Sans Text;sans-serif" w:hAnsi="Google Sans Text;sans-serif"/>
        </w:rPr>
        <w:t xml:space="preserve"> The presence of school-aged children (</w:t>
      </w:r>
      <w:r>
        <w:rPr>
          <w:rStyle w:val="Textooriginal"/>
          <w:rFonts w:ascii="Google Sans Text;sans-serif" w:hAnsi="Google Sans Text;sans-serif"/>
        </w:rPr>
        <w:t>children_5_17</w:t>
      </w:r>
      <w:r>
        <w:rPr>
          <w:rFonts w:ascii="Google Sans Text;sans-serif" w:hAnsi="Google Sans Text;sans-serif"/>
        </w:rPr>
        <w:t>) positively correlates with the total number of cell phones (</w:t>
      </w:r>
      <w:r>
        <w:rPr>
          <w:rStyle w:val="Textooriginal"/>
          <w:rFonts w:ascii="Google Sans Text;sans-serif" w:hAnsi="Google Sans Text;sans-serif"/>
        </w:rPr>
        <w:t>phones</w:t>
      </w:r>
      <w:r>
        <w:rPr>
          <w:rFonts w:ascii="Google Sans Text;sans-serif" w:hAnsi="Google Sans Text;sans-serif"/>
        </w:rPr>
        <w:t>, $r = 0.269, p = 0.031$). Additionally, whether children are in school (</w:t>
      </w:r>
      <w:r>
        <w:rPr>
          <w:rStyle w:val="Textooriginal"/>
          <w:rFonts w:ascii="Google Sans Text;sans-serif" w:hAnsi="Google Sans Text;sans-serif"/>
        </w:rPr>
        <w:t>children_in_school</w:t>
      </w:r>
      <w:r>
        <w:rPr>
          <w:rFonts w:ascii="Google Sans Text;sans-serif" w:hAnsi="Google Sans Text;sans-serif"/>
        </w:rPr>
        <w:t>) strongly influences the household's overall satisfaction with their solar system (</w:t>
      </w:r>
      <w:r>
        <w:rPr>
          <w:rStyle w:val="Textooriginal"/>
          <w:rFonts w:ascii="Google Sans Text;sans-serif" w:hAnsi="Google Sans Text;sans-serif"/>
        </w:rPr>
        <w:t>demand_satisfaction</w:t>
      </w:r>
      <w:r>
        <w:rPr>
          <w:rFonts w:ascii="Google Sans Text;sans-serif" w:hAnsi="Google Sans Text;sans-serif"/>
        </w:rPr>
        <w:t>, Cramér’s V = 0.339).</w:t>
      </w:r>
    </w:p>
    <w:p>
      <w:pPr>
        <w:pStyle w:val="Cuerpodetexto"/>
        <w:numPr>
          <w:ilvl w:val="0"/>
          <w:numId w:val="7"/>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The Behavioral Insight:</w:t>
      </w:r>
      <w:r>
        <w:rPr>
          <w:rFonts w:ascii="Google Sans Text;sans-serif" w:hAnsi="Google Sans Text;sans-serif"/>
        </w:rPr>
        <w:t xml:space="preserve"> School children are the primary drivers of digital connectivity and latent demand. As kids go to school, they require phones for homework or social connectivity. Because they have more phones to charge, these households are the most likely to hit the limits of the 89Wh battery, altering their overall satisfaction with the system.</w:t>
      </w:r>
    </w:p>
    <w:p>
      <w:pPr>
        <w:pStyle w:val="Cuerpodetexto"/>
        <w:numPr>
          <w:ilvl w:val="0"/>
          <w:numId w:val="7"/>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RAMP Implication:</w:t>
      </w:r>
      <w:r>
        <w:rPr>
          <w:rFonts w:ascii="Google Sans Text;sans-serif" w:hAnsi="Google Sans Text;sans-serif"/>
        </w:rPr>
        <w:t xml:space="preserve"> The "Educational Core" archetype must be programmed with a much higher probability for simultaneous phone charging (especially daytime charging) than the "Isolated Elderly" archetype.</w:t>
      </w:r>
    </w:p>
    <w:p>
      <w:pPr>
        <w:pStyle w:val="Ttulo3"/>
        <w:bidi w:val="0"/>
        <w:jc w:val="left"/>
        <w:rPr>
          <w:rFonts w:ascii="Google Sans;sans-serif" w:hAnsi="Google Sans;sans-serif"/>
        </w:rPr>
      </w:pPr>
      <w:r>
        <w:rPr>
          <w:rFonts w:ascii="Google Sans;sans-serif" w:hAnsi="Google Sans;sans-serif"/>
        </w:rPr>
        <w:t xml:space="preserve">What School Children </w:t>
      </w:r>
      <w:r>
        <w:rPr>
          <w:rFonts w:ascii="Google Sans Text;sans-serif" w:hAnsi="Google Sans Text;sans-serif"/>
          <w:i/>
        </w:rPr>
        <w:t>Actually</w:t>
      </w:r>
      <w:r>
        <w:rPr>
          <w:rFonts w:ascii="Google Sans;sans-serif" w:hAnsi="Google Sans;sans-serif"/>
        </w:rPr>
        <w:t xml:space="preserve"> Change (The Significant Math)</w:t>
      </w:r>
    </w:p>
    <w:p>
      <w:pPr>
        <w:pStyle w:val="Cuerpodetexto"/>
        <w:bidi w:val="0"/>
        <w:spacing w:lineRule="auto" w:line="273" w:before="0" w:after="140"/>
        <w:jc w:val="left"/>
        <w:rPr/>
      </w:pPr>
      <w:r>
        <w:rPr>
          <w:rFonts w:ascii="Google Sans Text;sans-serif" w:hAnsi="Google Sans Text;sans-serif"/>
        </w:rPr>
        <w:t xml:space="preserve">While children don't change the evening lighting duration, the correlation script found that </w:t>
      </w:r>
      <w:r>
        <w:rPr>
          <w:rStyle w:val="Textooriginal"/>
          <w:rFonts w:ascii="Google Sans Text;sans-serif" w:hAnsi="Google Sans Text;sans-serif"/>
        </w:rPr>
        <w:t>children_5_17</w:t>
      </w:r>
      <w:r>
        <w:rPr>
          <w:rFonts w:ascii="Google Sans Text;sans-serif" w:hAnsi="Google Sans Text;sans-serif"/>
        </w:rPr>
        <w:t xml:space="preserve"> </w:t>
      </w:r>
      <w:r>
        <w:rPr>
          <w:rFonts w:ascii="Google Sans Text;sans-serif" w:hAnsi="Google Sans Text;sans-serif"/>
          <w:b/>
        </w:rPr>
        <w:t>does</w:t>
      </w:r>
      <w:r>
        <w:rPr>
          <w:rFonts w:ascii="Google Sans Text;sans-serif" w:hAnsi="Google Sans Text;sans-serif"/>
        </w:rPr>
        <w:t xml:space="preserve"> significantly alter two other critical energy variables ($p &lt; 0.05$):</w:t>
      </w:r>
    </w:p>
    <w:p>
      <w:pPr>
        <w:pStyle w:val="Cuerpodetexto"/>
        <w:numPr>
          <w:ilvl w:val="0"/>
          <w:numId w:val="8"/>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Wake-Up Times (</w:t>
      </w:r>
      <w:r>
        <w:rPr>
          <w:rStyle w:val="Textooriginal"/>
          <w:rFonts w:ascii="Google Sans Text;sans-serif" w:hAnsi="Google Sans Text;sans-serif"/>
          <w:b/>
        </w:rPr>
        <w:t>wakeup_time_after</w:t>
      </w:r>
      <w:r>
        <w:rPr>
          <w:rFonts w:ascii="Google Sans Text;sans-serif" w:hAnsi="Google Sans Text;sans-serif"/>
          <w:b/>
        </w:rPr>
        <w:t>): Pearson $r = -0.32$ ($p = 0.019$).</w:t>
      </w:r>
    </w:p>
    <w:p>
      <w:pPr>
        <w:pStyle w:val="Cuerpodetexto"/>
        <w:numPr>
          <w:ilvl w:val="0"/>
          <w:numId w:val="0"/>
        </w:numPr>
        <w:pBdr/>
        <w:bidi w:val="0"/>
        <w:spacing w:lineRule="auto" w:line="273" w:before="0" w:after="140"/>
        <w:ind w:hanging="0"/>
        <w:jc w:val="left"/>
        <w:rPr>
          <w:rFonts w:ascii="Google Sans Text;sans-serif" w:hAnsi="Google Sans Text;sans-serif"/>
        </w:rPr>
      </w:pPr>
      <w:r>
        <w:rPr>
          <w:rFonts w:ascii="Google Sans Text;sans-serif" w:hAnsi="Google Sans Text;sans-serif"/>
        </w:rPr>
        <w:t xml:space="preserve">There is a significant negative correlation between school children and wake-up times. This means </w:t>
      </w:r>
      <w:r>
        <w:rPr>
          <w:rFonts w:ascii="Google Sans Text;sans-serif" w:hAnsi="Google Sans Text;sans-serif"/>
          <w:b/>
        </w:rPr>
        <w:t>households with school-aged children wake up significantly earlier</w:t>
      </w:r>
      <w:r>
        <w:rPr>
          <w:rFonts w:ascii="Google Sans Text;sans-serif" w:hAnsi="Google Sans Text;sans-serif"/>
        </w:rPr>
        <w:t xml:space="preserve"> than households without them.</w:t>
      </w:r>
    </w:p>
    <w:p>
      <w:pPr>
        <w:pStyle w:val="Cuerpodetexto"/>
        <w:numPr>
          <w:ilvl w:val="0"/>
          <w:numId w:val="8"/>
        </w:numPr>
        <w:pBdr/>
        <w:tabs>
          <w:tab w:val="clear" w:pos="709"/>
          <w:tab w:val="left" w:pos="709" w:leader="none"/>
        </w:tabs>
        <w:bidi w:val="0"/>
        <w:spacing w:lineRule="auto" w:line="273" w:before="0" w:after="140"/>
        <w:ind w:left="709" w:hanging="283"/>
        <w:jc w:val="left"/>
        <w:rPr/>
      </w:pPr>
      <w:r>
        <w:rPr>
          <w:rFonts w:ascii="Google Sans Text;sans-serif" w:hAnsi="Google Sans Text;sans-serif"/>
          <w:b/>
        </w:rPr>
        <w:t>Phone Ownership (</w:t>
      </w:r>
      <w:r>
        <w:rPr>
          <w:rStyle w:val="Textooriginal"/>
          <w:rFonts w:ascii="Google Sans Text;sans-serif" w:hAnsi="Google Sans Text;sans-serif"/>
          <w:b/>
        </w:rPr>
        <w:t>phones</w:t>
      </w:r>
      <w:r>
        <w:rPr>
          <w:rFonts w:ascii="Google Sans Text;sans-serif" w:hAnsi="Google Sans Text;sans-serif"/>
          <w:b/>
        </w:rPr>
        <w:t>): Pearson $r = 0.26$ ($p = 0.031$).</w:t>
      </w:r>
    </w:p>
    <w:p>
      <w:pPr>
        <w:pStyle w:val="Cuerpodetexto"/>
        <w:numPr>
          <w:ilvl w:val="0"/>
          <w:numId w:val="0"/>
        </w:numPr>
        <w:pBdr/>
        <w:bidi w:val="0"/>
        <w:spacing w:lineRule="auto" w:line="273" w:before="0" w:after="140"/>
        <w:ind w:hanging="0"/>
        <w:jc w:val="left"/>
        <w:rPr>
          <w:rFonts w:ascii="Google Sans Text;sans-serif" w:hAnsi="Google Sans Text;sans-serif"/>
        </w:rPr>
      </w:pPr>
      <w:r>
        <w:rPr>
          <w:rFonts w:ascii="Google Sans Text;sans-serif" w:hAnsi="Google Sans Text;sans-serif"/>
        </w:rPr>
        <w:t>Households with school-aged children have a significantly higher concentration of cell phones. In the interviews, parents mentioned children needing phones for schoolwork or communication.</w:t>
      </w:r>
    </w:p>
    <w:p>
      <w:pPr>
        <w:pStyle w:val="Normal"/>
        <w:bidi w:val="0"/>
        <w:jc w:val="left"/>
        <w:rPr/>
      </w:pPr>
      <w:r>
        <w:rPr>
          <w:rFonts w:ascii="Google Sans Text;sans-serif" w:hAnsi="Google Sans Text;sans-serif"/>
          <w:b/>
        </w:rPr>
        <w:t>The Elderly Influence:</w:t>
      </w:r>
      <w:r>
        <w:rPr/>
        <w:t xml:space="preserve"> The age of the family head (</w:t>
      </w:r>
      <w:r>
        <w:rPr>
          <w:rStyle w:val="Textooriginal"/>
          <w:rFonts w:ascii="Google Sans Text;sans-serif" w:hAnsi="Google Sans Text;sans-serif"/>
        </w:rPr>
        <w:t>fam_head_age</w:t>
      </w:r>
      <w:r>
        <w:rPr/>
        <w:t xml:space="preserve">, </w:t>
      </w:r>
      <w:r>
        <w:rPr>
          <w:rFonts w:ascii="Google Sans Text;sans-serif" w:hAnsi="Google Sans Text;sans-serif"/>
        </w:rPr>
        <w:t>$\eta = 0.566$</w:t>
      </w:r>
      <w:r>
        <w:rPr/>
        <w:t>) and the presence of older adults (</w:t>
      </w:r>
      <w:r>
        <w:rPr>
          <w:rStyle w:val="Textooriginal"/>
          <w:rFonts w:ascii="Google Sans Text;sans-serif" w:hAnsi="Google Sans Text;sans-serif"/>
        </w:rPr>
        <w:t>adults_mas_60</w:t>
      </w:r>
      <w:r>
        <w:rPr/>
        <w:t xml:space="preserve">, </w:t>
      </w:r>
      <w:r>
        <w:rPr>
          <w:rFonts w:ascii="Google Sans Text;sans-serif" w:hAnsi="Google Sans Text;sans-serif"/>
        </w:rPr>
        <w:t>$\eta = 0.453$</w:t>
      </w:r>
      <w:r>
        <w:rPr/>
        <w:t xml:space="preserve">) strongly shape evening light use. This validates </w:t>
      </w:r>
      <w:r>
        <w:rPr>
          <w:rFonts w:ascii="Google Sans Text;sans-serif" w:hAnsi="Google Sans Text;sans-serif"/>
          <w:b/>
        </w:rPr>
        <w:t>Rule 14 (Companionship in Isolation)</w:t>
      </w:r>
      <w:r>
        <w:rPr/>
        <w:t xml:space="preserve"> and </w:t>
      </w:r>
      <w:r>
        <w:rPr>
          <w:rFonts w:ascii="Google Sans Text;sans-serif" w:hAnsi="Google Sans Text;sans-serif"/>
          <w:b/>
        </w:rPr>
        <w:t>Rule 6 (The Safety Baseline)</w:t>
      </w:r>
      <w:r>
        <w:rPr/>
        <w:t>. Older adults are driving specific evening lighting profiles, likely leaving it on longer for safety or comfort.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223</TotalTime>
  <Application>LibreOffice/7.3.7.2$Linux_X86_64 LibreOffice_project/30$Build-2</Application>
  <AppVersion>15.0000</AppVersion>
  <Pages>3</Pages>
  <Words>988</Words>
  <Characters>5719</Characters>
  <CharactersWithSpaces>6645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2026-05-06T15:39:20Z</dcterms:created>
  <dc:creator/>
  <dc:description/>
  <dc:language>en-US</dc:language>
  <cp:lastModifiedBy/>
  <dcterms:modified xsi:type="dcterms:W3CDTF">2026-05-06T19:43:06Z</dcterms:modified>
  <cp:revision>2</cp:revision>
  <dc:subject/>
  <dc:title/>
</cp:coreProperties>
</file>