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bidi w:val="0"/>
        <w:jc w:val="left"/>
        <w:rPr>
          <w:rFonts w:ascii="Nimbus Sans" w:hAnsi="Nimbus Sans"/>
          <w:b/>
          <w:b/>
          <w:bCs/>
          <w:sz w:val="22"/>
          <w:szCs w:val="22"/>
        </w:rPr>
      </w:pPr>
      <w:r>
        <w:rPr>
          <w:rFonts w:ascii="Nimbus Sans" w:hAnsi="Nimbus Sans"/>
          <w:b/>
          <w:bCs/>
          <w:sz w:val="22"/>
          <w:szCs w:val="22"/>
        </w:rPr>
        <w:t>THEMATIC ANALYSIS PROTOCOL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Ttulo2"/>
        <w:spacing w:lineRule="auto" w:line="240" w:before="0" w:after="26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  <w:t>1. Preparation and Familiarization</w:t>
      </w:r>
    </w:p>
    <w:p>
      <w:pPr>
        <w:pStyle w:val="Cuerpodetexto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0" w:name="p-rc_9587be9b023c6d0c-126"/>
      <w:bookmarkEnd w:id="0"/>
      <w:r>
        <w:rPr>
          <w:rFonts w:ascii="Nimbus Sans" w:hAnsi="Nimbus Sans"/>
          <w:b/>
          <w:sz w:val="22"/>
          <w:szCs w:val="22"/>
        </w:rPr>
        <w:t>Objective:</w:t>
      </w:r>
      <w:r>
        <w:rPr>
          <w:rFonts w:ascii="Nimbus Sans" w:hAnsi="Nimbus Sans"/>
          <w:sz w:val="22"/>
          <w:szCs w:val="22"/>
        </w:rPr>
        <w:t xml:space="preserve"> Immerse yourself in the socio-cultural context of the Indigenous Originary Peasant Territory (TIOC).</w:t>
      </w:r>
    </w:p>
    <w:p>
      <w:pPr>
        <w:pStyle w:val="Cuerpodetexto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b/>
          <w:sz w:val="22"/>
          <w:szCs w:val="22"/>
        </w:rPr>
        <w:t>Action:</w:t>
      </w:r>
      <w:r>
        <w:rPr>
          <w:rFonts w:ascii="Nimbus Sans" w:hAnsi="Nimbus Sans"/>
          <w:sz w:val="22"/>
          <w:szCs w:val="22"/>
        </w:rPr>
        <w:t xml:space="preserve"> Read each transcript fully without coding.</w:t>
      </w:r>
    </w:p>
    <w:p>
      <w:pPr>
        <w:pStyle w:val="Cuerpodetexto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1" w:name="p-rc_9587be9b023c6d0c-127"/>
      <w:bookmarkEnd w:id="1"/>
      <w:r>
        <w:rPr>
          <w:rFonts w:ascii="Nimbus Sans" w:hAnsi="Nimbus Sans"/>
          <w:b/>
          <w:sz w:val="22"/>
          <w:szCs w:val="22"/>
        </w:rPr>
        <w:t>Journaling:</w:t>
      </w:r>
      <w:r>
        <w:rPr>
          <w:rFonts w:ascii="Nimbus Sans" w:hAnsi="Nimbus Sans"/>
          <w:sz w:val="22"/>
          <w:szCs w:val="22"/>
        </w:rPr>
        <w:t xml:space="preserve"> Use the </w:t>
      </w:r>
      <w:r>
        <w:rPr>
          <w:rFonts w:ascii="Nimbus Sans" w:hAnsi="Nimbus Sans"/>
          <w:b/>
          <w:sz w:val="22"/>
          <w:szCs w:val="22"/>
        </w:rPr>
        <w:t>Journal</w:t>
      </w:r>
      <w:r>
        <w:rPr>
          <w:rFonts w:ascii="Nimbus Sans" w:hAnsi="Nimbus Sans"/>
          <w:sz w:val="22"/>
          <w:szCs w:val="22"/>
        </w:rPr>
        <w:t xml:space="preserve"> tab in QualCoder to record initial impressions of </w:t>
      </w:r>
      <w:r>
        <w:rPr>
          <w:rFonts w:ascii="Nimbus Sans" w:hAnsi="Nimbus Sans"/>
          <w:i/>
          <w:sz w:val="22"/>
          <w:szCs w:val="22"/>
        </w:rPr>
        <w:t>Sumaq Kawsay</w:t>
      </w:r>
      <w:r>
        <w:rPr>
          <w:rFonts w:ascii="Nimbus Sans" w:hAnsi="Nimbus Sans"/>
          <w:sz w:val="22"/>
          <w:szCs w:val="22"/>
        </w:rPr>
        <w:t xml:space="preserve"> (Living Well) and how it manifests in energy use.</w:t>
      </w:r>
    </w:p>
    <w:p>
      <w:pPr>
        <w:pStyle w:val="Cuerpodetexto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2" w:name="p-rc_9587be9b023c6d0c-128"/>
      <w:bookmarkEnd w:id="2"/>
      <w:r>
        <w:rPr>
          <w:rFonts w:ascii="Nimbus Sans" w:hAnsi="Nimbus Sans"/>
          <w:b/>
          <w:sz w:val="22"/>
          <w:szCs w:val="22"/>
        </w:rPr>
        <w:t>File Memos:</w:t>
      </w:r>
      <w:r>
        <w:rPr>
          <w:rFonts w:ascii="Nimbus Sans" w:hAnsi="Nimbus Sans"/>
          <w:sz w:val="22"/>
          <w:szCs w:val="22"/>
        </w:rPr>
        <w:t xml:space="preserve"> Document specific context for each household (e.g., Zone A vs. Zone B, or family composition).</w:t>
      </w:r>
    </w:p>
    <w:p>
      <w:pPr>
        <w:pStyle w:val="Ttulo2"/>
        <w:spacing w:lineRule="auto" w:line="240" w:before="0" w:after="26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  <w:t>2. Phase I: Deductive Coding (Structural)</w:t>
      </w:r>
    </w:p>
    <w:p>
      <w:pPr>
        <w:pStyle w:val="Cuerpodetexto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3" w:name="p-rc_9587be9b023c6d0c-129"/>
      <w:bookmarkEnd w:id="3"/>
      <w:r>
        <w:rPr>
          <w:rFonts w:ascii="Nimbus Sans" w:hAnsi="Nimbus Sans"/>
          <w:b/>
          <w:sz w:val="22"/>
          <w:szCs w:val="22"/>
        </w:rPr>
        <w:t>Objective:</w:t>
      </w:r>
      <w:r>
        <w:rPr>
          <w:rFonts w:ascii="Nimbus Sans" w:hAnsi="Nimbus Sans"/>
          <w:sz w:val="22"/>
          <w:szCs w:val="22"/>
        </w:rPr>
        <w:t xml:space="preserve"> Apply the </w:t>
      </w:r>
      <w:r>
        <w:rPr>
          <w:rFonts w:ascii="Nimbus Sans" w:hAnsi="Nimbus Sans"/>
          <w:b/>
          <w:sz w:val="22"/>
          <w:szCs w:val="22"/>
        </w:rPr>
        <w:t>Energy Cultures (EC)</w:t>
      </w:r>
      <w:r>
        <w:rPr>
          <w:rFonts w:ascii="Nimbus Sans" w:hAnsi="Nimbus Sans"/>
          <w:sz w:val="22"/>
          <w:szCs w:val="22"/>
        </w:rPr>
        <w:t xml:space="preserve"> framework to categorize data into Material Culture, Norms, and Practices.</w:t>
      </w:r>
    </w:p>
    <w:p>
      <w:pPr>
        <w:pStyle w:val="Cuerpodetexto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4" w:name="p-rc_9587be9b023c6d0c-130"/>
      <w:bookmarkEnd w:id="4"/>
      <w:r>
        <w:rPr>
          <w:rFonts w:ascii="Nimbus Sans" w:hAnsi="Nimbus Sans"/>
          <w:b/>
          <w:sz w:val="22"/>
          <w:szCs w:val="22"/>
        </w:rPr>
        <w:t>Procedure:</w:t>
      </w:r>
      <w:r>
        <w:rPr>
          <w:rFonts w:ascii="Nimbus Sans" w:hAnsi="Nimbus Sans"/>
          <w:sz w:val="22"/>
          <w:szCs w:val="22"/>
        </w:rPr>
        <w:t xml:space="preserve"> Use the predefined codes from your operationalization table.</w:t>
      </w:r>
    </w:p>
    <w:p>
      <w:pPr>
        <w:pStyle w:val="Cuerpodetexto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5" w:name="p-rc_9587be9b023c6d0c-131"/>
      <w:bookmarkEnd w:id="5"/>
      <w:r>
        <w:rPr>
          <w:rFonts w:ascii="Nimbus Sans" w:hAnsi="Nimbus Sans"/>
          <w:b/>
          <w:sz w:val="22"/>
          <w:szCs w:val="22"/>
        </w:rPr>
        <w:t>Code Memos:</w:t>
      </w:r>
      <w:r>
        <w:rPr>
          <w:rFonts w:ascii="Nimbus Sans" w:hAnsi="Nimbus Sans"/>
          <w:sz w:val="22"/>
          <w:szCs w:val="22"/>
        </w:rPr>
        <w:t xml:space="preserve"> Every deductive code must have a definition in the "Edit Memo" section to prevent "code drift".</w:t>
      </w:r>
    </w:p>
    <w:p>
      <w:pPr>
        <w:pStyle w:val="Cuerpodetexto"/>
        <w:numPr>
          <w:ilvl w:val="1"/>
          <w:numId w:val="2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1418" w:hanging="283"/>
        <w:rPr>
          <w:rFonts w:ascii="Nimbus Sans" w:hAnsi="Nimbus Sans"/>
          <w:sz w:val="22"/>
          <w:szCs w:val="22"/>
        </w:rPr>
      </w:pPr>
      <w:bookmarkStart w:id="6" w:name="p-rc_9587be9b023c6d0c-132"/>
      <w:bookmarkEnd w:id="6"/>
      <w:r>
        <w:rPr>
          <w:rFonts w:ascii="Nimbus Sans" w:hAnsi="Nimbus Sans"/>
          <w:i/>
          <w:sz w:val="22"/>
          <w:szCs w:val="22"/>
        </w:rPr>
        <w:t>Example:</w:t>
      </w:r>
      <w:r>
        <w:rPr>
          <w:rFonts w:ascii="Nimbus Sans" w:hAnsi="Nimbus Sans"/>
          <w:sz w:val="22"/>
          <w:szCs w:val="22"/>
        </w:rPr>
        <w:t xml:space="preserve"> </w:t>
      </w:r>
      <w:r>
        <w:rPr>
          <w:rFonts w:ascii="Nimbus Sans" w:hAnsi="Nimbus Sans"/>
          <w:b/>
          <w:sz w:val="22"/>
          <w:szCs w:val="22"/>
        </w:rPr>
        <w:t>MAT_Cooking</w:t>
      </w:r>
      <w:r>
        <w:rPr>
          <w:rFonts w:ascii="Nimbus Sans" w:hAnsi="Nimbus Sans"/>
          <w:sz w:val="22"/>
          <w:szCs w:val="22"/>
        </w:rPr>
        <w:t>: Only for mentions of firewood, traditional ovens, or specific cooking hardware.</w:t>
      </w:r>
    </w:p>
    <w:p>
      <w:pPr>
        <w:pStyle w:val="Ttulo2"/>
        <w:spacing w:lineRule="auto" w:line="240" w:before="0" w:after="26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  <w:t>3. Phase II: Inductive Coding (Emergent)</w:t>
      </w:r>
    </w:p>
    <w:p>
      <w:pPr>
        <w:pStyle w:val="Cuerpodetexto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7" w:name="p-rc_9587be9b023c6d0c-133"/>
      <w:bookmarkEnd w:id="7"/>
      <w:r>
        <w:rPr>
          <w:rFonts w:ascii="Nimbus Sans" w:hAnsi="Nimbus Sans"/>
          <w:b/>
          <w:sz w:val="22"/>
          <w:szCs w:val="22"/>
        </w:rPr>
        <w:t>Objective:</w:t>
      </w:r>
      <w:r>
        <w:rPr>
          <w:rFonts w:ascii="Nimbus Sans" w:hAnsi="Nimbus Sans"/>
          <w:sz w:val="22"/>
          <w:szCs w:val="22"/>
        </w:rPr>
        <w:t xml:space="preserve"> Capture unique Andean realities that the EC framework might miss.</w:t>
      </w:r>
    </w:p>
    <w:p>
      <w:pPr>
        <w:pStyle w:val="Cuerpodetexto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8" w:name="p-rc_9587be9b023c6d0c-134"/>
      <w:bookmarkEnd w:id="8"/>
      <w:r>
        <w:rPr>
          <w:rFonts w:ascii="Nimbus Sans" w:hAnsi="Nimbus Sans"/>
          <w:b/>
          <w:sz w:val="22"/>
          <w:szCs w:val="22"/>
        </w:rPr>
        <w:t>Procedure:</w:t>
      </w:r>
      <w:r>
        <w:rPr>
          <w:rFonts w:ascii="Nimbus Sans" w:hAnsi="Nimbus Sans"/>
          <w:sz w:val="22"/>
          <w:szCs w:val="22"/>
        </w:rPr>
        <w:t xml:space="preserve"> Identify concepts like </w:t>
      </w:r>
      <w:r>
        <w:rPr>
          <w:rFonts w:ascii="Nimbus Sans" w:hAnsi="Nimbus Sans"/>
          <w:i/>
          <w:sz w:val="22"/>
          <w:szCs w:val="22"/>
        </w:rPr>
        <w:t>Minka</w:t>
      </w:r>
      <w:r>
        <w:rPr>
          <w:rFonts w:ascii="Nimbus Sans" w:hAnsi="Nimbus Sans"/>
          <w:sz w:val="22"/>
          <w:szCs w:val="22"/>
        </w:rPr>
        <w:t xml:space="preserve"> (communal work), specific rituals, or "expressions of pride/resistance" to technology.</w:t>
      </w:r>
    </w:p>
    <w:p>
      <w:pPr>
        <w:pStyle w:val="Cuerpodetexto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/>
      </w:pPr>
      <w:r>
        <w:rPr>
          <w:rFonts w:ascii="Nimbus Sans" w:hAnsi="Nimbus Sans"/>
          <w:b/>
          <w:sz w:val="22"/>
          <w:szCs w:val="22"/>
        </w:rPr>
        <w:t>Prefixing:</w:t>
      </w:r>
      <w:r>
        <w:rPr>
          <w:rFonts w:ascii="Nimbus Sans" w:hAnsi="Nimbus Sans"/>
          <w:sz w:val="22"/>
          <w:szCs w:val="22"/>
        </w:rPr>
        <w:t xml:space="preserve"> Use a specific prefix for new codes (e.g., </w:t>
      </w:r>
      <w:r>
        <w:rPr>
          <w:rStyle w:val="Textooriginal"/>
          <w:rFonts w:ascii="Nimbus Sans" w:hAnsi="Nimbus Sans"/>
          <w:sz w:val="22"/>
          <w:szCs w:val="22"/>
        </w:rPr>
        <w:t>RQ_</w:t>
      </w:r>
      <w:r>
        <w:rPr>
          <w:rFonts w:ascii="Nimbus Sans" w:hAnsi="Nimbus Sans"/>
          <w:sz w:val="22"/>
          <w:szCs w:val="22"/>
        </w:rPr>
        <w:t xml:space="preserve"> for Raqaypampa) to distinguish them from the deductive framework.</w:t>
      </w:r>
    </w:p>
    <w:p>
      <w:pPr>
        <w:pStyle w:val="Ttulo2"/>
        <w:spacing w:lineRule="auto" w:line="240" w:before="0" w:after="26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  <w:t>4. Phase III: Fine-Grained Coding for RAMP Modeling</w:t>
      </w:r>
    </w:p>
    <w:p>
      <w:pPr>
        <w:pStyle w:val="Cuerpodetexto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9" w:name="p-rc_9587be9b023c6d0c-135"/>
      <w:bookmarkEnd w:id="9"/>
      <w:r>
        <w:rPr>
          <w:rFonts w:ascii="Nimbus Sans" w:hAnsi="Nimbus Sans"/>
          <w:b/>
          <w:sz w:val="22"/>
          <w:szCs w:val="22"/>
        </w:rPr>
        <w:t>Objective:</w:t>
      </w:r>
      <w:r>
        <w:rPr>
          <w:rFonts w:ascii="Nimbus Sans" w:hAnsi="Nimbus Sans"/>
          <w:sz w:val="22"/>
          <w:szCs w:val="22"/>
        </w:rPr>
        <w:t xml:space="preserve"> Extract precise technical parameters needed for the </w:t>
      </w:r>
      <w:r>
        <w:rPr>
          <w:rFonts w:ascii="Nimbus Sans" w:hAnsi="Nimbus Sans"/>
          <w:b/>
          <w:sz w:val="22"/>
          <w:szCs w:val="22"/>
        </w:rPr>
        <w:t>RAMP</w:t>
      </w:r>
      <w:r>
        <w:rPr>
          <w:rFonts w:ascii="Nimbus Sans" w:hAnsi="Nimbus Sans"/>
          <w:sz w:val="22"/>
          <w:szCs w:val="22"/>
        </w:rPr>
        <w:t xml:space="preserve"> bottom-up model.</w:t>
      </w:r>
    </w:p>
    <w:p>
      <w:pPr>
        <w:pStyle w:val="Cuerpodetexto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b/>
          <w:sz w:val="22"/>
          <w:szCs w:val="22"/>
        </w:rPr>
      </w:pPr>
      <w:r>
        <w:rPr>
          <w:rFonts w:ascii="Nimbus Sans" w:hAnsi="Nimbus Sans"/>
          <w:b/>
          <w:sz w:val="22"/>
          <w:szCs w:val="22"/>
        </w:rPr>
        <w:t>Targeted Codes:</w:t>
      </w:r>
    </w:p>
    <w:p>
      <w:pPr>
        <w:pStyle w:val="Cuerpodetexto"/>
        <w:numPr>
          <w:ilvl w:val="1"/>
          <w:numId w:val="4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1418" w:hanging="283"/>
        <w:rPr/>
      </w:pPr>
      <w:bookmarkStart w:id="10" w:name="p-rc_9587be9b023c6d0c-136"/>
      <w:bookmarkEnd w:id="10"/>
      <w:r>
        <w:rPr>
          <w:rFonts w:ascii="Nimbus Sans" w:hAnsi="Nimbus Sans"/>
          <w:b/>
          <w:sz w:val="22"/>
          <w:szCs w:val="22"/>
        </w:rPr>
        <w:t>Appliance Specifics:</w:t>
      </w:r>
      <w:r>
        <w:rPr>
          <w:rFonts w:ascii="Nimbus Sans" w:hAnsi="Nimbus Sans"/>
          <w:sz w:val="22"/>
          <w:szCs w:val="22"/>
        </w:rPr>
        <w:t xml:space="preserve"> Create sub-codes for </w:t>
      </w:r>
      <w:r>
        <w:rPr>
          <w:rStyle w:val="Textooriginal"/>
          <w:rFonts w:ascii="Nimbus Sans" w:hAnsi="Nimbus Sans"/>
          <w:sz w:val="22"/>
          <w:szCs w:val="22"/>
        </w:rPr>
        <w:t>MAT_LED_Lighting</w:t>
      </w:r>
      <w:r>
        <w:rPr>
          <w:rFonts w:ascii="Nimbus Sans" w:hAnsi="Nimbus Sans"/>
          <w:sz w:val="22"/>
          <w:szCs w:val="22"/>
        </w:rPr>
        <w:t xml:space="preserve">, </w:t>
      </w:r>
      <w:r>
        <w:rPr>
          <w:rStyle w:val="Textooriginal"/>
          <w:rFonts w:ascii="Nimbus Sans" w:hAnsi="Nimbus Sans"/>
          <w:sz w:val="22"/>
          <w:szCs w:val="22"/>
        </w:rPr>
        <w:t>MAT_Radio</w:t>
      </w:r>
      <w:r>
        <w:rPr>
          <w:rFonts w:ascii="Nimbus Sans" w:hAnsi="Nimbus Sans"/>
          <w:sz w:val="22"/>
          <w:szCs w:val="22"/>
        </w:rPr>
        <w:t xml:space="preserve">, and </w:t>
      </w:r>
      <w:r>
        <w:rPr>
          <w:rStyle w:val="Textooriginal"/>
          <w:rFonts w:ascii="Nimbus Sans" w:hAnsi="Nimbus Sans"/>
          <w:sz w:val="22"/>
          <w:szCs w:val="22"/>
        </w:rPr>
        <w:t>MAT_Phone_Charging</w:t>
      </w:r>
      <w:r>
        <w:rPr>
          <w:rFonts w:ascii="Nimbus Sans" w:hAnsi="Nimbus Sans"/>
          <w:sz w:val="22"/>
          <w:szCs w:val="22"/>
        </w:rPr>
        <w:t>.</w:t>
      </w:r>
    </w:p>
    <w:p>
      <w:pPr>
        <w:pStyle w:val="Cuerpodetexto"/>
        <w:numPr>
          <w:ilvl w:val="1"/>
          <w:numId w:val="4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1418" w:hanging="283"/>
        <w:rPr/>
      </w:pPr>
      <w:bookmarkStart w:id="11" w:name="p-rc_9587be9b023c6d0c-137"/>
      <w:bookmarkEnd w:id="11"/>
      <w:r>
        <w:rPr>
          <w:rFonts w:ascii="Nimbus Sans" w:hAnsi="Nimbus Sans"/>
          <w:b/>
          <w:sz w:val="22"/>
          <w:szCs w:val="22"/>
        </w:rPr>
        <w:t>Time Windows:</w:t>
      </w:r>
      <w:r>
        <w:rPr>
          <w:rFonts w:ascii="Nimbus Sans" w:hAnsi="Nimbus Sans"/>
          <w:sz w:val="22"/>
          <w:szCs w:val="22"/>
        </w:rPr>
        <w:t xml:space="preserve"> Code for </w:t>
      </w:r>
      <w:r>
        <w:rPr>
          <w:rStyle w:val="Textooriginal"/>
          <w:rFonts w:ascii="Nimbus Sans" w:hAnsi="Nimbus Sans"/>
          <w:sz w:val="22"/>
          <w:szCs w:val="22"/>
        </w:rPr>
        <w:t>PRAC_Timing_Morning</w:t>
      </w:r>
      <w:r>
        <w:rPr>
          <w:rFonts w:ascii="Nimbus Sans" w:hAnsi="Nimbus Sans"/>
          <w:sz w:val="22"/>
          <w:szCs w:val="22"/>
        </w:rPr>
        <w:t xml:space="preserve">, </w:t>
      </w:r>
      <w:r>
        <w:rPr>
          <w:rStyle w:val="Textooriginal"/>
          <w:rFonts w:ascii="Nimbus Sans" w:hAnsi="Nimbus Sans"/>
          <w:sz w:val="22"/>
          <w:szCs w:val="22"/>
        </w:rPr>
        <w:t>PRAC_Timing_Evening</w:t>
      </w:r>
      <w:r>
        <w:rPr>
          <w:rFonts w:ascii="Nimbus Sans" w:hAnsi="Nimbus Sans"/>
          <w:sz w:val="22"/>
          <w:szCs w:val="22"/>
        </w:rPr>
        <w:t xml:space="preserve">, and </w:t>
      </w:r>
      <w:r>
        <w:rPr>
          <w:rStyle w:val="Textooriginal"/>
          <w:rFonts w:ascii="Nimbus Sans" w:hAnsi="Nimbus Sans"/>
          <w:sz w:val="22"/>
          <w:szCs w:val="22"/>
        </w:rPr>
        <w:t>PRAC_Timing_Seasonal</w:t>
      </w:r>
      <w:r>
        <w:rPr>
          <w:rFonts w:ascii="Nimbus Sans" w:hAnsi="Nimbus Sans"/>
          <w:sz w:val="22"/>
          <w:szCs w:val="22"/>
        </w:rPr>
        <w:t>.</w:t>
      </w:r>
    </w:p>
    <w:p>
      <w:pPr>
        <w:pStyle w:val="Cuerpodetexto"/>
        <w:numPr>
          <w:ilvl w:val="1"/>
          <w:numId w:val="4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1418" w:hanging="283"/>
        <w:rPr>
          <w:rFonts w:ascii="Nimbus Sans" w:hAnsi="Nimbus Sans"/>
          <w:sz w:val="22"/>
          <w:szCs w:val="22"/>
        </w:rPr>
      </w:pPr>
      <w:bookmarkStart w:id="12" w:name="p-rc_9587be9b023c6d0c-138"/>
      <w:bookmarkEnd w:id="12"/>
      <w:r>
        <w:rPr>
          <w:rFonts w:ascii="Nimbus Sans" w:hAnsi="Nimbus Sans"/>
          <w:b/>
          <w:sz w:val="22"/>
          <w:szCs w:val="22"/>
        </w:rPr>
        <w:t>Priority:</w:t>
      </w:r>
      <w:r>
        <w:rPr>
          <w:rFonts w:ascii="Nimbus Sans" w:hAnsi="Nimbus Sans"/>
          <w:sz w:val="22"/>
          <w:szCs w:val="22"/>
        </w:rPr>
        <w:t xml:space="preserve"> Code for "User narratives on appliance importance" to understand which loads are shed first during constraints.</w:t>
      </w:r>
    </w:p>
    <w:p>
      <w:pPr>
        <w:pStyle w:val="Ttulo2"/>
        <w:spacing w:lineRule="auto" w:line="240" w:before="0" w:after="26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  <w:t>5. Phase IV: Thematic Integration and Triangulation</w:t>
      </w:r>
    </w:p>
    <w:p>
      <w:pPr>
        <w:pStyle w:val="Cuerpodetexto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13" w:name="p-rc_9587be9b023c6d0c-139"/>
      <w:bookmarkEnd w:id="13"/>
      <w:r>
        <w:rPr>
          <w:rFonts w:ascii="Nimbus Sans" w:hAnsi="Nimbus Sans"/>
          <w:b/>
          <w:sz w:val="22"/>
          <w:szCs w:val="22"/>
        </w:rPr>
        <w:t>Objective:</w:t>
      </w:r>
      <w:r>
        <w:rPr>
          <w:rFonts w:ascii="Nimbus Sans" w:hAnsi="Nimbus Sans"/>
          <w:sz w:val="22"/>
          <w:szCs w:val="22"/>
        </w:rPr>
        <w:t xml:space="preserve"> Compare what people </w:t>
      </w:r>
      <w:r>
        <w:rPr>
          <w:rFonts w:ascii="Nimbus Sans" w:hAnsi="Nimbus Sans"/>
          <w:i/>
          <w:sz w:val="22"/>
          <w:szCs w:val="22"/>
        </w:rPr>
        <w:t>say</w:t>
      </w:r>
      <w:r>
        <w:rPr>
          <w:rFonts w:ascii="Nimbus Sans" w:hAnsi="Nimbus Sans"/>
          <w:sz w:val="22"/>
          <w:szCs w:val="22"/>
        </w:rPr>
        <w:t xml:space="preserve"> with what the data loggers </w:t>
      </w:r>
      <w:r>
        <w:rPr>
          <w:rFonts w:ascii="Nimbus Sans" w:hAnsi="Nimbus Sans"/>
          <w:i/>
          <w:sz w:val="22"/>
          <w:szCs w:val="22"/>
        </w:rPr>
        <w:t>measure</w:t>
      </w:r>
      <w:r>
        <w:rPr>
          <w:rFonts w:ascii="Nimbus Sans" w:hAnsi="Nimbus Sans"/>
          <w:sz w:val="22"/>
          <w:szCs w:val="22"/>
        </w:rPr>
        <w:t>.</w:t>
      </w:r>
    </w:p>
    <w:p>
      <w:pPr>
        <w:pStyle w:val="Cuerpodetexto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b/>
          <w:sz w:val="22"/>
          <w:szCs w:val="22"/>
        </w:rPr>
        <w:t>Action:</w:t>
      </w:r>
      <w:r>
        <w:rPr>
          <w:rFonts w:ascii="Nimbus Sans" w:hAnsi="Nimbus Sans"/>
          <w:sz w:val="22"/>
          <w:szCs w:val="22"/>
        </w:rPr>
        <w:t xml:space="preserve"> Use QualCoder’s </w:t>
      </w:r>
      <w:r>
        <w:rPr>
          <w:rFonts w:ascii="Nimbus Sans" w:hAnsi="Nimbus Sans"/>
          <w:b/>
          <w:sz w:val="22"/>
          <w:szCs w:val="22"/>
        </w:rPr>
        <w:t>Reports</w:t>
      </w:r>
      <w:r>
        <w:rPr>
          <w:rFonts w:ascii="Nimbus Sans" w:hAnsi="Nimbus Sans"/>
          <w:sz w:val="22"/>
          <w:szCs w:val="22"/>
        </w:rPr>
        <w:t xml:space="preserve"> to aggregate codes.</w:t>
      </w:r>
    </w:p>
    <w:p>
      <w:pPr>
        <w:pStyle w:val="Cuerpodetexto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14" w:name="p-rc_9587be9b023c6d0c-140"/>
      <w:bookmarkEnd w:id="14"/>
      <w:r>
        <w:rPr>
          <w:rFonts w:ascii="Nimbus Sans" w:hAnsi="Nimbus Sans"/>
          <w:b/>
          <w:sz w:val="22"/>
          <w:szCs w:val="22"/>
        </w:rPr>
        <w:t>Mapping:</w:t>
      </w:r>
      <w:r>
        <w:rPr>
          <w:rFonts w:ascii="Nimbus Sans" w:hAnsi="Nimbus Sans"/>
          <w:sz w:val="22"/>
          <w:szCs w:val="22"/>
        </w:rPr>
        <w:t xml:space="preserve"> Align qualitative themes (e.g., "Gender roles in energy budgeting") with quantitative load profiles.</w:t>
      </w:r>
    </w:p>
    <w:p>
      <w:pPr>
        <w:pStyle w:val="Cuerpodetexto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15" w:name="p-rc_9587be9b023c6d0c-141"/>
      <w:bookmarkEnd w:id="15"/>
      <w:r>
        <w:rPr>
          <w:rFonts w:ascii="Nimbus Sans" w:hAnsi="Nimbus Sans"/>
          <w:b/>
          <w:sz w:val="22"/>
          <w:szCs w:val="22"/>
        </w:rPr>
        <w:t>Verification:</w:t>
      </w:r>
      <w:r>
        <w:rPr>
          <w:rFonts w:ascii="Nimbus Sans" w:hAnsi="Nimbus Sans"/>
          <w:sz w:val="22"/>
          <w:szCs w:val="22"/>
        </w:rPr>
        <w:t xml:space="preserve"> Check if self-reported "Activity timing" matches the peaks in the measured electricity data.</w:t>
      </w:r>
    </w:p>
    <w:p>
      <w:pPr>
        <w:pStyle w:val="Ttulo2"/>
        <w:spacing w:lineRule="auto" w:line="240" w:before="0" w:after="26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  <w:t>6. Phase V: Quality Control (The Audit Trail)</w:t>
      </w:r>
    </w:p>
    <w:p>
      <w:pPr>
        <w:pStyle w:val="Cuerpodetexto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bookmarkStart w:id="16" w:name="p-rc_9587be9b023c6d0c-142"/>
      <w:bookmarkEnd w:id="16"/>
      <w:r>
        <w:rPr>
          <w:rFonts w:ascii="Nimbus Sans" w:hAnsi="Nimbus Sans"/>
          <w:b/>
          <w:sz w:val="22"/>
          <w:szCs w:val="22"/>
        </w:rPr>
        <w:t>Code Consistency:</w:t>
      </w:r>
      <w:r>
        <w:rPr>
          <w:rFonts w:ascii="Nimbus Sans" w:hAnsi="Nimbus Sans"/>
          <w:sz w:val="22"/>
          <w:szCs w:val="22"/>
        </w:rPr>
        <w:t xml:space="preserve"> Periodically review the "Code Memos" to ensure a code’s meaning hasn't shifted over the 100-household sample.</w:t>
      </w:r>
    </w:p>
    <w:p>
      <w:pPr>
        <w:pStyle w:val="Cuerpodetexto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b/>
          <w:sz w:val="22"/>
          <w:szCs w:val="22"/>
        </w:rPr>
        <w:t>GitHub Sync:</w:t>
      </w:r>
      <w:r>
        <w:rPr>
          <w:rFonts w:ascii="Nimbus Sans" w:hAnsi="Nimbus Sans"/>
          <w:sz w:val="22"/>
          <w:szCs w:val="22"/>
        </w:rPr>
        <w:t xml:space="preserve"> Ensure QualCoder is closed before pushing updates to your repository to avoid database corruption.</w:t>
      </w:r>
    </w:p>
    <w:p>
      <w:pPr>
        <w:pStyle w:val="Cuerpodetexto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40" w:before="0" w:after="26"/>
        <w:ind w:left="709" w:hanging="283"/>
        <w:rPr/>
      </w:pPr>
      <w:bookmarkStart w:id="17" w:name="p-rc_9587be9b023c6d0c-143"/>
      <w:bookmarkEnd w:id="17"/>
      <w:r>
        <w:rPr>
          <w:rFonts w:ascii="Nimbus Sans" w:hAnsi="Nimbus Sans"/>
          <w:b/>
          <w:sz w:val="22"/>
          <w:szCs w:val="22"/>
        </w:rPr>
        <w:t>Final Export:</w:t>
      </w:r>
      <w:r>
        <w:rPr>
          <w:rFonts w:ascii="Nimbus Sans" w:hAnsi="Nimbus Sans"/>
          <w:sz w:val="22"/>
          <w:szCs w:val="22"/>
        </w:rPr>
        <w:t xml:space="preserve"> Export the </w:t>
      </w:r>
      <w:r>
        <w:rPr>
          <w:rFonts w:ascii="Nimbus Sans" w:hAnsi="Nimbus Sans"/>
          <w:b/>
          <w:sz w:val="22"/>
          <w:szCs w:val="22"/>
        </w:rPr>
        <w:t>Codebook</w:t>
      </w:r>
      <w:r>
        <w:rPr>
          <w:rFonts w:ascii="Nimbus Sans" w:hAnsi="Nimbus Sans"/>
          <w:sz w:val="22"/>
          <w:szCs w:val="22"/>
        </w:rPr>
        <w:t xml:space="preserve"> as a CSV to include as a methodological appendix in your thesis.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Cuerpodetexto"/>
        <w:bidi w:val="0"/>
        <w:spacing w:lineRule="auto" w:line="240" w:before="0" w:after="26"/>
        <w:jc w:val="left"/>
        <w:rPr>
          <w:rFonts w:ascii="Nimbus Sans" w:hAnsi="Nimbus Sans"/>
          <w:sz w:val="22"/>
          <w:szCs w:val="22"/>
        </w:rPr>
      </w:pPr>
      <w:r>
        <w:rPr>
          <w:rFonts w:ascii="Nimbus Sans" w:hAnsi="Nimbus Sans"/>
          <w:sz w:val="22"/>
          <w:szCs w:val="22"/>
        </w:rPr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Nimbus Sans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155</TotalTime>
  <Application>LibreOffice/7.3.7.2$Linux_X86_64 LibreOffice_project/30$Build-2</Application>
  <AppVersion>15.0000</AppVersion>
  <Pages>1</Pages>
  <Words>371</Words>
  <Characters>2195</Characters>
  <CharactersWithSpaces>2513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2026-03-24T11:40:15Z</dcterms:created>
  <dc:creator/>
  <dc:description/>
  <dc:language>en-US</dc:language>
  <cp:lastModifiedBy/>
  <dcterms:modified xsi:type="dcterms:W3CDTF">2026-03-30T12:02:55Z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