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3A62" w:rsidRDefault="0009326F">
      <w:pPr>
        <w:widowControl/>
        <w:spacing w:line="480" w:lineRule="auto"/>
        <w:jc w:val="lef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Claudia Yang</w:t>
      </w:r>
    </w:p>
    <w:p w14:paraId="00000002" w14:textId="77777777" w:rsidR="00A03A62" w:rsidRDefault="0009326F">
      <w:pPr>
        <w:widowControl/>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Fay Yan</w:t>
      </w:r>
    </w:p>
    <w:p w14:paraId="00000003" w14:textId="77777777" w:rsidR="00A03A62" w:rsidRDefault="0009326F">
      <w:pPr>
        <w:widowControl/>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Kevin Xie</w:t>
      </w:r>
    </w:p>
    <w:p w14:paraId="00000004" w14:textId="77777777" w:rsidR="00A03A62" w:rsidRDefault="0009326F">
      <w:pPr>
        <w:widowControl/>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Yizhou Zhou</w:t>
      </w:r>
    </w:p>
    <w:p w14:paraId="00000005" w14:textId="77777777" w:rsidR="00A03A62" w:rsidRDefault="0009326F">
      <w:pPr>
        <w:widowControl/>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Palermo</w:t>
      </w:r>
    </w:p>
    <w:p w14:paraId="00000006" w14:textId="77777777" w:rsidR="00A03A62" w:rsidRDefault="0009326F">
      <w:pPr>
        <w:widowControl/>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ENGRD 302W</w:t>
      </w:r>
    </w:p>
    <w:p w14:paraId="00000007" w14:textId="77777777" w:rsidR="00A03A62" w:rsidRDefault="0009326F">
      <w:pPr>
        <w:widowControl/>
        <w:spacing w:line="480" w:lineRule="auto"/>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7 November 2024</w:t>
      </w:r>
    </w:p>
    <w:p w14:paraId="00000008" w14:textId="77777777" w:rsidR="00A03A62" w:rsidRDefault="0009326F">
      <w:pPr>
        <w:widowControl/>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Proposal</w:t>
      </w:r>
    </w:p>
    <w:p w14:paraId="00000009" w14:textId="77777777" w:rsidR="00A03A62" w:rsidRDefault="0009326F">
      <w:pPr>
        <w:widowControl/>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How do regional and demographic factors contribute to disparities and inequalities in educational outcomes?</w:t>
      </w:r>
    </w:p>
    <w:p w14:paraId="0000000A" w14:textId="77777777" w:rsidR="00A03A62" w:rsidRDefault="0009326F">
      <w:pPr>
        <w:widowControl/>
        <w:spacing w:line="48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0B" w14:textId="77777777" w:rsidR="00A03A62" w:rsidRDefault="0009326F">
      <w:pPr>
        <w:widowControl/>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Educational inequalities continue to persist across the United States, driven by complex interactions between regional and demographic factors. These disparities manifest through differences in funding, access to resources, and family backgrounds, ultimate</w:t>
      </w:r>
      <w:r>
        <w:rPr>
          <w:rFonts w:ascii="Times New Roman" w:eastAsia="Times New Roman" w:hAnsi="Times New Roman" w:cs="Times New Roman"/>
          <w:color w:val="000000"/>
          <w:sz w:val="24"/>
          <w:szCs w:val="24"/>
        </w:rPr>
        <w:t>ly affecting students' academic performance and future opportunities. Our research seeks to investigate how regional and demographic factors, such as poverty, geographic location, and school funding, contribute to disparities in educational outcomes. By fo</w:t>
      </w:r>
      <w:r>
        <w:rPr>
          <w:rFonts w:ascii="Times New Roman" w:eastAsia="Times New Roman" w:hAnsi="Times New Roman" w:cs="Times New Roman"/>
          <w:color w:val="000000"/>
          <w:sz w:val="24"/>
          <w:szCs w:val="24"/>
        </w:rPr>
        <w:t>cusing on both SAT scores and GPA as measures of academic performance, we aim to paint a more holistic picture of how these factors shape the educational landscape, providing valuable insights for policymakers and educators aiming to reduce these inequitie</w:t>
      </w:r>
      <w:r>
        <w:rPr>
          <w:rFonts w:ascii="Times New Roman" w:eastAsia="Times New Roman" w:hAnsi="Times New Roman" w:cs="Times New Roman"/>
          <w:color w:val="000000"/>
          <w:sz w:val="24"/>
          <w:szCs w:val="24"/>
        </w:rPr>
        <w:t>s. Additionally, our dat</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enables us to investigate trends in educational performance relative to the U.S. economy (GDP), examining their correlations and similarities over 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By identifying these patterns, we aim to provide </w:t>
      </w:r>
      <w:r>
        <w:rPr>
          <w:rFonts w:ascii="Times New Roman" w:eastAsia="Times New Roman" w:hAnsi="Times New Roman" w:cs="Times New Roman"/>
          <w:color w:val="000000"/>
          <w:sz w:val="24"/>
          <w:szCs w:val="24"/>
        </w:rPr>
        <w:lastRenderedPageBreak/>
        <w:t>insights that could guide st</w:t>
      </w:r>
      <w:r>
        <w:rPr>
          <w:rFonts w:ascii="Times New Roman" w:eastAsia="Times New Roman" w:hAnsi="Times New Roman" w:cs="Times New Roman"/>
          <w:color w:val="000000"/>
          <w:sz w:val="24"/>
          <w:szCs w:val="24"/>
        </w:rPr>
        <w:t>rategic educational investments</w:t>
      </w:r>
      <w:r>
        <w:rPr>
          <w:rFonts w:ascii="Times New Roman" w:eastAsia="Times New Roman" w:hAnsi="Times New Roman" w:cs="Times New Roman"/>
          <w:sz w:val="24"/>
          <w:szCs w:val="24"/>
        </w:rPr>
        <w:t xml:space="preserve"> for long-term economic benefits.</w:t>
      </w:r>
    </w:p>
    <w:p w14:paraId="0000000C" w14:textId="77777777" w:rsidR="00A03A62" w:rsidRDefault="0009326F">
      <w:pPr>
        <w:widowControl/>
        <w:spacing w:line="480" w:lineRule="auto"/>
        <w:jc w:val="left"/>
        <w:rPr>
          <w:rFonts w:ascii="SimSun" w:eastAsia="SimSun" w:hAnsi="SimSun" w:cs="SimSun"/>
          <w:color w:val="000000"/>
          <w:sz w:val="24"/>
          <w:szCs w:val="24"/>
        </w:rPr>
      </w:pPr>
      <w:r>
        <w:rPr>
          <w:rFonts w:ascii="Times New Roman" w:eastAsia="Times New Roman" w:hAnsi="Times New Roman" w:cs="Times New Roman"/>
          <w:b/>
          <w:color w:val="000000"/>
          <w:sz w:val="24"/>
          <w:szCs w:val="24"/>
        </w:rPr>
        <w:t>Literature Review</w:t>
      </w:r>
    </w:p>
    <w:p w14:paraId="0000000D" w14:textId="77777777" w:rsidR="00A03A62" w:rsidRDefault="0009326F">
      <w:pPr>
        <w:widowControl/>
        <w:spacing w:line="480" w:lineRule="auto"/>
        <w:ind w:firstLine="720"/>
        <w:jc w:val="left"/>
        <w:rPr>
          <w:rFonts w:ascii="SimSun" w:eastAsia="SimSun" w:hAnsi="SimSun" w:cs="SimSun"/>
          <w:color w:val="000000"/>
          <w:sz w:val="24"/>
          <w:szCs w:val="24"/>
        </w:rPr>
      </w:pPr>
      <w:r>
        <w:rPr>
          <w:rFonts w:ascii="Times New Roman" w:eastAsia="Times New Roman" w:hAnsi="Times New Roman" w:cs="Times New Roman"/>
          <w:color w:val="000000"/>
          <w:sz w:val="24"/>
          <w:szCs w:val="24"/>
        </w:rPr>
        <w:t xml:space="preserve">Educational disparities rooted in racial and socioeconomic divides continue to influence academic outcomes across regions, as shown by Orfield et al. in </w:t>
      </w:r>
      <w:r>
        <w:rPr>
          <w:rFonts w:ascii="Times New Roman" w:eastAsia="Times New Roman" w:hAnsi="Times New Roman" w:cs="Times New Roman"/>
          <w:i/>
          <w:color w:val="000000"/>
          <w:sz w:val="24"/>
          <w:szCs w:val="24"/>
        </w:rPr>
        <w:t>School Segregation By Race, Poverty and State</w:t>
      </w:r>
      <w:r>
        <w:rPr>
          <w:rFonts w:ascii="Times New Roman" w:eastAsia="Times New Roman" w:hAnsi="Times New Roman" w:cs="Times New Roman"/>
          <w:color w:val="000000"/>
          <w:sz w:val="24"/>
          <w:szCs w:val="24"/>
        </w:rPr>
        <w:t>. The authors suggest that academic outcomes are closely tied to both poverty and geographic location, as minority students in high-poverty regions are frequently segregated into under-resourced schools, limitin</w:t>
      </w:r>
      <w:r>
        <w:rPr>
          <w:rFonts w:ascii="Times New Roman" w:eastAsia="Times New Roman" w:hAnsi="Times New Roman" w:cs="Times New Roman"/>
          <w:color w:val="000000"/>
          <w:sz w:val="24"/>
          <w:szCs w:val="24"/>
        </w:rPr>
        <w:t xml:space="preserve">g their academic opportunities and widening performance gaps(Orfield et al.). </w:t>
      </w:r>
      <w:r>
        <w:rPr>
          <w:rFonts w:ascii="Times New Roman" w:eastAsia="Times New Roman" w:hAnsi="Times New Roman" w:cs="Times New Roman"/>
          <w:sz w:val="24"/>
          <w:szCs w:val="24"/>
        </w:rPr>
        <w:t>In her book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When Money Matters</w:t>
      </w:r>
      <w:r>
        <w:rPr>
          <w:rFonts w:ascii="Times New Roman" w:eastAsia="Times New Roman" w:hAnsi="Times New Roman" w:cs="Times New Roman"/>
          <w:sz w:val="24"/>
          <w:szCs w:val="24"/>
        </w:rPr>
        <w:t>, Wenglinsky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complements</w:t>
      </w:r>
      <w:r>
        <w:rPr>
          <w:rFonts w:ascii="Times New Roman" w:eastAsia="Times New Roman" w:hAnsi="Times New Roman" w:cs="Times New Roman"/>
          <w:color w:val="000000"/>
          <w:sz w:val="24"/>
          <w:szCs w:val="24"/>
        </w:rPr>
        <w:t xml:space="preserve"> this by showing that educational spending—particularly on instructional resources—directly impact</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 student achievement in a</w:t>
      </w:r>
      <w:r>
        <w:rPr>
          <w:rFonts w:ascii="Times New Roman" w:eastAsia="Times New Roman" w:hAnsi="Times New Roman" w:cs="Times New Roman"/>
          <w:color w:val="000000"/>
          <w:sz w:val="24"/>
          <w:szCs w:val="24"/>
        </w:rPr>
        <w:t>reas like mathematics. This spending disparity is often linked to family income, with wealthier students more likely to attend schools that can invest in resources that enhance academic performance, whereas students in low-income areas typically lack acces</w:t>
      </w:r>
      <w:r>
        <w:rPr>
          <w:rFonts w:ascii="Times New Roman" w:eastAsia="Times New Roman" w:hAnsi="Times New Roman" w:cs="Times New Roman"/>
          <w:color w:val="000000"/>
          <w:sz w:val="24"/>
          <w:szCs w:val="24"/>
        </w:rPr>
        <w:t>s to such funding (Wenglinsky)</w:t>
      </w:r>
      <w:r>
        <w:rPr>
          <w:rFonts w:ascii="Times New Roman" w:eastAsia="Times New Roman" w:hAnsi="Times New Roman" w:cs="Times New Roman"/>
          <w:sz w:val="24"/>
          <w:szCs w:val="24"/>
        </w:rPr>
        <w:t>.</w:t>
      </w:r>
    </w:p>
    <w:p w14:paraId="0000000E" w14:textId="77777777" w:rsidR="00A03A62" w:rsidRDefault="0009326F">
      <w:pPr>
        <w:widowControl/>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by Chew, Satpathy, and Wong (2020) examined how geographic and socioeconomic factors shape academic outcomes in California’s K-12 education. Using Geographic Information Systems (GIS), the researchers identified fa</w:t>
      </w:r>
      <w:r>
        <w:rPr>
          <w:rFonts w:ascii="Times New Roman" w:eastAsia="Times New Roman" w:hAnsi="Times New Roman" w:cs="Times New Roman"/>
          <w:sz w:val="24"/>
          <w:szCs w:val="24"/>
        </w:rPr>
        <w:t>mily structure, healthcare spending, and proximity to educational resources as critical influences on SAT performance. Students from two-parent households and those with higher health insurance spending tend to perform better on the SAT, as do those surrou</w:t>
      </w:r>
      <w:r>
        <w:rPr>
          <w:rFonts w:ascii="Times New Roman" w:eastAsia="Times New Roman" w:hAnsi="Times New Roman" w:cs="Times New Roman"/>
          <w:sz w:val="24"/>
          <w:szCs w:val="24"/>
        </w:rPr>
        <w:t xml:space="preserve">nded by educational businesses. In contrast, students from diverse, larger, and multigenerational households generally score lower. The study noted limitations of using SAT scores alone </w:t>
      </w:r>
      <w:r>
        <w:rPr>
          <w:rFonts w:ascii="Times New Roman" w:eastAsia="Times New Roman" w:hAnsi="Times New Roman" w:cs="Times New Roman"/>
          <w:sz w:val="24"/>
          <w:szCs w:val="24"/>
        </w:rPr>
        <w:lastRenderedPageBreak/>
        <w:t>to assess academic performance, highlighting that standardized tests m</w:t>
      </w:r>
      <w:r>
        <w:rPr>
          <w:rFonts w:ascii="Times New Roman" w:eastAsia="Times New Roman" w:hAnsi="Times New Roman" w:cs="Times New Roman"/>
          <w:sz w:val="24"/>
          <w:szCs w:val="24"/>
        </w:rPr>
        <w:t xml:space="preserve">ay not fully capture broader educational outcomes. Additionally, a study by Zwick shows that inequities in educational opportunities makes it difficult to isolate academic achievement from family income, as home environments often reflect economic status. </w:t>
      </w:r>
      <w:r>
        <w:rPr>
          <w:rFonts w:ascii="Times New Roman" w:eastAsia="Times New Roman" w:hAnsi="Times New Roman" w:cs="Times New Roman"/>
          <w:sz w:val="24"/>
          <w:szCs w:val="24"/>
        </w:rPr>
        <w:t>Students from wealthier families are more likely to come from achievement-oriented homes, which reinforces academic advantages (Zwick). Despite efforts to de-emphasize test scores in college admissions, such measures may have limited impact on diversifying</w:t>
      </w:r>
      <w:r>
        <w:rPr>
          <w:rFonts w:ascii="Times New Roman" w:eastAsia="Times New Roman" w:hAnsi="Times New Roman" w:cs="Times New Roman"/>
          <w:sz w:val="24"/>
          <w:szCs w:val="24"/>
        </w:rPr>
        <w:t xml:space="preserve"> student bodies, given that test scores, grades, and course completion patterns are all influenced by socioeconomic factors. This underscores the challenge of achieving educational equity when academic metrics are so closely tied to family background.</w:t>
      </w:r>
    </w:p>
    <w:p w14:paraId="0000000F" w14:textId="77777777" w:rsidR="00A03A62" w:rsidRDefault="0009326F">
      <w:pPr>
        <w:widowControl/>
        <w:spacing w:line="480" w:lineRule="auto"/>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w:t>
      </w:r>
      <w:r>
        <w:rPr>
          <w:rFonts w:ascii="Times New Roman" w:eastAsia="Times New Roman" w:hAnsi="Times New Roman" w:cs="Times New Roman"/>
          <w:sz w:val="24"/>
          <w:szCs w:val="24"/>
        </w:rPr>
        <w:t>tionally, Hanushek, Ruhose, and Woessmann’s work links economic growth to education quality, demonstrating that states with higher student achievement experience greater increases in GDP. This suggests that improving education, particularly in math and cog</w:t>
      </w:r>
      <w:r>
        <w:rPr>
          <w:rFonts w:ascii="Times New Roman" w:eastAsia="Times New Roman" w:hAnsi="Times New Roman" w:cs="Times New Roman"/>
          <w:sz w:val="24"/>
          <w:szCs w:val="24"/>
        </w:rPr>
        <w:t>nitive skills, can have long-term economic benefits, further highlighting the importance of addressing disparities in educational opportunities (Hanushek), which implies that disparities in education quality can have significant long-term economic implicat</w:t>
      </w:r>
      <w:r>
        <w:rPr>
          <w:rFonts w:ascii="Times New Roman" w:eastAsia="Times New Roman" w:hAnsi="Times New Roman" w:cs="Times New Roman"/>
          <w:sz w:val="24"/>
          <w:szCs w:val="24"/>
        </w:rPr>
        <w:t>ions.</w:t>
      </w:r>
    </w:p>
    <w:p w14:paraId="00000010" w14:textId="77777777" w:rsidR="00A03A62" w:rsidRDefault="0009326F">
      <w:pPr>
        <w:widowControl/>
        <w:spacing w:line="480" w:lineRule="auto"/>
        <w:ind w:firstLine="720"/>
        <w:jc w:val="left"/>
        <w:rPr>
          <w:rFonts w:ascii="SimSun" w:eastAsia="SimSun" w:hAnsi="SimSun" w:cs="SimSun"/>
          <w:color w:val="000000"/>
          <w:sz w:val="24"/>
          <w:szCs w:val="24"/>
        </w:rPr>
      </w:pPr>
      <w:r>
        <w:rPr>
          <w:rFonts w:ascii="Times New Roman" w:eastAsia="Times New Roman" w:hAnsi="Times New Roman" w:cs="Times New Roman"/>
          <w:color w:val="000000"/>
          <w:sz w:val="24"/>
          <w:szCs w:val="24"/>
        </w:rPr>
        <w:t>Building on these previous findings, our study aims to investigate how poverty, regional characteristics, and funding disparities intersect to drive educational inequalities across demographic groups. Also, we consider GPA along with SAT scores as in</w:t>
      </w:r>
      <w:r>
        <w:rPr>
          <w:rFonts w:ascii="Times New Roman" w:eastAsia="Times New Roman" w:hAnsi="Times New Roman" w:cs="Times New Roman"/>
          <w:color w:val="000000"/>
          <w:sz w:val="24"/>
          <w:szCs w:val="24"/>
        </w:rPr>
        <w:t xml:space="preserve">dicators for academic performance, seeking a more comprehensive view to better understand the impacts of socioeconomic and geographic factors on student achievement. Through this </w:t>
      </w:r>
      <w:r>
        <w:rPr>
          <w:rFonts w:ascii="Times New Roman" w:eastAsia="Times New Roman" w:hAnsi="Times New Roman" w:cs="Times New Roman"/>
          <w:color w:val="000000"/>
          <w:sz w:val="24"/>
          <w:szCs w:val="24"/>
        </w:rPr>
        <w:lastRenderedPageBreak/>
        <w:t xml:space="preserve">study, we hope to offer insights that could guide targeted interventions for </w:t>
      </w:r>
      <w:r>
        <w:rPr>
          <w:rFonts w:ascii="Times New Roman" w:eastAsia="Times New Roman" w:hAnsi="Times New Roman" w:cs="Times New Roman"/>
          <w:color w:val="000000"/>
          <w:sz w:val="24"/>
          <w:szCs w:val="24"/>
        </w:rPr>
        <w:t>addressing and reducing educational disparities.</w:t>
      </w:r>
    </w:p>
    <w:p w14:paraId="00000011" w14:textId="77777777" w:rsidR="00A03A62" w:rsidRDefault="0009326F">
      <w:pPr>
        <w:widowControl/>
        <w:spacing w:line="48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p>
    <w:p w14:paraId="00000012" w14:textId="77777777" w:rsidR="00A03A62" w:rsidRDefault="0009326F">
      <w:pPr>
        <w:widowControl/>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answer our research question, we will conduct a quantitative analysis using data on academic performance (</w:t>
      </w:r>
      <w:r>
        <w:rPr>
          <w:rFonts w:ascii="Times New Roman" w:eastAsia="Times New Roman" w:hAnsi="Times New Roman" w:cs="Times New Roman"/>
          <w:sz w:val="24"/>
          <w:szCs w:val="24"/>
        </w:rPr>
        <w:t>Bart</w:t>
      </w:r>
      <w:r>
        <w:rPr>
          <w:rFonts w:ascii="Times New Roman" w:eastAsia="Times New Roman" w:hAnsi="Times New Roman" w:cs="Times New Roman"/>
          <w:color w:val="000000"/>
          <w:sz w:val="24"/>
          <w:szCs w:val="24"/>
        </w:rPr>
        <w:t>) alongside demographic and regional factors from our dataset. Specifically, we will us</w:t>
      </w:r>
      <w:r>
        <w:rPr>
          <w:rFonts w:ascii="Times New Roman" w:eastAsia="Times New Roman" w:hAnsi="Times New Roman" w:cs="Times New Roman"/>
          <w:color w:val="000000"/>
          <w:sz w:val="24"/>
          <w:szCs w:val="24"/>
        </w:rPr>
        <w:t>e linear regression models to examine the relationship between socioeconomic variables, such as family income and regional funding levels, and academic outcomes. Additionally, logistic regression will be used to analyze categorical outcomes, such as the li</w:t>
      </w:r>
      <w:r>
        <w:rPr>
          <w:rFonts w:ascii="Times New Roman" w:eastAsia="Times New Roman" w:hAnsi="Times New Roman" w:cs="Times New Roman"/>
          <w:color w:val="000000"/>
          <w:sz w:val="24"/>
          <w:szCs w:val="24"/>
        </w:rPr>
        <w:t>kelihood of achieving a certain GPA threshold based on regional and demographic factors.</w:t>
      </w:r>
    </w:p>
    <w:p w14:paraId="00000013" w14:textId="77777777" w:rsidR="00A03A62" w:rsidRDefault="0009326F">
      <w:pPr>
        <w:widowControl/>
        <w:spacing w:line="480" w:lineRule="auto"/>
        <w:ind w:firstLine="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plan to visualize spatial patterns in educational disparities, building on the previous work of Chew, Satpathy, and Wong, who used GIS as a primary method. We </w:t>
      </w:r>
      <w:r>
        <w:rPr>
          <w:rFonts w:ascii="Times New Roman" w:eastAsia="Times New Roman" w:hAnsi="Times New Roman" w:cs="Times New Roman"/>
          <w:color w:val="000000"/>
          <w:sz w:val="24"/>
          <w:szCs w:val="24"/>
        </w:rPr>
        <w:t>will continue improving the visualization to provide a better and more reader-friendly representation of our findings for our target audience. Our methods will be iterative, as we refine our approach based on preliminary findings and insights provided by e</w:t>
      </w:r>
      <w:r>
        <w:rPr>
          <w:rFonts w:ascii="Times New Roman" w:eastAsia="Times New Roman" w:hAnsi="Times New Roman" w:cs="Times New Roman"/>
          <w:color w:val="000000"/>
          <w:sz w:val="24"/>
          <w:szCs w:val="24"/>
        </w:rPr>
        <w:t>xisting literature. This mixed-methods approach will help us draw more nuanced conclusions regarding how regional and demographic factors contribute to educational disparities.</w:t>
      </w:r>
    </w:p>
    <w:p w14:paraId="00000014" w14:textId="77777777" w:rsidR="00A03A62" w:rsidRDefault="0009326F">
      <w:pPr>
        <w:widowControl/>
        <w:jc w:val="left"/>
        <w:rPr>
          <w:rFonts w:ascii="Times New Roman" w:eastAsia="Times New Roman" w:hAnsi="Times New Roman" w:cs="Times New Roman"/>
          <w:color w:val="000000"/>
          <w:sz w:val="24"/>
          <w:szCs w:val="24"/>
        </w:rPr>
      </w:pPr>
      <w:r>
        <w:br w:type="page"/>
      </w:r>
    </w:p>
    <w:p w14:paraId="00000015" w14:textId="77777777" w:rsidR="00A03A62" w:rsidRDefault="0009326F">
      <w:pPr>
        <w:widowControl/>
        <w:spacing w:line="480" w:lineRule="auto"/>
        <w:jc w:val="center"/>
        <w:rPr>
          <w:rFonts w:ascii="SimSun" w:eastAsia="SimSun" w:hAnsi="SimSun" w:cs="SimSun"/>
          <w:sz w:val="24"/>
          <w:szCs w:val="24"/>
        </w:rPr>
      </w:pPr>
      <w:r>
        <w:rPr>
          <w:rFonts w:ascii="Times New Roman" w:eastAsia="Times New Roman" w:hAnsi="Times New Roman" w:cs="Times New Roman"/>
          <w:color w:val="000000"/>
          <w:sz w:val="24"/>
          <w:szCs w:val="24"/>
        </w:rPr>
        <w:lastRenderedPageBreak/>
        <w:t>Work Cited</w:t>
      </w:r>
    </w:p>
    <w:p w14:paraId="00000016" w14:textId="77777777" w:rsidR="00A03A62" w:rsidRDefault="0009326F">
      <w:pPr>
        <w:widowControl/>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Bart, Austin Cory. “School Scores CSV File.” </w:t>
      </w:r>
      <w:r>
        <w:rPr>
          <w:rFonts w:ascii="Times New Roman" w:eastAsia="Times New Roman" w:hAnsi="Times New Roman" w:cs="Times New Roman"/>
          <w:i/>
          <w:sz w:val="24"/>
          <w:szCs w:val="24"/>
        </w:rPr>
        <w:t>CORGIS Datasets Project</w:t>
      </w:r>
      <w:r>
        <w:rPr>
          <w:rFonts w:ascii="Times New Roman" w:eastAsia="Times New Roman" w:hAnsi="Times New Roman" w:cs="Times New Roman"/>
          <w:sz w:val="24"/>
          <w:szCs w:val="24"/>
        </w:rPr>
        <w:t xml:space="preserve">, 24 Oct. 2016, corgis-edu.github.io/corgis/csv/school_scores/. Accessed 21 Oct. 2024. </w:t>
      </w:r>
    </w:p>
    <w:p w14:paraId="00000017" w14:textId="77777777" w:rsidR="00A03A62" w:rsidRDefault="0009326F">
      <w:pPr>
        <w:widowControl/>
        <w:spacing w:before="240" w:after="240" w:line="480" w:lineRule="auto"/>
        <w:ind w:left="562"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Chew, Briana, et al. “Geospatial Analysis: A New Window into Educational ...” </w:t>
      </w:r>
      <w:r>
        <w:rPr>
          <w:rFonts w:ascii="Times New Roman" w:eastAsia="Times New Roman" w:hAnsi="Times New Roman" w:cs="Times New Roman"/>
          <w:i/>
          <w:color w:val="000000"/>
          <w:sz w:val="24"/>
          <w:szCs w:val="24"/>
        </w:rPr>
        <w:t>Taylor &amp; Francis</w:t>
      </w:r>
      <w:r>
        <w:rPr>
          <w:rFonts w:ascii="Times New Roman" w:eastAsia="Times New Roman" w:hAnsi="Times New Roman" w:cs="Times New Roman"/>
          <w:color w:val="000000"/>
          <w:sz w:val="24"/>
          <w:szCs w:val="24"/>
        </w:rPr>
        <w:t>, 19 Dec. 2018, journals.sagepub.com/doi/10.3102/0091732X20907362. Accessed 05 Nov. 2024. </w:t>
      </w:r>
    </w:p>
    <w:p w14:paraId="00000018" w14:textId="77777777" w:rsidR="00A03A62" w:rsidRDefault="0009326F">
      <w:pPr>
        <w:widowControl/>
        <w:spacing w:before="240" w:after="240" w:line="480" w:lineRule="auto"/>
        <w:ind w:left="562"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A. Hanushek, Jens Ruhose. “It Pays to Improve School Quality.” </w:t>
      </w:r>
      <w:r>
        <w:rPr>
          <w:rFonts w:ascii="Times New Roman" w:eastAsia="Times New Roman" w:hAnsi="Times New Roman" w:cs="Times New Roman"/>
          <w:i/>
          <w:sz w:val="24"/>
          <w:szCs w:val="24"/>
        </w:rPr>
        <w:t>Education Next</w:t>
      </w:r>
      <w:r>
        <w:rPr>
          <w:rFonts w:ascii="Times New Roman" w:eastAsia="Times New Roman" w:hAnsi="Times New Roman" w:cs="Times New Roman"/>
          <w:sz w:val="24"/>
          <w:szCs w:val="24"/>
        </w:rPr>
        <w:t>, 3 Mar. 2022, pp. 16-24, www.educationnext.org/pays-improve-school-quality-student</w:t>
      </w:r>
      <w:r>
        <w:rPr>
          <w:rFonts w:ascii="Times New Roman" w:eastAsia="Times New Roman" w:hAnsi="Times New Roman" w:cs="Times New Roman"/>
          <w:sz w:val="24"/>
          <w:szCs w:val="24"/>
        </w:rPr>
        <w:t xml:space="preserve">-achievement-economic-gain/. </w:t>
      </w:r>
    </w:p>
    <w:p w14:paraId="00000019" w14:textId="77777777" w:rsidR="00A03A62" w:rsidRDefault="0009326F">
      <w:pPr>
        <w:widowControl/>
        <w:spacing w:before="240" w:after="240" w:line="480" w:lineRule="auto"/>
        <w:ind w:left="562" w:hanging="720"/>
        <w:jc w:val="left"/>
        <w:rPr>
          <w:rFonts w:ascii="SimSun" w:eastAsia="SimSun" w:hAnsi="SimSun" w:cs="SimSun"/>
          <w:color w:val="000000"/>
          <w:sz w:val="24"/>
          <w:szCs w:val="24"/>
        </w:rPr>
      </w:pPr>
      <w:r>
        <w:rPr>
          <w:rFonts w:ascii="Times New Roman" w:eastAsia="Times New Roman" w:hAnsi="Times New Roman" w:cs="Times New Roman"/>
          <w:color w:val="000000"/>
          <w:sz w:val="24"/>
          <w:szCs w:val="24"/>
        </w:rPr>
        <w:t xml:space="preserve">Orfield, Gary, et al. “Brown at 62: School Segregation by Race, Poverty and State.” </w:t>
      </w:r>
      <w:r>
        <w:rPr>
          <w:rFonts w:ascii="Times New Roman" w:eastAsia="Times New Roman" w:hAnsi="Times New Roman" w:cs="Times New Roman"/>
          <w:i/>
          <w:color w:val="000000"/>
          <w:sz w:val="24"/>
          <w:szCs w:val="24"/>
        </w:rPr>
        <w:t>eScholarship, University of California</w:t>
      </w:r>
      <w:r>
        <w:rPr>
          <w:rFonts w:ascii="Times New Roman" w:eastAsia="Times New Roman" w:hAnsi="Times New Roman" w:cs="Times New Roman"/>
          <w:color w:val="000000"/>
          <w:sz w:val="24"/>
          <w:szCs w:val="24"/>
        </w:rPr>
        <w:t>, 1 Nov. 2016, escholarship.org/uc/item/5ds6k0rd. Accessed 04 Nov. 2024. </w:t>
      </w:r>
    </w:p>
    <w:p w14:paraId="0000001A" w14:textId="77777777" w:rsidR="00A03A62" w:rsidRDefault="0009326F">
      <w:pPr>
        <w:widowControl/>
        <w:spacing w:before="240" w:after="240" w:line="480" w:lineRule="auto"/>
        <w:ind w:left="562" w:hanging="720"/>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Wenglinsky, Harold. “When Mone</w:t>
      </w:r>
      <w:r>
        <w:rPr>
          <w:rFonts w:ascii="Times New Roman" w:eastAsia="Times New Roman" w:hAnsi="Times New Roman" w:cs="Times New Roman"/>
          <w:color w:val="000000"/>
          <w:sz w:val="24"/>
          <w:szCs w:val="24"/>
        </w:rPr>
        <w:t xml:space="preserve">y Matters: How Educational Expenditures Improve Student Performance and How They Don’t. A Policy Information Perspective.” </w:t>
      </w:r>
      <w:r>
        <w:rPr>
          <w:rFonts w:ascii="Times New Roman" w:eastAsia="Times New Roman" w:hAnsi="Times New Roman" w:cs="Times New Roman"/>
          <w:i/>
          <w:color w:val="000000"/>
          <w:sz w:val="24"/>
          <w:szCs w:val="24"/>
        </w:rPr>
        <w:t>ERIC</w:t>
      </w:r>
      <w:r>
        <w:rPr>
          <w:rFonts w:ascii="Times New Roman" w:eastAsia="Times New Roman" w:hAnsi="Times New Roman" w:cs="Times New Roman"/>
          <w:color w:val="000000"/>
          <w:sz w:val="24"/>
          <w:szCs w:val="24"/>
        </w:rPr>
        <w:t>, Policy Information Center, Mail Stop 04-R, Educational Testing Service, Rosedale Road, Princeton, NJ 08541-0001; Internet: Http</w:t>
      </w:r>
      <w:r>
        <w:rPr>
          <w:rFonts w:ascii="Times New Roman" w:eastAsia="Times New Roman" w:hAnsi="Times New Roman" w:cs="Times New Roman"/>
          <w:color w:val="000000"/>
          <w:sz w:val="24"/>
          <w:szCs w:val="24"/>
        </w:rPr>
        <w:t>://Www.Ets.Org ($9.50)., 31 Mar. 1997, eric.ed.gov/?id=ED412271. Accessed 04 Nov. 2024. </w:t>
      </w:r>
    </w:p>
    <w:p w14:paraId="0000001B" w14:textId="77777777" w:rsidR="00A03A62" w:rsidRDefault="0009326F">
      <w:pPr>
        <w:widowControl/>
        <w:spacing w:before="240" w:after="240" w:line="480" w:lineRule="auto"/>
        <w:ind w:left="562" w:hanging="720"/>
        <w:jc w:val="left"/>
        <w:rPr>
          <w:rFonts w:ascii="SimSun" w:eastAsia="SimSun" w:hAnsi="SimSun" w:cs="SimSun"/>
          <w:sz w:val="24"/>
          <w:szCs w:val="24"/>
        </w:rPr>
      </w:pPr>
      <w:r>
        <w:rPr>
          <w:rFonts w:ascii="Times New Roman" w:eastAsia="Times New Roman" w:hAnsi="Times New Roman" w:cs="Times New Roman"/>
          <w:sz w:val="24"/>
          <w:szCs w:val="24"/>
        </w:rPr>
        <w:t xml:space="preserve">Zwick, Rebecca. “Is the SAT a ‘Wealth Test’?” </w:t>
      </w:r>
      <w:r>
        <w:rPr>
          <w:rFonts w:ascii="Times New Roman" w:eastAsia="Times New Roman" w:hAnsi="Times New Roman" w:cs="Times New Roman"/>
          <w:i/>
          <w:sz w:val="24"/>
          <w:szCs w:val="24"/>
        </w:rPr>
        <w:t>Phi Delta Kappan</w:t>
      </w:r>
      <w:r>
        <w:rPr>
          <w:rFonts w:ascii="Times New Roman" w:eastAsia="Times New Roman" w:hAnsi="Times New Roman" w:cs="Times New Roman"/>
          <w:sz w:val="24"/>
          <w:szCs w:val="24"/>
        </w:rPr>
        <w:t xml:space="preserve">, vol. 84, no. 4, Dec. 2002, pp. 307–311, doi:10.1177/003172170208400411. </w:t>
      </w:r>
    </w:p>
    <w:p w14:paraId="0000001C" w14:textId="77777777" w:rsidR="00A03A62" w:rsidRDefault="00A03A62">
      <w:pPr>
        <w:widowControl/>
        <w:spacing w:line="480" w:lineRule="auto"/>
        <w:jc w:val="left"/>
        <w:rPr>
          <w:rFonts w:ascii="Times New Roman" w:eastAsia="Times New Roman" w:hAnsi="Times New Roman" w:cs="Times New Roman"/>
          <w:color w:val="000000"/>
          <w:sz w:val="24"/>
          <w:szCs w:val="24"/>
        </w:rPr>
      </w:pPr>
    </w:p>
    <w:sectPr w:rsidR="00A03A62">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657B9" w14:textId="77777777" w:rsidR="0009326F" w:rsidRDefault="0009326F">
      <w:r>
        <w:separator/>
      </w:r>
    </w:p>
  </w:endnote>
  <w:endnote w:type="continuationSeparator" w:id="0">
    <w:p w14:paraId="1C3A7A42" w14:textId="77777777" w:rsidR="0009326F" w:rsidRDefault="0009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6C82" w14:textId="77777777" w:rsidR="0009326F" w:rsidRDefault="0009326F">
      <w:r>
        <w:separator/>
      </w:r>
    </w:p>
  </w:footnote>
  <w:footnote w:type="continuationSeparator" w:id="0">
    <w:p w14:paraId="1A30855E" w14:textId="77777777" w:rsidR="0009326F" w:rsidRDefault="00093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4B017087" w:rsidR="00A03A62" w:rsidRDefault="0009326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653DEB">
      <w:rPr>
        <w:rFonts w:ascii="Times New Roman" w:eastAsia="Times New Roman" w:hAnsi="Times New Roman" w:cs="Times New Roman"/>
        <w:sz w:val="24"/>
        <w:szCs w:val="24"/>
      </w:rPr>
      <w:fldChar w:fldCharType="separate"/>
    </w:r>
    <w:r w:rsidR="00653DE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A62"/>
    <w:rsid w:val="0009326F"/>
    <w:rsid w:val="00653DEB"/>
    <w:rsid w:val="00A0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3A79F78-142D-0C44-8387-10017228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80"/>
      <w:outlineLvl w:val="0"/>
    </w:pPr>
    <w:rPr>
      <w:rFonts w:ascii="DengXian Light" w:eastAsia="DengXian Light" w:hAnsi="DengXian Light" w:cs="DengXian Light"/>
      <w:color w:val="0F4761"/>
      <w:sz w:val="48"/>
      <w:szCs w:val="48"/>
    </w:rPr>
  </w:style>
  <w:style w:type="paragraph" w:styleId="Heading2">
    <w:name w:val="heading 2"/>
    <w:basedOn w:val="Normal"/>
    <w:next w:val="Normal"/>
    <w:uiPriority w:val="9"/>
    <w:semiHidden/>
    <w:unhideWhenUsed/>
    <w:qFormat/>
    <w:pPr>
      <w:keepNext/>
      <w:keepLines/>
      <w:spacing w:before="160" w:after="80"/>
      <w:outlineLvl w:val="1"/>
    </w:pPr>
    <w:rPr>
      <w:rFonts w:ascii="DengXian Light" w:eastAsia="DengXian Light" w:hAnsi="DengXian Light" w:cs="DengXian Light"/>
      <w:color w:val="0F4761"/>
      <w:sz w:val="40"/>
      <w:szCs w:val="40"/>
    </w:rPr>
  </w:style>
  <w:style w:type="paragraph" w:styleId="Heading3">
    <w:name w:val="heading 3"/>
    <w:basedOn w:val="Normal"/>
    <w:next w:val="Normal"/>
    <w:uiPriority w:val="9"/>
    <w:semiHidden/>
    <w:unhideWhenUsed/>
    <w:qFormat/>
    <w:pPr>
      <w:keepNext/>
      <w:keepLines/>
      <w:spacing w:before="160" w:after="80"/>
      <w:outlineLvl w:val="2"/>
    </w:pPr>
    <w:rPr>
      <w:rFonts w:ascii="DengXian Light" w:eastAsia="DengXian Light" w:hAnsi="DengXian Light" w:cs="DengXian Light"/>
      <w:color w:val="0F4761"/>
      <w:sz w:val="32"/>
      <w:szCs w:val="32"/>
    </w:rPr>
  </w:style>
  <w:style w:type="paragraph" w:styleId="Heading4">
    <w:name w:val="heading 4"/>
    <w:basedOn w:val="Normal"/>
    <w:next w:val="Normal"/>
    <w:uiPriority w:val="9"/>
    <w:semiHidden/>
    <w:unhideWhenUsed/>
    <w:qFormat/>
    <w:pPr>
      <w:keepNext/>
      <w:keepLines/>
      <w:spacing w:before="80" w:after="40"/>
      <w:outlineLvl w:val="3"/>
    </w:pPr>
    <w:rPr>
      <w:color w:val="0F4761"/>
      <w:sz w:val="28"/>
      <w:szCs w:val="28"/>
    </w:rPr>
  </w:style>
  <w:style w:type="paragraph" w:styleId="Heading5">
    <w:name w:val="heading 5"/>
    <w:basedOn w:val="Normal"/>
    <w:next w:val="Normal"/>
    <w:uiPriority w:val="9"/>
    <w:semiHidden/>
    <w:unhideWhenUsed/>
    <w:qFormat/>
    <w:pPr>
      <w:keepNext/>
      <w:keepLines/>
      <w:spacing w:before="80" w:after="40"/>
      <w:outlineLvl w:val="4"/>
    </w:pPr>
    <w:rPr>
      <w:color w:val="0F4761"/>
      <w:sz w:val="24"/>
      <w:szCs w:val="24"/>
    </w:rPr>
  </w:style>
  <w:style w:type="paragraph" w:styleId="Heading6">
    <w:name w:val="heading 6"/>
    <w:basedOn w:val="Normal"/>
    <w:next w:val="Normal"/>
    <w:uiPriority w:val="9"/>
    <w:semiHidden/>
    <w:unhideWhenUsed/>
    <w:qFormat/>
    <w:pPr>
      <w:keepNext/>
      <w:keepLines/>
      <w:spacing w:before="40"/>
      <w:outlineLvl w:val="5"/>
    </w:pPr>
    <w:rPr>
      <w:b/>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jc w:val="center"/>
    </w:pPr>
    <w:rPr>
      <w:rFonts w:ascii="DengXian Light" w:eastAsia="DengXian Light" w:hAnsi="DengXian Light" w:cs="DengXian Light"/>
      <w:sz w:val="56"/>
      <w:szCs w:val="56"/>
    </w:rPr>
  </w:style>
  <w:style w:type="paragraph" w:styleId="Subtitle">
    <w:name w:val="Subtitle"/>
    <w:basedOn w:val="Normal"/>
    <w:next w:val="Normal"/>
    <w:uiPriority w:val="11"/>
    <w:qFormat/>
    <w:pPr>
      <w:spacing w:after="160"/>
      <w:jc w:val="center"/>
    </w:pPr>
    <w:rPr>
      <w:rFonts w:ascii="DengXian Light" w:eastAsia="DengXian Light" w:hAnsi="DengXian Light" w:cs="DengXian Light"/>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2024-12-11T07:23:00Z</dcterms:created>
  <dcterms:modified xsi:type="dcterms:W3CDTF">2024-12-11T07:23:00Z</dcterms:modified>
</cp:coreProperties>
</file>